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F0FE" w14:textId="5F7ED710" w:rsidR="00CD6B6B" w:rsidRDefault="004278F5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</w:t>
      </w:r>
      <w:r w:rsidR="006A7463">
        <w:rPr>
          <w:rFonts w:ascii="Arial" w:hAnsi="Arial" w:cs="Arial"/>
          <w:b/>
          <w:sz w:val="24"/>
          <w:szCs w:val="28"/>
          <w:lang w:val="en-US"/>
        </w:rPr>
        <w:t>4</w:t>
      </w:r>
      <w:r>
        <w:rPr>
          <w:rFonts w:ascii="Arial" w:hAnsi="Arial" w:cs="Arial"/>
          <w:b/>
          <w:sz w:val="24"/>
          <w:szCs w:val="28"/>
        </w:rPr>
        <w:tab/>
      </w:r>
      <w:r w:rsidR="00A7561C" w:rsidRPr="00A7561C">
        <w:rPr>
          <w:rFonts w:ascii="Arial" w:hAnsi="Arial" w:cs="Arial"/>
          <w:b/>
          <w:sz w:val="24"/>
          <w:szCs w:val="28"/>
        </w:rPr>
        <w:t>R4-2502969</w:t>
      </w:r>
    </w:p>
    <w:p w14:paraId="79053DB3" w14:textId="0E8E4C61" w:rsidR="00CD6B6B" w:rsidRDefault="006A7463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6A7463">
        <w:rPr>
          <w:rFonts w:ascii="Arial" w:eastAsiaTheme="minorEastAsia" w:hAnsi="Arial" w:cs="Arial"/>
          <w:b/>
          <w:sz w:val="24"/>
          <w:szCs w:val="24"/>
        </w:rPr>
        <w:t>Athens, Greece, 17th – 21st February, 2025</w:t>
      </w:r>
    </w:p>
    <w:bookmarkEnd w:id="1"/>
    <w:bookmarkEnd w:id="2"/>
    <w:p w14:paraId="591CFEED" w14:textId="3013AE41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7.1</w:t>
      </w:r>
      <w:r w:rsidR="00901862">
        <w:rPr>
          <w:rFonts w:ascii="Arial" w:hAnsi="Arial" w:cs="Arial"/>
          <w:sz w:val="22"/>
        </w:rPr>
        <w:t>9</w:t>
      </w:r>
      <w:r>
        <w:rPr>
          <w:rFonts w:ascii="Arial" w:hAnsi="Arial" w:cs="Arial"/>
          <w:sz w:val="22"/>
        </w:rPr>
        <w:t>.</w:t>
      </w:r>
      <w:r w:rsidR="00A1486F">
        <w:rPr>
          <w:rFonts w:ascii="Arial" w:hAnsi="Arial" w:cs="Arial"/>
          <w:sz w:val="22"/>
          <w:lang w:val="en-US"/>
        </w:rPr>
        <w:t>5</w:t>
      </w:r>
    </w:p>
    <w:p w14:paraId="486CB086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vivo, NTU, Nokia, Ericsson, Qualcomm, Xiaomi, 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Mediatek</w:t>
      </w:r>
      <w:proofErr w:type="spellEnd"/>
      <w:r>
        <w:rPr>
          <w:rFonts w:ascii="Arial" w:hAnsi="Arial" w:cs="Arial"/>
          <w:sz w:val="22"/>
        </w:rPr>
        <w:t>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</w:t>
      </w:r>
      <w:proofErr w:type="spellStart"/>
      <w:r>
        <w:rPr>
          <w:rFonts w:ascii="Arial" w:hAnsi="Arial" w:cs="Arial"/>
          <w:sz w:val="22"/>
        </w:rPr>
        <w:t>Sanechips</w:t>
      </w:r>
      <w:proofErr w:type="spellEnd"/>
      <w:r>
        <w:rPr>
          <w:rFonts w:ascii="Arial" w:hAnsi="Arial" w:cs="Arial"/>
          <w:sz w:val="22"/>
        </w:rPr>
        <w:t xml:space="preserve">, CAICT </w:t>
      </w:r>
    </w:p>
    <w:p w14:paraId="0CBCEA23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Cs/>
          <w:sz w:val="22"/>
          <w:lang w:val="en-US"/>
        </w:rPr>
        <w:t>Updated simulation assumptions for beam prediction</w:t>
      </w:r>
    </w:p>
    <w:p w14:paraId="466EF1F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2944915B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6890BA0" w14:textId="30C267BA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 w:rsidR="003963BD">
        <w:t xml:space="preserve">further </w:t>
      </w:r>
      <w:r>
        <w:t xml:space="preserve">updated based on [1].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>based on the performance metric</w:t>
      </w:r>
      <w:r w:rsidR="005A28CD">
        <w:t>s</w:t>
      </w:r>
      <w:r>
        <w:t xml:space="preserve"> in section </w:t>
      </w:r>
      <w:r>
        <w:rPr>
          <w:lang w:val="en-US"/>
        </w:rPr>
        <w:t>5</w:t>
      </w:r>
      <w:r>
        <w:t>.</w:t>
      </w:r>
    </w:p>
    <w:p w14:paraId="128FE27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5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34F024A2" w14:textId="77777777" w:rsidR="00CD6B6B" w:rsidRDefault="004278F5" w:rsidP="00EE74C3">
      <w:pPr>
        <w:keepLines/>
        <w:widowControl w:val="0"/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7BBA2B2C" w14:textId="77777777" w:rsidR="00CD6B6B" w:rsidRDefault="004278F5" w:rsidP="00EE74C3">
      <w:pPr>
        <w:pStyle w:val="TH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5104A12D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0172C66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40F10D0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6F1C8148" w14:textId="77777777">
        <w:trPr>
          <w:jc w:val="center"/>
        </w:trPr>
        <w:tc>
          <w:tcPr>
            <w:tcW w:w="3284" w:type="dxa"/>
          </w:tcPr>
          <w:p w14:paraId="39A81C3B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014FD7F5" w14:textId="68BD142B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D6B6B" w14:paraId="5B6E0FBB" w14:textId="77777777">
        <w:trPr>
          <w:jc w:val="center"/>
        </w:trPr>
        <w:tc>
          <w:tcPr>
            <w:tcW w:w="3284" w:type="dxa"/>
          </w:tcPr>
          <w:p w14:paraId="3398989A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0230B1D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0C686C" w14:paraId="5BC2F8D1" w14:textId="77777777" w:rsidTr="000C686C">
        <w:trPr>
          <w:trHeight w:val="328"/>
          <w:jc w:val="center"/>
        </w:trPr>
        <w:tc>
          <w:tcPr>
            <w:tcW w:w="3284" w:type="dxa"/>
            <w:vMerge w:val="restart"/>
          </w:tcPr>
          <w:p w14:paraId="285E5B9E" w14:textId="77777777" w:rsidR="000C686C" w:rsidRPr="00EE74C3" w:rsidRDefault="000C686C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C67A1CA" w14:textId="2E729DFC" w:rsidR="00901862" w:rsidRDefault="000C686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Case 1: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</w:t>
            </w:r>
          </w:p>
          <w:p w14:paraId="1934EB0D" w14:textId="6E1830CD" w:rsidR="00D36DD0" w:rsidRDefault="00ED1FD4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1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: </w:t>
            </w:r>
          </w:p>
          <w:p w14:paraId="3428A3F8" w14:textId="464D2944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2E389E3C" w14:textId="094E7BAD" w:rsidR="00D36DD0" w:rsidRDefault="00901862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</w:t>
            </w:r>
            <w:r w:rsidR="00ED1FD4">
              <w:rPr>
                <w:rFonts w:ascii="Times New Roman" w:hAnsi="Times New Roman" w:cs="Times New Roman"/>
                <w:sz w:val="20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: </w:t>
            </w:r>
          </w:p>
          <w:p w14:paraId="4C80F17C" w14:textId="4F0281C1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CDL-C,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DS=100ns</w:t>
            </w:r>
          </w:p>
          <w:p w14:paraId="0BDDEC68" w14:textId="530E57C9" w:rsidR="000C686C" w:rsidRDefault="000C686C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686C" w14:paraId="6C82C418" w14:textId="77777777">
        <w:trPr>
          <w:trHeight w:val="328"/>
          <w:jc w:val="center"/>
        </w:trPr>
        <w:tc>
          <w:tcPr>
            <w:tcW w:w="3284" w:type="dxa"/>
            <w:vMerge/>
          </w:tcPr>
          <w:p w14:paraId="36D22E5B" w14:textId="77777777" w:rsidR="000C686C" w:rsidRPr="005301CE" w:rsidRDefault="000C686C" w:rsidP="005734EC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21" w:type="dxa"/>
          </w:tcPr>
          <w:p w14:paraId="38493BAA" w14:textId="55C9D626" w:rsidR="000C686C" w:rsidRDefault="000C686C" w:rsidP="005734E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D6B6B" w14:paraId="7757A9B2" w14:textId="77777777">
        <w:trPr>
          <w:jc w:val="center"/>
        </w:trPr>
        <w:tc>
          <w:tcPr>
            <w:tcW w:w="3284" w:type="dxa"/>
          </w:tcPr>
          <w:p w14:paraId="61D05C1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116ABDD9" w14:textId="01D586DC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701E43B" w14:textId="7777777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2E9D8054" w14:textId="620E7DE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9F9920E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664D8AA" w14:textId="6E399357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28CE8E0" w14:textId="473BEF68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beams: </w:t>
            </w:r>
            <w:r w:rsidR="001108CB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  <w:p w14:paraId="0D4CC2B3" w14:textId="60834BCD" w:rsidR="00D36DD0" w:rsidRDefault="00EB2C5F" w:rsidP="00EE74C3">
            <w:pPr>
              <w:pStyle w:val="TAC"/>
              <w:keepNext w:val="0"/>
              <w:widowControl w:val="0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Baseband errors are i</w:t>
            </w:r>
            <w:r w:rsidR="00D36DD0" w:rsidRPr="00D36DD0">
              <w:rPr>
                <w:rFonts w:ascii="Times New Roman" w:hAnsi="Times New Roman" w:cs="Times New Roman"/>
                <w:sz w:val="20"/>
                <w:lang w:val="en-US"/>
              </w:rPr>
              <w:t>ndependent for each TX beam</w:t>
            </w:r>
          </w:p>
          <w:p w14:paraId="749D9E36" w14:textId="77777777" w:rsidR="00D36DD0" w:rsidRPr="00D36DD0" w:rsidRDefault="00D36DD0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4E92F89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</w:t>
            </w:r>
            <w:bookmarkStart w:id="6" w:name="_Hlk182980019"/>
            <w:r>
              <w:rPr>
                <w:rFonts w:ascii="Times New Roman" w:hAnsi="Times New Roman" w:cs="Times New Roman"/>
                <w:sz w:val="20"/>
              </w:rPr>
              <w:t>ompanies are encouraged to provide the codebook used in SLS</w:t>
            </w:r>
            <w:bookmarkEnd w:id="6"/>
          </w:p>
        </w:tc>
      </w:tr>
      <w:tr w:rsidR="00CD6B6B" w14:paraId="43F0683E" w14:textId="77777777">
        <w:trPr>
          <w:jc w:val="center"/>
        </w:trPr>
        <w:tc>
          <w:tcPr>
            <w:tcW w:w="3284" w:type="dxa"/>
          </w:tcPr>
          <w:p w14:paraId="791617A2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F95995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92953D7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18204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03FD75A6" w14:textId="77777777">
        <w:trPr>
          <w:jc w:val="center"/>
        </w:trPr>
        <w:tc>
          <w:tcPr>
            <w:tcW w:w="3284" w:type="dxa"/>
          </w:tcPr>
          <w:p w14:paraId="78DBF786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29B3CA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1606CAD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B360F81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5180A34" w14:textId="77777777">
        <w:trPr>
          <w:jc w:val="center"/>
        </w:trPr>
        <w:tc>
          <w:tcPr>
            <w:tcW w:w="3284" w:type="dxa"/>
          </w:tcPr>
          <w:p w14:paraId="2D97141C" w14:textId="77777777" w:rsidR="00CD6B6B" w:rsidRPr="00AA0C9A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17EB2F7F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 xml:space="preserve">Option 1a [corresponding to BS antenna configurations option 1]: </w:t>
            </w:r>
          </w:p>
          <w:p w14:paraId="3489CCE4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>32 beams with grid of 4 elevation angles from [-25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 to 25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>] and 8 azimuth angles from [-60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 to 60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] </w:t>
            </w:r>
          </w:p>
          <w:p w14:paraId="258611AF" w14:textId="77777777" w:rsidR="00CD6B6B" w:rsidRPr="00AA0C9A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23612BA9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 w:hint="eastAsia"/>
                <w:sz w:val="20"/>
              </w:rPr>
              <w:t>O</w:t>
            </w:r>
            <w:r w:rsidRPr="00AA0C9A">
              <w:rPr>
                <w:rFonts w:ascii="Times New Roman" w:hAnsi="Times New Roman" w:cs="Times New Roman"/>
                <w:sz w:val="20"/>
              </w:rPr>
              <w:t>ption 1b [corresponding to BS antenna configurations option 1]:</w:t>
            </w:r>
          </w:p>
          <w:p w14:paraId="61D4B800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AA0C9A">
              <w:rPr>
                <w:rFonts w:ascii="Times New Roman" w:hAnsi="Times New Roman" w:cs="Times New Roman"/>
                <w:sz w:val="20"/>
                <w:lang w:val="en-US"/>
              </w:rPr>
              <w:t>The codebook construction can be clarified by companies.</w:t>
            </w:r>
          </w:p>
          <w:p w14:paraId="38A3CE63" w14:textId="77777777" w:rsidR="00CD6B6B" w:rsidRPr="00AA0C9A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7F318580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lastRenderedPageBreak/>
              <w:t>Option 2:</w:t>
            </w:r>
          </w:p>
          <w:p w14:paraId="29DB820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>N/A</w:t>
            </w:r>
          </w:p>
        </w:tc>
      </w:tr>
      <w:tr w:rsidR="00CD6B6B" w14:paraId="52321DE6" w14:textId="77777777">
        <w:trPr>
          <w:jc w:val="center"/>
        </w:trPr>
        <w:tc>
          <w:tcPr>
            <w:tcW w:w="3284" w:type="dxa"/>
          </w:tcPr>
          <w:p w14:paraId="664C478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UE antenna configurations</w:t>
            </w:r>
          </w:p>
        </w:tc>
        <w:tc>
          <w:tcPr>
            <w:tcW w:w="5621" w:type="dxa"/>
          </w:tcPr>
          <w:p w14:paraId="1761E4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17BB17F" w14:textId="77777777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155277C" w14:textId="24282EE6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1 panel as optional</w:t>
            </w:r>
          </w:p>
          <w:p w14:paraId="5AD88B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4069A419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FC9223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70FCD534" w14:textId="77777777">
        <w:trPr>
          <w:jc w:val="center"/>
        </w:trPr>
        <w:tc>
          <w:tcPr>
            <w:tcW w:w="3284" w:type="dxa"/>
          </w:tcPr>
          <w:p w14:paraId="67B1E7CE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2F16AF3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44CA19B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E07BDE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19650BCD" w14:textId="77777777">
        <w:trPr>
          <w:trHeight w:val="90"/>
          <w:jc w:val="center"/>
        </w:trPr>
        <w:tc>
          <w:tcPr>
            <w:tcW w:w="3284" w:type="dxa"/>
          </w:tcPr>
          <w:p w14:paraId="2E8C18C3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4F9EC7D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0563D0BC" w14:textId="77777777">
        <w:trPr>
          <w:trHeight w:val="90"/>
          <w:jc w:val="center"/>
        </w:trPr>
        <w:tc>
          <w:tcPr>
            <w:tcW w:w="3284" w:type="dxa"/>
          </w:tcPr>
          <w:p w14:paraId="54826D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2AB5394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D6B6B" w14:paraId="732ED499" w14:textId="77777777">
        <w:trPr>
          <w:trHeight w:val="90"/>
          <w:jc w:val="center"/>
        </w:trPr>
        <w:tc>
          <w:tcPr>
            <w:tcW w:w="3284" w:type="dxa"/>
          </w:tcPr>
          <w:p w14:paraId="614B71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653AD5F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26DB3FD8" w14:textId="77777777">
        <w:trPr>
          <w:trHeight w:val="90"/>
          <w:jc w:val="center"/>
        </w:trPr>
        <w:tc>
          <w:tcPr>
            <w:tcW w:w="3284" w:type="dxa"/>
          </w:tcPr>
          <w:p w14:paraId="669EEF89" w14:textId="77777777" w:rsidR="00CD6B6B" w:rsidRPr="00EE74C3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1C1E299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B5FF65B" w14:textId="0D51AF61" w:rsidR="00D85C11" w:rsidRDefault="004278F5" w:rsidP="003730D0">
            <w:pPr>
              <w:pStyle w:val="TAC"/>
              <w:keepNext w:val="0"/>
              <w:widowControl w:val="0"/>
              <w:numPr>
                <w:ilvl w:val="0"/>
                <w:numId w:val="4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D85C11">
              <w:rPr>
                <w:rFonts w:ascii="Times New Roman" w:hAnsi="Times New Roman" w:cs="Times New Roman"/>
                <w:sz w:val="20"/>
                <w:lang w:val="en-US"/>
              </w:rPr>
              <w:t xml:space="preserve"> sample</w:t>
            </w:r>
          </w:p>
          <w:p w14:paraId="0F62D2AF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6C5621B" w14:textId="28D3409B" w:rsidR="003730D0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7A5841A5" w14:textId="2DA52637" w:rsidR="00CD6B6B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D6B6B" w14:paraId="0D72A5EF" w14:textId="77777777">
        <w:trPr>
          <w:jc w:val="center"/>
        </w:trPr>
        <w:tc>
          <w:tcPr>
            <w:tcW w:w="8905" w:type="dxa"/>
            <w:gridSpan w:val="2"/>
          </w:tcPr>
          <w:p w14:paraId="442D005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02546844" w14:textId="77777777" w:rsidR="00CD6B6B" w:rsidRDefault="00CD6B6B" w:rsidP="00EE74C3">
      <w:pPr>
        <w:keepLines/>
        <w:widowControl w:val="0"/>
        <w:ind w:right="72"/>
        <w:jc w:val="both"/>
        <w:rPr>
          <w:sz w:val="24"/>
          <w:szCs w:val="24"/>
          <w:lang w:eastAsia="ja-JP"/>
        </w:rPr>
      </w:pPr>
    </w:p>
    <w:p w14:paraId="7B30B325" w14:textId="77777777" w:rsidR="00CD6B6B" w:rsidRDefault="004278F5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0CBA23A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655865C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A1041D3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04CB4D63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F69C0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1ECBA024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1928C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35pt;height:45.05pt" o:ole="">
                  <v:imagedata r:id="rId13" o:title=""/>
                </v:shape>
                <o:OLEObject Type="Embed" ProgID="Equation.3" ShapeID="_x0000_i1025" DrawAspect="Content" ObjectID="_1801661324" r:id="rId14"/>
              </w:object>
            </w:r>
          </w:p>
        </w:tc>
      </w:tr>
      <w:tr w:rsidR="00CD6B6B" w14:paraId="0C3D5EB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6648D4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5A8DC7F8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4D816854">
                <v:shape id="_x0000_i1026" type="#_x0000_t75" style="width:242.95pt;height:40.05pt" o:ole="">
                  <v:imagedata r:id="rId15" o:title=""/>
                </v:shape>
                <o:OLEObject Type="Embed" ProgID="Equation.3" ShapeID="_x0000_i1026" DrawAspect="Content" ObjectID="_1801661325" r:id="rId16"/>
              </w:object>
            </w:r>
          </w:p>
        </w:tc>
      </w:tr>
      <w:tr w:rsidR="00CD6B6B" w14:paraId="73ED990D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9687D36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28984075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8C2E3C">
                <v:shape id="_x0000_i1027" type="#_x0000_t75" style="width:209.45pt;height:20.4pt" o:ole="">
                  <v:imagedata r:id="rId17" o:title=""/>
                </v:shape>
                <o:OLEObject Type="Embed" ProgID="Equation.3" ShapeID="_x0000_i1027" DrawAspect="Content" ObjectID="_1801661326" r:id="rId18"/>
              </w:object>
            </w:r>
          </w:p>
        </w:tc>
      </w:tr>
      <w:tr w:rsidR="00CD6B6B" w14:paraId="163D0DF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D156BAC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39D0B1AD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3F4EA270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315D4158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46BA825F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C284EA0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33A52E94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1A0922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ED1FD4">
              <w:rPr>
                <w:rFonts w:ascii="Times New Roman" w:hAnsi="Times New Roman" w:cs="Times New Roman"/>
                <w:sz w:val="20"/>
              </w:rPr>
              <w:pict w14:anchorId="34D6BE31">
                <v:shape id="_x0000_i1028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D1FD4">
              <w:rPr>
                <w:rFonts w:ascii="Times New Roman" w:hAnsi="Times New Roman" w:cs="Times New Roman"/>
                <w:sz w:val="20"/>
              </w:rPr>
              <w:pict w14:anchorId="2D4B2429">
                <v:shape id="_x0000_i1029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812C890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36B701E0">
                <v:shape id="_x0000_i1030" type="#_x0000_t75" style="width:275.3pt;height:45.05pt" o:ole="">
                  <v:imagedata r:id="rId20" o:title=""/>
                </v:shape>
                <o:OLEObject Type="Embed" ProgID="Equation.3" ShapeID="_x0000_i1030" DrawAspect="Content" ObjectID="_1801661327" r:id="rId21"/>
              </w:object>
            </w:r>
          </w:p>
        </w:tc>
      </w:tr>
      <w:tr w:rsidR="00CD6B6B" w14:paraId="1B08447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2F8BDA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ED1FD4">
              <w:rPr>
                <w:rFonts w:ascii="Times New Roman" w:hAnsi="Times New Roman" w:cs="Times New Roman"/>
                <w:sz w:val="20"/>
              </w:rPr>
              <w:pict w14:anchorId="25CFC512">
                <v:shape id="_x0000_i1031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D1FD4">
              <w:rPr>
                <w:rFonts w:ascii="Times New Roman" w:hAnsi="Times New Roman" w:cs="Times New Roman"/>
                <w:sz w:val="20"/>
              </w:rPr>
              <w:pict w14:anchorId="2EC7FD16">
                <v:shape id="_x0000_i1032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9194D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4944FBA6">
                <v:shape id="_x0000_i1033" type="#_x0000_t75" style="width:255.65pt;height:45.05pt" o:ole="">
                  <v:imagedata r:id="rId23" o:title=""/>
                </v:shape>
                <o:OLEObject Type="Embed" ProgID="Equation.3" ShapeID="_x0000_i1033" DrawAspect="Content" ObjectID="_1801661328" r:id="rId24"/>
              </w:object>
            </w:r>
          </w:p>
        </w:tc>
      </w:tr>
      <w:tr w:rsidR="00CD6B6B" w14:paraId="082E683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73757F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1370E5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676F428">
                <v:shape id="_x0000_i1034" type="#_x0000_t75" style="width:209.45pt;height:20.4pt" o:ole="">
                  <v:imagedata r:id="rId17" o:title=""/>
                </v:shape>
                <o:OLEObject Type="Embed" ProgID="Equation.3" ShapeID="_x0000_i1034" DrawAspect="Content" ObjectID="_1801661329" r:id="rId25"/>
              </w:object>
            </w:r>
          </w:p>
        </w:tc>
      </w:tr>
      <w:tr w:rsidR="00CD6B6B" w14:paraId="6581369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75FDCF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33ABEBC8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1D444D28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29181E04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4C818F1A">
                <v:shape id="_x0000_i1035" type="#_x0000_t75" style="width:38.9pt;height:20.4pt" o:ole="">
                  <v:imagedata r:id="rId26" o:title=""/>
                </v:shape>
                <o:OLEObject Type="Embed" ProgID="Equation.3" ShapeID="_x0000_i1035" DrawAspect="Content" ObjectID="_1801661330" r:id="rId27"/>
              </w:object>
            </w:r>
            <w:r>
              <w:t>are in local coordinate system.</w:t>
            </w:r>
          </w:p>
        </w:tc>
      </w:tr>
    </w:tbl>
    <w:p w14:paraId="6050B8DE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CD6B6B" w14:paraId="12795C99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13D1057A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54CBD13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2A26182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5DE41148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4E2178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00AE38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6A7C95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063160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177D4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3D0F730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4BBDD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1E45B553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F5F060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B766C3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1780" w:type="dxa"/>
            <w:vAlign w:val="center"/>
          </w:tcPr>
          <w:p w14:paraId="3923677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454DD9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49EA3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75AC5C7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7063F22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5F8B154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6AD1FA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4AA40E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12BA09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60FAB39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0B792F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0D8D26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B1B4A3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5EE218C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CC9584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234CE8F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5891727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0C752C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2DE3FD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434342D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6680CF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3A8864B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BF625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1E2CEA2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3C2034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6EF087E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D8D550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52044B2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09C508C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3CE8B99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B25C52D" w14:textId="77777777" w:rsidR="00CD6B6B" w:rsidRPr="00D47CC1" w:rsidRDefault="004278F5">
            <w:pPr>
              <w:pStyle w:val="TAL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730A55C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E893B4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F0BA5E9" w14:textId="35761A23" w:rsidR="00CD6B6B" w:rsidRDefault="004278F5" w:rsidP="0039505A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precluded, e.g., for determining the SNR for ideal measurement.</w:t>
            </w:r>
          </w:p>
        </w:tc>
      </w:tr>
      <w:tr w:rsidR="00CD6B6B" w14:paraId="3BFC748D" w14:textId="77777777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4725409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7B2C57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F1AE22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563A24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0A56489B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2C13B0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4FC155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5CA77C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2360EAD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81E687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219A6AB5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10140C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3F20491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06DDED80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AECF283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4408BA1A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A16F8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400B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45E8959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E0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D9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36D73FAF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1C8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F0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08FD925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E2A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3BAD34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7EBD151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6DFE5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4682DBC1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4DF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02E3ECA0" w14:textId="77777777" w:rsidR="00CD6B6B" w:rsidRDefault="00CD6B6B">
      <w:pPr>
        <w:rPr>
          <w:lang w:val="en-US"/>
        </w:rPr>
      </w:pPr>
    </w:p>
    <w:p w14:paraId="7CF9618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02DD2DFB" w14:textId="0B3B0505" w:rsidR="00983D48" w:rsidRDefault="004278F5" w:rsidP="005C6029">
      <w:pPr>
        <w:ind w:left="141"/>
      </w:pPr>
      <w:r>
        <w:t xml:space="preserve">The impact of RF errors should be considered. Following </w:t>
      </w:r>
      <w:r w:rsidR="00B716D5">
        <w:t xml:space="preserve">assumptions </w:t>
      </w:r>
      <w:r>
        <w:t>can be used to generate RF errors.</w:t>
      </w:r>
    </w:p>
    <w:p w14:paraId="6536DA98" w14:textId="723C5752" w:rsidR="00246687" w:rsidRDefault="00246687" w:rsidP="00246687">
      <w:pPr>
        <w:pStyle w:val="a3"/>
        <w:numPr>
          <w:ilvl w:val="0"/>
          <w:numId w:val="25"/>
        </w:numPr>
      </w:pPr>
      <w:r>
        <w:t xml:space="preserve">Truncated </w:t>
      </w:r>
      <w:r w:rsidR="00407ACA" w:rsidRPr="00B716D5">
        <w:t>Gaussian distribution under ±4dB</w:t>
      </w:r>
      <w:r w:rsidR="00407ACA">
        <w:t xml:space="preserve"> RF error</w:t>
      </w:r>
      <w:r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/>
        </m:sSup>
      </m:oMath>
      <w:r>
        <w:rPr>
          <w:rFonts w:hint="eastAsia"/>
        </w:rPr>
        <w:t>=</w:t>
      </w:r>
      <w:r>
        <w:t>2)</w:t>
      </w:r>
      <w:r w:rsidR="00407ACA">
        <w:t xml:space="preserve"> is used</w:t>
      </w:r>
    </w:p>
    <w:p w14:paraId="4C4AC65D" w14:textId="6450D1AB" w:rsidR="00983D48" w:rsidRDefault="00983D48" w:rsidP="00B12913">
      <w:pPr>
        <w:pStyle w:val="a3"/>
        <w:numPr>
          <w:ilvl w:val="0"/>
          <w:numId w:val="25"/>
        </w:numPr>
      </w:pPr>
      <w:r>
        <w:t>Dependence for each TX beam</w:t>
      </w:r>
    </w:p>
    <w:p w14:paraId="5ED093AC" w14:textId="2CBF91D8" w:rsidR="00CD6B6B" w:rsidRDefault="00EB2C5F" w:rsidP="000E4FD9">
      <w:pPr>
        <w:pStyle w:val="a3"/>
        <w:numPr>
          <w:ilvl w:val="1"/>
          <w:numId w:val="25"/>
        </w:numPr>
      </w:pPr>
      <w:r>
        <w:t xml:space="preserve">Option 1: </w:t>
      </w:r>
      <w:r w:rsidR="004278F5">
        <w:t>Independent for each TX beam</w:t>
      </w:r>
    </w:p>
    <w:p w14:paraId="4275B167" w14:textId="346539E6" w:rsidR="00EB2C5F" w:rsidRDefault="00EB2C5F" w:rsidP="00EE74C3">
      <w:pPr>
        <w:pStyle w:val="a3"/>
        <w:numPr>
          <w:ilvl w:val="1"/>
          <w:numId w:val="25"/>
        </w:numPr>
      </w:pPr>
      <w:r>
        <w:t xml:space="preserve">Option 2: </w:t>
      </w:r>
      <w:r w:rsidR="00BD562C">
        <w:t>D</w:t>
      </w:r>
      <w:r w:rsidR="009056D8" w:rsidRPr="005F7628">
        <w:rPr>
          <w:szCs w:val="21"/>
          <w:lang w:val="x-none"/>
        </w:rPr>
        <w:t>ependent</w:t>
      </w:r>
      <w:r w:rsidRPr="005F7628">
        <w:rPr>
          <w:szCs w:val="21"/>
          <w:lang w:val="x-none"/>
        </w:rPr>
        <w:t xml:space="preserve"> to </w:t>
      </w:r>
      <w:r>
        <w:rPr>
          <w:szCs w:val="21"/>
          <w:lang w:val="x-none"/>
        </w:rPr>
        <w:t xml:space="preserve">the </w:t>
      </w:r>
      <w:r w:rsidRPr="005F7628">
        <w:rPr>
          <w:szCs w:val="21"/>
          <w:lang w:val="x-none"/>
        </w:rPr>
        <w:t xml:space="preserve">strongest </w:t>
      </w:r>
      <w:r>
        <w:t>TX beam</w:t>
      </w:r>
    </w:p>
    <w:p w14:paraId="276772A2" w14:textId="3A3DBC91" w:rsidR="00B716D5" w:rsidRPr="00EE74C3" w:rsidRDefault="00B716D5" w:rsidP="00EE74C3">
      <w:pPr>
        <w:pStyle w:val="a3"/>
        <w:numPr>
          <w:ilvl w:val="2"/>
          <w:numId w:val="25"/>
        </w:numPr>
      </w:pPr>
      <w:r w:rsidRPr="005F7628">
        <w:rPr>
          <w:szCs w:val="21"/>
          <w:lang w:val="x-none"/>
        </w:rPr>
        <w:t>RF error of each SSB is dependent with respect to RF error of strongest SSB.</w:t>
      </w:r>
    </w:p>
    <w:p w14:paraId="7B206A49" w14:textId="51105804" w:rsidR="00B716D5" w:rsidRDefault="00B716D5" w:rsidP="005C6029">
      <w:pPr>
        <w:pStyle w:val="a3"/>
        <w:numPr>
          <w:ilvl w:val="2"/>
          <w:numId w:val="25"/>
        </w:numPr>
      </w:pPr>
      <w:r>
        <w:t>Assume strongest SSB’s RF error is +</w:t>
      </w:r>
      <w:r w:rsidR="00357E43">
        <w:t>X</w:t>
      </w:r>
      <w:r>
        <w:t xml:space="preserve"> dB in one instance.</w:t>
      </w:r>
    </w:p>
    <w:p w14:paraId="259A6563" w14:textId="4D55885B" w:rsidR="00B716D5" w:rsidRDefault="00B716D5" w:rsidP="005C6029">
      <w:pPr>
        <w:pStyle w:val="a3"/>
        <w:numPr>
          <w:ilvl w:val="2"/>
          <w:numId w:val="25"/>
        </w:numPr>
      </w:pPr>
      <w:r>
        <w:t>Other SSBs’ RF error will be conditioned with respect to +</w:t>
      </w:r>
      <w:r w:rsidR="00357E43">
        <w:t>X</w:t>
      </w:r>
      <w:r>
        <w:t xml:space="preserve"> dB.</w:t>
      </w:r>
    </w:p>
    <w:p w14:paraId="08B26C78" w14:textId="53D445A9" w:rsidR="00B716D5" w:rsidRDefault="00B716D5" w:rsidP="005C6029">
      <w:pPr>
        <w:pStyle w:val="a3"/>
        <w:numPr>
          <w:ilvl w:val="2"/>
          <w:numId w:val="25"/>
        </w:numPr>
      </w:pPr>
      <w:r>
        <w:t>For example, if RF error were uniform, other SSBs’ RF errors will be uniform in [</w:t>
      </w:r>
      <w:r w:rsidR="00357E43">
        <w:t>X</w:t>
      </w:r>
      <w:r>
        <w:t>-</w:t>
      </w:r>
      <w:r w:rsidR="00357E43">
        <w:t>Y</w:t>
      </w:r>
      <w:r>
        <w:t xml:space="preserve">, </w:t>
      </w:r>
      <w:r w:rsidR="00357E43">
        <w:t>X</w:t>
      </w:r>
      <w:r>
        <w:t>+</w:t>
      </w:r>
      <w:r w:rsidR="00357E43">
        <w:t>Y</w:t>
      </w:r>
      <w:r>
        <w:t>] dB range where X depends on company.</w:t>
      </w:r>
    </w:p>
    <w:p w14:paraId="481431D0" w14:textId="0A1EAB8E" w:rsidR="00CD6B6B" w:rsidRDefault="00CD6B6B" w:rsidP="0021586F"/>
    <w:p w14:paraId="49C7D3D3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121628A3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reference model for BM-case 1</w:t>
      </w:r>
      <w:r>
        <w:t xml:space="preserve"> performance evaluation, while it is not the intention to preclude other reference models.</w:t>
      </w:r>
    </w:p>
    <w:p w14:paraId="7721A6AA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215BB9EE" wp14:editId="56F89F0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72793973" w14:textId="2854E93F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5C84D281" w14:textId="3365C436" w:rsidR="00656F88" w:rsidRDefault="00656F88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lastRenderedPageBreak/>
        <w:t>K</w:t>
      </w:r>
      <w:r>
        <w:rPr>
          <w:szCs w:val="24"/>
          <w:lang w:val="en-US"/>
        </w:rPr>
        <w:t>PI 1:</w:t>
      </w:r>
    </w:p>
    <w:p w14:paraId="14D56635" w14:textId="5657CF79" w:rsidR="00F1547E" w:rsidRPr="005A28CD" w:rsidRDefault="00F1547E" w:rsidP="00EE74C3">
      <w:pPr>
        <w:numPr>
          <w:ilvl w:val="0"/>
          <w:numId w:val="27"/>
        </w:numPr>
        <w:spacing w:before="120" w:after="120"/>
        <w:rPr>
          <w:szCs w:val="21"/>
          <w:lang w:eastAsia="en-US"/>
        </w:rPr>
      </w:pPr>
      <w:r w:rsidRPr="0039505A">
        <w:rPr>
          <w:szCs w:val="21"/>
        </w:rPr>
        <w:t>Top K/1</w:t>
      </w:r>
      <w:r w:rsidRPr="00957FE1">
        <w:rPr>
          <w:szCs w:val="21"/>
        </w:rPr>
        <w:t xml:space="preserve"> </w:t>
      </w:r>
      <w:r w:rsidRPr="00957FE1">
        <w:rPr>
          <w:b/>
          <w:bCs/>
          <w:szCs w:val="21"/>
        </w:rPr>
        <w:t>without</w:t>
      </w:r>
      <w:r w:rsidRPr="005A28CD">
        <w:rPr>
          <w:szCs w:val="21"/>
        </w:rPr>
        <w:t xml:space="preserve"> considering some margin</w:t>
      </w:r>
    </w:p>
    <w:p w14:paraId="59BEBB45" w14:textId="77777777" w:rsidR="00F1547E" w:rsidRPr="00EA2E7B" w:rsidRDefault="00F1547E" w:rsidP="00EE74C3">
      <w:pPr>
        <w:numPr>
          <w:ilvl w:val="1"/>
          <w:numId w:val="27"/>
        </w:numPr>
        <w:spacing w:before="120" w:after="120"/>
        <w:rPr>
          <w:szCs w:val="21"/>
          <w:lang w:eastAsia="en-US"/>
        </w:rPr>
      </w:pPr>
      <w:r w:rsidRPr="00EA2E7B">
        <w:rPr>
          <w:szCs w:val="21"/>
        </w:rPr>
        <w:t>the percentage of "the Top-1 strongest beam is one of the Top-K predicted beams", K=1,2,3,4,5</w:t>
      </w:r>
    </w:p>
    <w:p w14:paraId="3263183C" w14:textId="118FD54F" w:rsidR="00F1547E" w:rsidRPr="005A28CD" w:rsidRDefault="00F1547E" w:rsidP="00EE74C3">
      <w:pPr>
        <w:numPr>
          <w:ilvl w:val="0"/>
          <w:numId w:val="27"/>
        </w:numPr>
        <w:autoSpaceDN w:val="0"/>
        <w:spacing w:before="120" w:after="0" w:line="252" w:lineRule="auto"/>
        <w:rPr>
          <w:szCs w:val="21"/>
          <w:lang w:eastAsia="en-US"/>
        </w:rPr>
      </w:pPr>
      <w:r w:rsidRPr="00053F8F">
        <w:rPr>
          <w:szCs w:val="21"/>
        </w:rPr>
        <w:t xml:space="preserve">Top K/1 </w:t>
      </w:r>
      <w:r w:rsidRPr="00EE74C3">
        <w:rPr>
          <w:b/>
          <w:bCs/>
          <w:szCs w:val="21"/>
        </w:rPr>
        <w:t>with</w:t>
      </w:r>
      <w:r w:rsidRPr="00EE74C3">
        <w:rPr>
          <w:szCs w:val="21"/>
        </w:rPr>
        <w:t xml:space="preserve"> considering some margin</w:t>
      </w:r>
      <w:r>
        <w:rPr>
          <w:szCs w:val="21"/>
        </w:rPr>
        <w:t>;</w:t>
      </w:r>
      <w:r w:rsidRPr="0039505A">
        <w:rPr>
          <w:szCs w:val="21"/>
        </w:rPr>
        <w:t xml:space="preserve"> T</w:t>
      </w:r>
      <w:r w:rsidRPr="00957FE1">
        <w:rPr>
          <w:szCs w:val="21"/>
        </w:rPr>
        <w:t>he marg</w:t>
      </w:r>
      <w:r w:rsidRPr="005A28CD">
        <w:rPr>
          <w:szCs w:val="21"/>
        </w:rPr>
        <w:t>in can be implemented as:</w:t>
      </w:r>
    </w:p>
    <w:p w14:paraId="13D7D347" w14:textId="77777777" w:rsidR="00F1547E" w:rsidRDefault="00F1547E" w:rsidP="00F1547E">
      <w:pPr>
        <w:numPr>
          <w:ilvl w:val="1"/>
          <w:numId w:val="27"/>
        </w:numPr>
        <w:spacing w:before="120" w:after="120"/>
        <w:rPr>
          <w:szCs w:val="21"/>
        </w:rPr>
      </w:pPr>
      <w:r w:rsidRPr="00EA2E7B">
        <w:rPr>
          <w:szCs w:val="21"/>
        </w:rPr>
        <w:t>Alt 1: Extend Top K/1 to Top K/N</w:t>
      </w:r>
    </w:p>
    <w:p w14:paraId="1EA5885F" w14:textId="45860F34" w:rsidR="00F1547E" w:rsidRDefault="00F1547E" w:rsidP="00F1547E">
      <w:pPr>
        <w:numPr>
          <w:ilvl w:val="2"/>
          <w:numId w:val="27"/>
        </w:numPr>
        <w:spacing w:before="120" w:after="120"/>
        <w:rPr>
          <w:szCs w:val="21"/>
        </w:rPr>
      </w:pPr>
      <w:r w:rsidRPr="0039505A">
        <w:rPr>
          <w:szCs w:val="21"/>
        </w:rPr>
        <w:t xml:space="preserve">the percentage of "the Top-N genie-aided beam is </w:t>
      </w:r>
      <w:r w:rsidRPr="00EE74C3">
        <w:rPr>
          <w:b/>
          <w:bCs/>
          <w:szCs w:val="21"/>
        </w:rPr>
        <w:t>one</w:t>
      </w:r>
      <w:r w:rsidRPr="0039505A">
        <w:rPr>
          <w:szCs w:val="21"/>
        </w:rPr>
        <w:t xml:space="preserve"> of the Top-K predicted beams",</w:t>
      </w:r>
      <w:r w:rsidRPr="00957FE1">
        <w:rPr>
          <w:szCs w:val="21"/>
        </w:rPr>
        <w:t xml:space="preserve"> K/N=</w:t>
      </w:r>
      <w:r w:rsidRPr="005A28CD">
        <w:rPr>
          <w:szCs w:val="21"/>
        </w:rPr>
        <w:t xml:space="preserve"> 2/2, 2/4, 3/2, 3/4, 4/4, 5/2</w:t>
      </w:r>
      <w:r>
        <w:rPr>
          <w:szCs w:val="21"/>
        </w:rPr>
        <w:t xml:space="preserve">; </w:t>
      </w:r>
    </w:p>
    <w:p w14:paraId="4F6D5E6E" w14:textId="25DADDE4" w:rsidR="00F1547E" w:rsidRPr="00957FE1" w:rsidRDefault="00F1547E" w:rsidP="009056D8">
      <w:pPr>
        <w:numPr>
          <w:ilvl w:val="2"/>
          <w:numId w:val="27"/>
        </w:numPr>
        <w:autoSpaceDN w:val="0"/>
        <w:spacing w:before="120" w:after="0" w:line="252" w:lineRule="auto"/>
        <w:rPr>
          <w:szCs w:val="21"/>
          <w:lang w:eastAsia="en-US"/>
        </w:rPr>
      </w:pPr>
      <w:r w:rsidRPr="0039505A">
        <w:rPr>
          <w:szCs w:val="21"/>
        </w:rPr>
        <w:t>the percentage of "the Top-N genie-aided beam</w:t>
      </w:r>
      <w:r w:rsidR="008558E5" w:rsidRPr="0039505A">
        <w:rPr>
          <w:szCs w:val="21"/>
        </w:rPr>
        <w:t>s</w:t>
      </w:r>
      <w:r w:rsidRPr="00957FE1">
        <w:rPr>
          <w:szCs w:val="21"/>
        </w:rPr>
        <w:t xml:space="preserve"> </w:t>
      </w:r>
      <w:r w:rsidR="008558E5" w:rsidRPr="00957FE1">
        <w:rPr>
          <w:szCs w:val="21"/>
        </w:rPr>
        <w:t>are</w:t>
      </w:r>
      <w:r w:rsidRPr="00957FE1">
        <w:rPr>
          <w:szCs w:val="21"/>
        </w:rPr>
        <w:t xml:space="preserve"> </w:t>
      </w:r>
      <w:r w:rsidRPr="00EE74C3">
        <w:rPr>
          <w:b/>
          <w:bCs/>
          <w:szCs w:val="21"/>
        </w:rPr>
        <w:t>two</w:t>
      </w:r>
      <w:r w:rsidRPr="0039505A">
        <w:rPr>
          <w:szCs w:val="21"/>
        </w:rPr>
        <w:t xml:space="preserve"> of the Top-K predicted beams"</w:t>
      </w:r>
      <w:r w:rsidRPr="00957FE1">
        <w:rPr>
          <w:szCs w:val="21"/>
        </w:rPr>
        <w:t>, K/</w:t>
      </w:r>
      <w:r w:rsidRPr="005A28CD">
        <w:rPr>
          <w:szCs w:val="21"/>
        </w:rPr>
        <w:t>N= 2/2, 2/4, 3/2, 3/4, 4/4, 5/2</w:t>
      </w:r>
      <w:r w:rsidR="008558E5" w:rsidRPr="005A28CD">
        <w:rPr>
          <w:szCs w:val="21"/>
        </w:rPr>
        <w:t xml:space="preserve">, which </w:t>
      </w:r>
      <w:r w:rsidR="00E20DE9">
        <w:rPr>
          <w:szCs w:val="21"/>
        </w:rPr>
        <w:t>means</w:t>
      </w:r>
      <w:r w:rsidR="008558E5">
        <w:rPr>
          <w:szCs w:val="21"/>
        </w:rPr>
        <w:t xml:space="preserve"> a</w:t>
      </w:r>
      <w:r w:rsidRPr="0039505A">
        <w:rPr>
          <w:szCs w:val="21"/>
        </w:rPr>
        <w:t xml:space="preserve">mong the </w:t>
      </w:r>
      <w:r w:rsidR="008558E5" w:rsidRPr="00957FE1">
        <w:rPr>
          <w:szCs w:val="21"/>
        </w:rPr>
        <w:t>T</w:t>
      </w:r>
      <w:r w:rsidRPr="00957FE1">
        <w:rPr>
          <w:szCs w:val="21"/>
        </w:rPr>
        <w:t>op-K predicted beams,</w:t>
      </w:r>
      <w:r w:rsidR="008558E5" w:rsidRPr="005A28CD">
        <w:rPr>
          <w:szCs w:val="21"/>
        </w:rPr>
        <w:t xml:space="preserve"> there a</w:t>
      </w:r>
      <w:r w:rsidR="00E20DE9">
        <w:rPr>
          <w:szCs w:val="21"/>
        </w:rPr>
        <w:t>re</w:t>
      </w:r>
      <w:r w:rsidRPr="0039505A">
        <w:rPr>
          <w:szCs w:val="21"/>
        </w:rPr>
        <w:t xml:space="preserve"> two </w:t>
      </w:r>
      <w:r w:rsidR="00E20DE9">
        <w:rPr>
          <w:szCs w:val="21"/>
        </w:rPr>
        <w:t xml:space="preserve">beams </w:t>
      </w:r>
      <w:r w:rsidRPr="0039505A">
        <w:rPr>
          <w:szCs w:val="21"/>
        </w:rPr>
        <w:t xml:space="preserve">are parts of top-N genie </w:t>
      </w:r>
      <w:r w:rsidRPr="00957FE1">
        <w:rPr>
          <w:szCs w:val="21"/>
        </w:rPr>
        <w:t>aided beams.</w:t>
      </w:r>
    </w:p>
    <w:p w14:paraId="31CC8B76" w14:textId="44F578D2" w:rsidR="00F1547E" w:rsidRPr="00EA2E7B" w:rsidRDefault="00F1547E" w:rsidP="00EE74C3">
      <w:pPr>
        <w:numPr>
          <w:ilvl w:val="1"/>
          <w:numId w:val="27"/>
        </w:numPr>
        <w:spacing w:before="120" w:after="120"/>
        <w:rPr>
          <w:szCs w:val="21"/>
        </w:rPr>
      </w:pPr>
      <w:r w:rsidRPr="00957FE1">
        <w:rPr>
          <w:szCs w:val="21"/>
        </w:rPr>
        <w:t>A</w:t>
      </w:r>
      <w:r w:rsidRPr="005A28CD">
        <w:rPr>
          <w:szCs w:val="21"/>
        </w:rPr>
        <w:t>lt 2: The successful rate for the correct prediction which is considered as maximum RSRP among top-K predicted beams is larger than the RSRP of the strongest beam – x dB</w:t>
      </w:r>
    </w:p>
    <w:p w14:paraId="086636AE" w14:textId="7BF98320" w:rsidR="00D82D96" w:rsidRDefault="00D82D96" w:rsidP="00EE74C3">
      <w:p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K</w:t>
      </w:r>
      <w:r>
        <w:rPr>
          <w:szCs w:val="22"/>
          <w:lang w:val="en-US"/>
        </w:rPr>
        <w:t>PI</w:t>
      </w:r>
      <w:r w:rsidR="00992101">
        <w:rPr>
          <w:szCs w:val="22"/>
          <w:lang w:val="en-US"/>
        </w:rPr>
        <w:t xml:space="preserve"> </w:t>
      </w:r>
      <w:r>
        <w:rPr>
          <w:szCs w:val="22"/>
          <w:lang w:val="en-US"/>
        </w:rPr>
        <w:t>2:</w:t>
      </w:r>
    </w:p>
    <w:p w14:paraId="004712CE" w14:textId="7E53AF5C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szCs w:val="22"/>
        </w:rPr>
        <w:t>90%-tile L1-RSRP difference between the maximum RSRP of the Top-1/</w:t>
      </w:r>
      <w:r w:rsidR="00C30D78" w:rsidRPr="00C30D78">
        <w:rPr>
          <w:szCs w:val="21"/>
        </w:rPr>
        <w:t xml:space="preserve"> </w:t>
      </w:r>
      <w:r w:rsidR="00C30D78">
        <w:rPr>
          <w:szCs w:val="21"/>
        </w:rPr>
        <w:t xml:space="preserve">Top-3/ </w:t>
      </w:r>
      <w:r>
        <w:rPr>
          <w:szCs w:val="22"/>
        </w:rPr>
        <w:t>Top-5 predicted beam(s) and the RSRP of the genie aided strongest beam</w:t>
      </w:r>
    </w:p>
    <w:p w14:paraId="1B02525D" w14:textId="6915F393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</w:t>
      </w:r>
      <w:r w:rsidR="00C30D78" w:rsidRPr="00C30D78">
        <w:rPr>
          <w:szCs w:val="21"/>
        </w:rPr>
        <w:t xml:space="preserve"> </w:t>
      </w:r>
      <w:r w:rsidR="00C30D78">
        <w:rPr>
          <w:szCs w:val="21"/>
        </w:rPr>
        <w:t xml:space="preserve">Top-3/ </w:t>
      </w:r>
      <w:r>
        <w:rPr>
          <w:rFonts w:hint="eastAsia"/>
          <w:szCs w:val="22"/>
          <w:lang w:val="en-US"/>
        </w:rPr>
        <w:t>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08ABACEB" w14:textId="77777777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3D15681F" w14:textId="77777777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>90%-tile L1-RSRP difference = max(abs(95%-tile L1-RSRP), abs(5%-tile L1-RSRP))</w:t>
      </w:r>
    </w:p>
    <w:p w14:paraId="79484DCE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 (For information)</w:t>
      </w:r>
    </w:p>
    <w:p w14:paraId="65DDC694" w14:textId="2ABB7966" w:rsidR="00CD6B6B" w:rsidRDefault="004278F5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>
        <w:rPr>
          <w:lang w:val="en-US"/>
        </w:rPr>
        <w:t xml:space="preserve"> in BM prediction Sceanario-1: spatial</w:t>
      </w:r>
      <w:r>
        <w:t xml:space="preserve"> domain prediction with </w:t>
      </w:r>
      <w:r w:rsidRPr="00957FE1">
        <w:t>32</w:t>
      </w:r>
      <w:r>
        <w:t xml:space="preserve"> beams in Set A, Set B is subset of Set A and contains </w:t>
      </w:r>
      <w:r w:rsidRPr="00957FE1">
        <w:t>8</w:t>
      </w:r>
      <w:r>
        <w:t xml:space="preserve"> beams for measurement.</w:t>
      </w:r>
    </w:p>
    <w:p w14:paraId="08180797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 xml:space="preserve">Companies to generate ideal L1-RSRP dataset from the SLS assumption defined in TR 38.843 Table 6.3.1-1. </w:t>
      </w:r>
    </w:p>
    <w:p w14:paraId="1CE7EDF2" w14:textId="77777777" w:rsidR="00CD6B6B" w:rsidRDefault="004278F5">
      <w:pPr>
        <w:pStyle w:val="a3"/>
        <w:numPr>
          <w:ilvl w:val="0"/>
          <w:numId w:val="2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0D2504C" w14:textId="51471767" w:rsidR="00CD6B6B" w:rsidRPr="00EE74C3" w:rsidRDefault="004278F5">
      <w:pPr>
        <w:pStyle w:val="a3"/>
        <w:numPr>
          <w:ilvl w:val="0"/>
          <w:numId w:val="28"/>
        </w:numPr>
        <w:rPr>
          <w:bCs/>
        </w:rPr>
      </w:pPr>
      <w:bookmarkStart w:id="7" w:name="_Hlk183049475"/>
      <w:bookmarkStart w:id="8" w:name="OLE_LINK2"/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9" w:name="_Hlk183049549"/>
      <w:bookmarkStart w:id="10" w:name="OLE_LINK3"/>
      <w:r w:rsidR="0039505A">
        <w:rPr>
          <w:rFonts w:eastAsiaTheme="minorEastAsia"/>
        </w:rPr>
        <w:t xml:space="preserve">which </w:t>
      </w:r>
      <w:r>
        <w:rPr>
          <w:rFonts w:eastAsiaTheme="minorEastAsia"/>
        </w:rPr>
        <w:t>SNR</w:t>
      </w:r>
      <w:r w:rsidR="0039505A">
        <w:rPr>
          <w:rFonts w:eastAsiaTheme="minorEastAsia"/>
        </w:rPr>
        <w:t xml:space="preserve">&gt; -3dB (use this SNR range as the starting point) </w:t>
      </w:r>
      <w:r>
        <w:rPr>
          <w:rFonts w:eastAsiaTheme="minorEastAsia"/>
        </w:rPr>
        <w:t>to derive the ideal dataset for inference</w:t>
      </w:r>
      <w:r w:rsidR="00957FE1">
        <w:t xml:space="preserve"> </w:t>
      </w:r>
      <w:r>
        <w:t xml:space="preserve">and to evaluate the performance metric without considering measurement errors. </w:t>
      </w:r>
      <w:bookmarkEnd w:id="9"/>
      <w:bookmarkEnd w:id="10"/>
    </w:p>
    <w:p w14:paraId="59FDFCE5" w14:textId="01F51343" w:rsidR="00BC165B" w:rsidRPr="00BC165B" w:rsidRDefault="00BC165B" w:rsidP="00EE74C3">
      <w:pPr>
        <w:ind w:leftChars="200" w:left="400"/>
        <w:rPr>
          <w:bCs/>
        </w:rPr>
      </w:pPr>
      <w:r>
        <w:rPr>
          <w:bCs/>
        </w:rPr>
        <w:t>Note:</w:t>
      </w:r>
      <w:r w:rsidR="0094125F" w:rsidRPr="0094125F">
        <w:t xml:space="preserve"> UE distribution </w:t>
      </w:r>
      <w:r w:rsidR="0094125F">
        <w:t xml:space="preserve">is </w:t>
      </w:r>
      <w:r w:rsidR="0094125F" w:rsidRPr="0094125F">
        <w:rPr>
          <w:bCs/>
        </w:rPr>
        <w:t xml:space="preserve">100% outdoor </w:t>
      </w:r>
    </w:p>
    <w:bookmarkEnd w:id="5"/>
    <w:bookmarkEnd w:id="7"/>
    <w:bookmarkEnd w:id="8"/>
    <w:p w14:paraId="1F5F17CD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3332B246" w14:textId="3DA65E5D" w:rsidR="00957FE1" w:rsidRPr="00EE74C3" w:rsidRDefault="00957FE1">
      <w:pPr>
        <w:pStyle w:val="a3"/>
        <w:numPr>
          <w:ilvl w:val="0"/>
          <w:numId w:val="28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</w:t>
      </w:r>
      <w:r w:rsidR="00AE7377">
        <w:t xml:space="preserve">RF </w:t>
      </w:r>
      <w:r>
        <w:t>errors.</w:t>
      </w:r>
    </w:p>
    <w:p w14:paraId="4C314DFC" w14:textId="00D7E534" w:rsidR="007A6FED" w:rsidRPr="00EE74C3" w:rsidRDefault="007A6FED" w:rsidP="007A6FED">
      <w:pPr>
        <w:pStyle w:val="a3"/>
        <w:numPr>
          <w:ilvl w:val="0"/>
          <w:numId w:val="28"/>
        </w:numPr>
        <w:rPr>
          <w:lang w:val="en-GB"/>
        </w:rPr>
      </w:pPr>
      <w:r>
        <w:t xml:space="preserve">Add the measurement errors generated from LLS into the ideal SLS dataset to derive the dataset with measurement errors. The measurement errors will be: </w:t>
      </w:r>
    </w:p>
    <w:p w14:paraId="2F6A8E27" w14:textId="62F870A2" w:rsidR="007A6FED" w:rsidRDefault="00A3286F" w:rsidP="007A6FED">
      <w:pPr>
        <w:pStyle w:val="a3"/>
        <w:numPr>
          <w:ilvl w:val="1"/>
          <w:numId w:val="33"/>
        </w:numPr>
      </w:pPr>
      <w:r>
        <w:t>Case 1: Only baseband errors are included</w:t>
      </w:r>
    </w:p>
    <w:p w14:paraId="534840E3" w14:textId="01AFC28D" w:rsidR="00A3286F" w:rsidRDefault="00A3286F" w:rsidP="007A6FED">
      <w:pPr>
        <w:pStyle w:val="a3"/>
        <w:numPr>
          <w:ilvl w:val="1"/>
          <w:numId w:val="33"/>
        </w:numPr>
      </w:pPr>
      <w:r>
        <w:t>Case 2: Only RF errors are included</w:t>
      </w:r>
    </w:p>
    <w:p w14:paraId="327EF95E" w14:textId="3A643EEA" w:rsidR="007A6FED" w:rsidRPr="00A3286F" w:rsidRDefault="00A3286F" w:rsidP="00EE74C3">
      <w:pPr>
        <w:pStyle w:val="a3"/>
        <w:numPr>
          <w:ilvl w:val="1"/>
          <w:numId w:val="33"/>
        </w:numPr>
      </w:pPr>
      <w:r>
        <w:t>Case 3: Both baseband errors and RF errors are included</w:t>
      </w:r>
    </w:p>
    <w:p w14:paraId="699D81D0" w14:textId="14104BB0" w:rsidR="00CD6B6B" w:rsidRPr="00EE74C3" w:rsidRDefault="004278F5">
      <w:pPr>
        <w:pStyle w:val="a3"/>
        <w:numPr>
          <w:ilvl w:val="0"/>
          <w:numId w:val="28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>errors for inference and to evaluate the performance metric with considering measurement errors.</w:t>
      </w:r>
    </w:p>
    <w:p w14:paraId="24772459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11" w:name="_Hlk4777878"/>
    </w:p>
    <w:bookmarkEnd w:id="11"/>
    <w:p w14:paraId="54A4C8AE" w14:textId="0C77B625" w:rsidR="00326314" w:rsidRPr="002F2993" w:rsidRDefault="00326314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326314">
        <w:rPr>
          <w:bCs/>
          <w:kern w:val="2"/>
          <w:lang w:val="en-US"/>
        </w:rPr>
        <w:t>R4-2420480, Updated simulation assumptions for beam prediction, vivo, NTU, Nokia, Ericsson, Qualcomm, Xiaomi, Huawei, Hisilicon, Mediatek, OPPO, APPLE, Rohde &amp; Schwarz, CATT, Samsung, Intel, ZTE Corporation, Sanechips, CAICT</w:t>
      </w:r>
    </w:p>
    <w:p w14:paraId="462D07D1" w14:textId="77777777" w:rsidR="00CD6B6B" w:rsidRPr="002F2993" w:rsidRDefault="004278F5" w:rsidP="002F2993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lastRenderedPageBreak/>
        <w:t>TR 38.843 Study on Artificial Intelligence (AI)/Machine Learning (ML) for NR air interface (Release 18)</w:t>
      </w:r>
    </w:p>
    <w:p w14:paraId="4891B710" w14:textId="77777777" w:rsidR="00CD6B6B" w:rsidRDefault="00CD6B6B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CD6B6B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06158" w14:textId="77777777" w:rsidR="00D91540" w:rsidRDefault="00D91540">
      <w:pPr>
        <w:spacing w:after="0"/>
      </w:pPr>
      <w:r>
        <w:separator/>
      </w:r>
    </w:p>
  </w:endnote>
  <w:endnote w:type="continuationSeparator" w:id="0">
    <w:p w14:paraId="459E48F4" w14:textId="77777777" w:rsidR="00D91540" w:rsidRDefault="00D91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148CE" w14:textId="77777777" w:rsidR="00D91540" w:rsidRDefault="00D91540">
      <w:pPr>
        <w:spacing w:after="0"/>
      </w:pPr>
      <w:r>
        <w:separator/>
      </w:r>
    </w:p>
  </w:footnote>
  <w:footnote w:type="continuationSeparator" w:id="0">
    <w:p w14:paraId="3D6D8773" w14:textId="77777777" w:rsidR="00D91540" w:rsidRDefault="00D91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multilevel"/>
    <w:tmpl w:val="1C080C5B"/>
    <w:lvl w:ilvl="0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8" w15:restartNumberingAfterBreak="0">
    <w:nsid w:val="59CD4AF8"/>
    <w:multiLevelType w:val="hybridMultilevel"/>
    <w:tmpl w:val="8E3637F6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B940FFF"/>
    <w:multiLevelType w:val="hybridMultilevel"/>
    <w:tmpl w:val="9CC820B2"/>
    <w:lvl w:ilvl="0" w:tplc="DABE40A0">
      <w:start w:val="3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334E3E"/>
    <w:multiLevelType w:val="multilevel"/>
    <w:tmpl w:val="67334E3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8B5B0F"/>
    <w:multiLevelType w:val="hybridMultilevel"/>
    <w:tmpl w:val="386C0DEE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8" w15:restartNumberingAfterBreak="0">
    <w:nsid w:val="78E368A6"/>
    <w:multiLevelType w:val="hybridMultilevel"/>
    <w:tmpl w:val="CD6AF67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0"/>
  </w:num>
  <w:num w:numId="20">
    <w:abstractNumId w:val="31"/>
  </w:num>
  <w:num w:numId="21">
    <w:abstractNumId w:val="26"/>
  </w:num>
  <w:num w:numId="22">
    <w:abstractNumId w:val="19"/>
  </w:num>
  <w:num w:numId="23">
    <w:abstractNumId w:val="25"/>
  </w:num>
  <w:num w:numId="24">
    <w:abstractNumId w:val="30"/>
  </w:num>
  <w:num w:numId="25">
    <w:abstractNumId w:val="27"/>
  </w:num>
  <w:num w:numId="26">
    <w:abstractNumId w:val="18"/>
  </w:num>
  <w:num w:numId="27">
    <w:abstractNumId w:val="23"/>
  </w:num>
  <w:num w:numId="28">
    <w:abstractNumId w:val="37"/>
  </w:num>
  <w:num w:numId="29">
    <w:abstractNumId w:val="34"/>
  </w:num>
  <w:num w:numId="30">
    <w:abstractNumId w:val="33"/>
  </w:num>
  <w:num w:numId="31">
    <w:abstractNumId w:val="39"/>
  </w:num>
  <w:num w:numId="32">
    <w:abstractNumId w:val="22"/>
  </w:num>
  <w:num w:numId="33">
    <w:abstractNumId w:val="24"/>
  </w:num>
  <w:num w:numId="34">
    <w:abstractNumId w:val="28"/>
  </w:num>
  <w:num w:numId="35">
    <w:abstractNumId w:val="35"/>
  </w:num>
  <w:num w:numId="36">
    <w:abstractNumId w:val="29"/>
  </w:num>
  <w:num w:numId="37">
    <w:abstractNumId w:val="36"/>
  </w:num>
  <w:num w:numId="38">
    <w:abstractNumId w:val="38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1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11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3F8F"/>
    <w:rsid w:val="00054877"/>
    <w:rsid w:val="0005489A"/>
    <w:rsid w:val="00054CF4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A7C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687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49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314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29A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0E33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ABE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6FED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2913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83F"/>
    <w:rsid w:val="00BD5EEF"/>
    <w:rsid w:val="00BD60F7"/>
    <w:rsid w:val="00BD6196"/>
    <w:rsid w:val="00BD627E"/>
    <w:rsid w:val="00BD648C"/>
    <w:rsid w:val="00BD688A"/>
    <w:rsid w:val="00BD6D22"/>
    <w:rsid w:val="00BD6DC3"/>
    <w:rsid w:val="00BD6EC8"/>
    <w:rsid w:val="00BD75F0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7C"/>
    <w:rsid w:val="00BE4149"/>
    <w:rsid w:val="00BE45BD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6E1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40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31AF"/>
    <w:rsid w:val="00E1340A"/>
    <w:rsid w:val="00E1346E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1FD4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3F6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849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203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Pr>
      <w:szCs w:val="24"/>
    </w:rPr>
  </w:style>
  <w:style w:type="paragraph" w:styleId="a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6</Pages>
  <Words>1352</Words>
  <Characters>7710</Characters>
  <Application>Microsoft Office Word</Application>
  <DocSecurity>0</DocSecurity>
  <Lines>64</Lines>
  <Paragraphs>18</Paragraphs>
  <ScaleCrop>false</ScaleCrop>
  <Company>Tom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Minhua Zheng</cp:lastModifiedBy>
  <cp:revision>2</cp:revision>
  <cp:lastPrinted>1995-11-21T09:41:00Z</cp:lastPrinted>
  <dcterms:created xsi:type="dcterms:W3CDTF">2025-02-21T08:32:00Z</dcterms:created>
  <dcterms:modified xsi:type="dcterms:W3CDTF">2025-02-21T08:32:00Z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