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5F3B" w14:textId="10F8B55B" w:rsidR="00863D3A" w:rsidRPr="00863D3A" w:rsidRDefault="00863D3A" w:rsidP="00863D3A">
      <w:pPr>
        <w:spacing w:after="120"/>
        <w:ind w:left="1985" w:hanging="1985"/>
        <w:jc w:val="both"/>
        <w:rPr>
          <w:rFonts w:ascii="Arial" w:eastAsiaTheme="minorEastAsia" w:hAnsi="Arial" w:cs="Arial"/>
          <w:b/>
        </w:rPr>
      </w:pPr>
      <w:r w:rsidRPr="00863D3A">
        <w:rPr>
          <w:rFonts w:ascii="Arial" w:eastAsiaTheme="minorEastAsia" w:hAnsi="Arial" w:cs="Arial"/>
          <w:b/>
        </w:rPr>
        <w:t>3GPP TSG-RAN WG4 Meeting #114</w:t>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t xml:space="preserve">                        R4-2</w:t>
      </w:r>
      <w:r w:rsidR="004753F2">
        <w:rPr>
          <w:rFonts w:ascii="Arial" w:eastAsiaTheme="minorEastAsia" w:hAnsi="Arial" w:cs="Arial"/>
          <w:b/>
        </w:rPr>
        <w:t>502194</w:t>
      </w:r>
    </w:p>
    <w:p w14:paraId="524124CC" w14:textId="72902CC7" w:rsidR="001177B5" w:rsidRDefault="00863D3A" w:rsidP="00863D3A">
      <w:pPr>
        <w:spacing w:after="120"/>
        <w:ind w:left="1985" w:hanging="1985"/>
        <w:jc w:val="both"/>
        <w:rPr>
          <w:rFonts w:ascii="Arial" w:eastAsiaTheme="minorEastAsia" w:hAnsi="Arial" w:cs="Arial"/>
          <w:b/>
        </w:rPr>
      </w:pPr>
      <w:r w:rsidRPr="00863D3A">
        <w:rPr>
          <w:rFonts w:ascii="Arial" w:eastAsiaTheme="minorEastAsia" w:hAnsi="Arial" w:cs="Arial"/>
          <w:b/>
        </w:rPr>
        <w:t>Athens, Greece, February 17 – 21, 2025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6E81963A"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586A24">
        <w:rPr>
          <w:rFonts w:ascii="Arial" w:eastAsiaTheme="minorEastAsia" w:hAnsi="Arial" w:cs="Arial"/>
          <w:color w:val="000000"/>
          <w:sz w:val="22"/>
        </w:rPr>
        <w:t>7</w:t>
      </w:r>
      <w:r w:rsidR="0019209A">
        <w:rPr>
          <w:rFonts w:ascii="Arial" w:eastAsiaTheme="minorEastAsia" w:hAnsi="Arial" w:cs="Arial"/>
          <w:color w:val="000000"/>
          <w:sz w:val="22"/>
        </w:rPr>
        <w:t>.</w:t>
      </w:r>
      <w:r w:rsidR="00455C33">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C41361">
        <w:rPr>
          <w:rFonts w:ascii="Arial" w:eastAsiaTheme="minorEastAsia" w:hAnsi="Arial" w:cs="Arial"/>
          <w:color w:val="000000"/>
          <w:sz w:val="22"/>
        </w:rPr>
        <w:t>2.2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89284B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057C41">
        <w:rPr>
          <w:rFonts w:ascii="Arial" w:eastAsia="MS Mincho" w:hAnsi="Arial" w:cs="Arial"/>
          <w:sz w:val="22"/>
        </w:rPr>
        <w:t>R</w:t>
      </w:r>
      <w:r w:rsidR="005027A6">
        <w:rPr>
          <w:rFonts w:ascii="Arial" w:eastAsia="MS Mincho" w:hAnsi="Arial" w:cs="Arial"/>
          <w:sz w:val="22"/>
        </w:rPr>
        <w:t xml:space="preserve">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C41361">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3C5B2E4" w14:textId="1F422C70" w:rsidR="00CB2802" w:rsidRDefault="00CB2802" w:rsidP="00CB2802">
      <w:pPr>
        <w:spacing w:after="120"/>
        <w:jc w:val="both"/>
        <w:rPr>
          <w:sz w:val="21"/>
          <w:szCs w:val="21"/>
        </w:rPr>
      </w:pPr>
      <w:r>
        <w:rPr>
          <w:sz w:val="21"/>
          <w:szCs w:val="21"/>
        </w:rPr>
        <w:t>In RAN#10</w:t>
      </w:r>
      <w:r w:rsidR="00863D3A">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NR-</w:t>
      </w:r>
      <w:r w:rsidRPr="005027A6">
        <w:rPr>
          <w:sz w:val="21"/>
          <w:szCs w:val="21"/>
        </w:rPr>
        <w:t>NTN</w:t>
      </w:r>
      <w:r>
        <w:rPr>
          <w:sz w:val="21"/>
          <w:szCs w:val="21"/>
        </w:rPr>
        <w:t xml:space="preserve"> with the following objectives:</w:t>
      </w:r>
    </w:p>
    <w:p w14:paraId="726C968A"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w:t>
      </w:r>
      <w:proofErr w:type="spellStart"/>
      <w:r w:rsidRPr="005027A6">
        <w:rPr>
          <w:rFonts w:eastAsia="MS Mincho"/>
          <w:i/>
          <w:iCs/>
          <w:sz w:val="21"/>
          <w:szCs w:val="21"/>
        </w:rPr>
        <w:t>eMTC</w:t>
      </w:r>
      <w:proofErr w:type="spellEnd"/>
      <w:r w:rsidRPr="005027A6">
        <w:rPr>
          <w:rFonts w:eastAsia="MS Mincho"/>
          <w:i/>
          <w:iCs/>
          <w:sz w:val="21"/>
          <w:szCs w:val="21"/>
        </w:rPr>
        <w:t xml:space="preserve"> based NTN) in FR1-NTN bands and the corresponding LTE NTN bands for the single uplink (UL) carrier scenario</w:t>
      </w:r>
    </w:p>
    <w:p w14:paraId="4AD8116F"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E21BF57"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4FB65BA6"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21E6D07D"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ED9157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59185535"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589C532"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615EDB1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0F06F518"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18F54C00"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4A1C25F3" w14:textId="47A930B4" w:rsidR="00FF1593" w:rsidRPr="00770531" w:rsidRDefault="00FF1593" w:rsidP="00FF1593">
      <w:pPr>
        <w:spacing w:after="120"/>
        <w:jc w:val="both"/>
        <w:rPr>
          <w:sz w:val="21"/>
          <w:szCs w:val="21"/>
        </w:rPr>
      </w:pPr>
      <w:r>
        <w:rPr>
          <w:sz w:val="21"/>
          <w:szCs w:val="21"/>
        </w:rPr>
        <w:t xml:space="preserve">In this contribution, we discuss the open issues on UE RF </w:t>
      </w:r>
      <w:r w:rsidR="00E34CD5">
        <w:rPr>
          <w:sz w:val="21"/>
          <w:szCs w:val="21"/>
        </w:rPr>
        <w:t>R</w:t>
      </w:r>
      <w:r>
        <w:rPr>
          <w:sz w:val="21"/>
          <w:szCs w:val="21"/>
        </w:rPr>
        <w:t>x requirements for NR-NTN HPUE from the approved WF in RAN4#1</w:t>
      </w:r>
      <w:r w:rsidR="00863D3A">
        <w:rPr>
          <w:sz w:val="21"/>
          <w:szCs w:val="21"/>
        </w:rPr>
        <w:t>13</w:t>
      </w:r>
      <w:r>
        <w:rPr>
          <w:sz w:val="21"/>
          <w:szCs w:val="21"/>
        </w:rPr>
        <w:t xml:space="preserve"> [2].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2ECFC2F6" w14:textId="5CFC7820" w:rsidR="001A25EC" w:rsidRDefault="001A25EC" w:rsidP="009F35FA">
      <w:pPr>
        <w:rPr>
          <w:sz w:val="21"/>
          <w:szCs w:val="21"/>
          <w:lang w:eastAsia="en-GB"/>
        </w:rPr>
      </w:pPr>
      <w:r w:rsidRPr="00E34CD5">
        <w:rPr>
          <w:sz w:val="21"/>
          <w:szCs w:val="21"/>
          <w:lang w:eastAsia="en-GB"/>
        </w:rPr>
        <w:t xml:space="preserve">In the approved WF [2], the following </w:t>
      </w:r>
      <w:r w:rsidR="00863D3A">
        <w:rPr>
          <w:sz w:val="21"/>
          <w:szCs w:val="21"/>
          <w:lang w:eastAsia="en-GB"/>
        </w:rPr>
        <w:t>issues are for further study</w:t>
      </w:r>
      <w:r w:rsidRPr="00E34CD5">
        <w:rPr>
          <w:sz w:val="21"/>
          <w:szCs w:val="21"/>
          <w:lang w:eastAsia="en-GB"/>
        </w:rPr>
        <w:t>:</w:t>
      </w:r>
    </w:p>
    <w:p w14:paraId="1810414B" w14:textId="77777777" w:rsidR="00863D3A" w:rsidRDefault="00863D3A" w:rsidP="009F35FA">
      <w:pPr>
        <w:rPr>
          <w:sz w:val="21"/>
          <w:szCs w:val="21"/>
          <w:lang w:eastAsia="en-GB"/>
        </w:rPr>
      </w:pPr>
    </w:p>
    <w:p w14:paraId="13F5DE89" w14:textId="77777777" w:rsidR="00863D3A" w:rsidRPr="00863D3A" w:rsidRDefault="00863D3A" w:rsidP="00863D3A">
      <w:pPr>
        <w:overflowPunct w:val="0"/>
        <w:autoSpaceDE w:val="0"/>
        <w:autoSpaceDN w:val="0"/>
        <w:adjustRightInd w:val="0"/>
        <w:spacing w:after="180"/>
        <w:textAlignment w:val="baseline"/>
        <w:rPr>
          <w:rFonts w:eastAsia="Malgun Gothic"/>
          <w:b/>
          <w:i/>
          <w:iCs/>
          <w:sz w:val="21"/>
          <w:szCs w:val="21"/>
          <w:u w:val="single"/>
          <w:lang w:val="en-GB" w:eastAsia="ko-KR"/>
        </w:rPr>
      </w:pPr>
      <w:r w:rsidRPr="00863D3A">
        <w:rPr>
          <w:b/>
          <w:i/>
          <w:iCs/>
          <w:sz w:val="21"/>
          <w:szCs w:val="21"/>
          <w:u w:val="single"/>
          <w:lang w:val="en-GB" w:eastAsia="ko-KR"/>
        </w:rPr>
        <w:t>Issue 3-1-1: General considerations</w:t>
      </w:r>
    </w:p>
    <w:p w14:paraId="5A66DB2D" w14:textId="77777777" w:rsidR="00863D3A" w:rsidRPr="00863D3A" w:rsidRDefault="00863D3A" w:rsidP="00863D3A">
      <w:pPr>
        <w:numPr>
          <w:ilvl w:val="0"/>
          <w:numId w:val="10"/>
        </w:numPr>
        <w:overflowPunct w:val="0"/>
        <w:autoSpaceDE w:val="0"/>
        <w:autoSpaceDN w:val="0"/>
        <w:adjustRightInd w:val="0"/>
        <w:spacing w:after="120"/>
        <w:ind w:left="720"/>
        <w:textAlignment w:val="baseline"/>
        <w:rPr>
          <w:rFonts w:eastAsia="SimSun"/>
          <w:i/>
          <w:iCs/>
          <w:sz w:val="21"/>
          <w:szCs w:val="21"/>
          <w:lang w:val="en-GB"/>
        </w:rPr>
      </w:pPr>
      <w:r w:rsidRPr="00863D3A">
        <w:rPr>
          <w:rFonts w:eastAsia="SimSun"/>
          <w:i/>
          <w:iCs/>
          <w:sz w:val="21"/>
          <w:szCs w:val="21"/>
          <w:lang w:val="en-GB"/>
        </w:rPr>
        <w:t>Proposals</w:t>
      </w:r>
    </w:p>
    <w:p w14:paraId="36F32A09" w14:textId="77777777" w:rsidR="00863D3A" w:rsidRPr="00863D3A" w:rsidRDefault="00863D3A" w:rsidP="00863D3A">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863D3A">
        <w:rPr>
          <w:rFonts w:eastAsia="SimSun"/>
          <w:i/>
          <w:iCs/>
          <w:sz w:val="21"/>
          <w:szCs w:val="21"/>
          <w:lang w:val="en-GB"/>
        </w:rPr>
        <w:t>Option 1: For power class 2, there is no differentiation of handheld and non-handheld UE. (P2b/R4-2418201)</w:t>
      </w:r>
    </w:p>
    <w:p w14:paraId="29A06932" w14:textId="77777777" w:rsidR="00863D3A" w:rsidRPr="00863D3A" w:rsidRDefault="00863D3A" w:rsidP="00863D3A">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863D3A">
        <w:rPr>
          <w:rFonts w:eastAsia="SimSun"/>
          <w:i/>
          <w:iCs/>
          <w:sz w:val="21"/>
          <w:szCs w:val="21"/>
          <w:lang w:val="en-GB"/>
        </w:rPr>
        <w:t>Option 2: The uplink configuration for reference sensitivity normally doesn’t depend on the power class, so for PC2 NR NTN UE, the REFSENs test can adopt the same UL configuration as for PC3 NR NTN UE. (P2/R4-2419717)</w:t>
      </w:r>
    </w:p>
    <w:p w14:paraId="09F07969" w14:textId="77777777" w:rsidR="00863D3A" w:rsidRPr="00A73542" w:rsidRDefault="00863D3A" w:rsidP="00863D3A">
      <w:pPr>
        <w:rPr>
          <w:sz w:val="21"/>
          <w:szCs w:val="21"/>
          <w:lang w:eastAsia="en-GB"/>
        </w:rPr>
      </w:pPr>
      <w:r w:rsidRPr="00A73542">
        <w:rPr>
          <w:sz w:val="21"/>
          <w:szCs w:val="21"/>
          <w:lang w:eastAsia="en-GB"/>
        </w:rPr>
        <w:lastRenderedPageBreak/>
        <w:t xml:space="preserve">In TS38.101-1 [3], </w:t>
      </w:r>
      <w:r>
        <w:rPr>
          <w:sz w:val="21"/>
          <w:szCs w:val="21"/>
          <w:lang w:eastAsia="en-GB"/>
        </w:rPr>
        <w:t>the UL configuration for the REFSENs test does not depend on the applied Power Class. So, the same approach could be adopted for NTN.</w:t>
      </w:r>
    </w:p>
    <w:p w14:paraId="696E673E" w14:textId="77777777" w:rsidR="00863D3A" w:rsidRDefault="00863D3A" w:rsidP="00863D3A">
      <w:pPr>
        <w:rPr>
          <w:b/>
          <w:bCs/>
          <w:sz w:val="21"/>
          <w:szCs w:val="21"/>
          <w:lang w:eastAsia="en-GB"/>
        </w:rPr>
      </w:pPr>
    </w:p>
    <w:p w14:paraId="4B7B94E8" w14:textId="77777777" w:rsidR="00863D3A" w:rsidRPr="00E34CD5" w:rsidRDefault="00863D3A" w:rsidP="00863D3A">
      <w:pPr>
        <w:rPr>
          <w:b/>
          <w:bCs/>
          <w:sz w:val="21"/>
          <w:szCs w:val="21"/>
          <w:lang w:eastAsia="en-GB"/>
        </w:rPr>
      </w:pPr>
      <w:r w:rsidRPr="00E34CD5">
        <w:rPr>
          <w:b/>
          <w:bCs/>
          <w:sz w:val="21"/>
          <w:szCs w:val="21"/>
          <w:lang w:eastAsia="en-GB"/>
        </w:rPr>
        <w:t xml:space="preserve">Proposal </w:t>
      </w:r>
      <w:r>
        <w:rPr>
          <w:b/>
          <w:bCs/>
          <w:sz w:val="21"/>
          <w:szCs w:val="21"/>
          <w:lang w:eastAsia="en-GB"/>
        </w:rPr>
        <w:t>1</w:t>
      </w:r>
      <w:r w:rsidRPr="00E34CD5">
        <w:rPr>
          <w:b/>
          <w:bCs/>
          <w:sz w:val="21"/>
          <w:szCs w:val="21"/>
          <w:lang w:eastAsia="en-GB"/>
        </w:rPr>
        <w:t xml:space="preserve">: The uplink configuration for reference sensitivity normally doesn’t depend on the power class, so for PC2 NR NTN UE, the REFSENs test can adopt the same UL configuration as for PC3 NR NTN UE. </w:t>
      </w:r>
    </w:p>
    <w:p w14:paraId="69F67E13" w14:textId="77777777" w:rsidR="00586A24" w:rsidRPr="00E34CD5" w:rsidRDefault="00586A24" w:rsidP="00586A24">
      <w:pPr>
        <w:overflowPunct w:val="0"/>
        <w:autoSpaceDE w:val="0"/>
        <w:autoSpaceDN w:val="0"/>
        <w:spacing w:after="180"/>
        <w:textAlignment w:val="baseline"/>
        <w:rPr>
          <w:i/>
          <w:iCs/>
          <w:sz w:val="21"/>
          <w:szCs w:val="21"/>
          <w:lang w:val="en-GB" w:eastAsia="en-GB"/>
        </w:rPr>
      </w:pPr>
    </w:p>
    <w:p w14:paraId="7B10DAEA" w14:textId="77777777" w:rsidR="00863D3A" w:rsidRPr="00863D3A" w:rsidRDefault="00863D3A" w:rsidP="00863D3A">
      <w:pPr>
        <w:overflowPunct w:val="0"/>
        <w:autoSpaceDE w:val="0"/>
        <w:autoSpaceDN w:val="0"/>
        <w:adjustRightInd w:val="0"/>
        <w:spacing w:after="180"/>
        <w:textAlignment w:val="baseline"/>
        <w:rPr>
          <w:b/>
          <w:i/>
          <w:iCs/>
          <w:sz w:val="21"/>
          <w:szCs w:val="21"/>
          <w:u w:val="single"/>
          <w:lang w:val="en-GB" w:eastAsia="ko-KR"/>
        </w:rPr>
      </w:pPr>
      <w:r w:rsidRPr="00863D3A">
        <w:rPr>
          <w:b/>
          <w:i/>
          <w:iCs/>
          <w:sz w:val="21"/>
          <w:szCs w:val="21"/>
          <w:u w:val="single"/>
          <w:lang w:val="en-GB" w:eastAsia="ko-KR"/>
        </w:rPr>
        <w:t>Issue 3-2: RSD requirements for PC1.5</w:t>
      </w:r>
    </w:p>
    <w:p w14:paraId="50AB3C77" w14:textId="77777777" w:rsidR="00863D3A" w:rsidRPr="00863D3A" w:rsidRDefault="00863D3A" w:rsidP="00863D3A">
      <w:pPr>
        <w:numPr>
          <w:ilvl w:val="0"/>
          <w:numId w:val="10"/>
        </w:numPr>
        <w:overflowPunct w:val="0"/>
        <w:autoSpaceDE w:val="0"/>
        <w:autoSpaceDN w:val="0"/>
        <w:adjustRightInd w:val="0"/>
        <w:spacing w:after="120"/>
        <w:ind w:left="720"/>
        <w:textAlignment w:val="baseline"/>
        <w:rPr>
          <w:rFonts w:eastAsia="SimSun"/>
          <w:i/>
          <w:iCs/>
          <w:sz w:val="21"/>
          <w:szCs w:val="21"/>
          <w:lang w:val="en-GB"/>
        </w:rPr>
      </w:pPr>
      <w:r w:rsidRPr="00863D3A">
        <w:rPr>
          <w:rFonts w:eastAsia="SimSun"/>
          <w:i/>
          <w:iCs/>
          <w:sz w:val="21"/>
          <w:szCs w:val="21"/>
          <w:lang w:val="en-GB"/>
        </w:rPr>
        <w:t>Proposals</w:t>
      </w:r>
    </w:p>
    <w:p w14:paraId="543B8C01" w14:textId="77777777" w:rsidR="00863D3A" w:rsidRPr="00863D3A" w:rsidRDefault="00863D3A" w:rsidP="00863D3A">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863D3A">
        <w:rPr>
          <w:rFonts w:eastAsia="SimSun"/>
          <w:i/>
          <w:iCs/>
          <w:sz w:val="21"/>
          <w:szCs w:val="21"/>
          <w:lang w:val="en-GB"/>
        </w:rPr>
        <w:t>Option 1: For NR NTN PC 1.5 handheld HPUE, the RSD value depends on the architecture of HPUE (P1/R4-2417815)</w:t>
      </w:r>
    </w:p>
    <w:p w14:paraId="0B76D5FD" w14:textId="77777777" w:rsidR="00863D3A" w:rsidRPr="00863D3A" w:rsidRDefault="00863D3A" w:rsidP="00863D3A">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863D3A">
        <w:rPr>
          <w:rFonts w:eastAsia="SimSun"/>
          <w:i/>
          <w:iCs/>
          <w:sz w:val="21"/>
          <w:szCs w:val="21"/>
          <w:lang w:val="en-GB"/>
        </w:rPr>
        <w:t>Option 2: For PC1.5, 2Tx RSD are the same for handheld and non-handheld, while 1Tx RSD is likely to consider non-handheld only (P3/R4-2418201)</w:t>
      </w:r>
    </w:p>
    <w:p w14:paraId="68FBF34B" w14:textId="77777777" w:rsidR="00863D3A" w:rsidRPr="00863D3A" w:rsidRDefault="00863D3A" w:rsidP="00863D3A">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863D3A">
        <w:rPr>
          <w:rFonts w:eastAsia="SimSun"/>
          <w:i/>
          <w:iCs/>
          <w:sz w:val="21"/>
          <w:szCs w:val="21"/>
          <w:lang w:val="en-GB"/>
        </w:rPr>
        <w:t>Option 3: no RSD is needed for non-handheld UE including PC 1 and PC 1.5. (P3/R4-2419016)</w:t>
      </w:r>
    </w:p>
    <w:p w14:paraId="24B180C7" w14:textId="77777777" w:rsidR="00863D3A" w:rsidRPr="00863D3A" w:rsidRDefault="00863D3A" w:rsidP="00863D3A">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863D3A">
        <w:rPr>
          <w:rFonts w:eastAsia="SimSun"/>
          <w:i/>
          <w:iCs/>
          <w:sz w:val="21"/>
          <w:szCs w:val="21"/>
          <w:lang w:val="en-GB"/>
        </w:rPr>
        <w:t>Option 4: [2.2] dB RSD for PC1.5 with 2Tx architecture for n256.</w:t>
      </w:r>
    </w:p>
    <w:p w14:paraId="03BB0CB7" w14:textId="77777777" w:rsidR="00863D3A" w:rsidRDefault="00863D3A" w:rsidP="00863D3A">
      <w:pPr>
        <w:rPr>
          <w:b/>
          <w:i/>
          <w:iCs/>
          <w:sz w:val="21"/>
          <w:szCs w:val="21"/>
          <w:u w:val="single"/>
          <w:lang w:eastAsia="ko-KR"/>
        </w:rPr>
      </w:pPr>
    </w:p>
    <w:p w14:paraId="6C7C0C52" w14:textId="14CC7BEE" w:rsidR="00863D3A" w:rsidRPr="00863D3A" w:rsidRDefault="00863D3A" w:rsidP="00863D3A">
      <w:pPr>
        <w:rPr>
          <w:b/>
          <w:i/>
          <w:iCs/>
          <w:sz w:val="21"/>
          <w:szCs w:val="21"/>
          <w:u w:val="single"/>
          <w:lang w:eastAsia="ko-KR"/>
        </w:rPr>
      </w:pPr>
      <w:r w:rsidRPr="00863D3A">
        <w:rPr>
          <w:b/>
          <w:i/>
          <w:iCs/>
          <w:sz w:val="21"/>
          <w:szCs w:val="21"/>
          <w:u w:val="single"/>
          <w:lang w:eastAsia="ko-KR"/>
        </w:rPr>
        <w:t>Issue 3-3: RSD requirements for PC1</w:t>
      </w:r>
    </w:p>
    <w:p w14:paraId="6DF19235" w14:textId="77777777" w:rsidR="00863D3A" w:rsidRPr="00863D3A" w:rsidRDefault="00863D3A" w:rsidP="00863D3A">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863D3A">
        <w:rPr>
          <w:rFonts w:eastAsia="SimSun"/>
          <w:i/>
          <w:iCs/>
          <w:sz w:val="21"/>
          <w:szCs w:val="21"/>
        </w:rPr>
        <w:t>Proposals</w:t>
      </w:r>
    </w:p>
    <w:p w14:paraId="6782F529" w14:textId="77777777" w:rsidR="00863D3A" w:rsidRPr="00863D3A" w:rsidRDefault="00863D3A" w:rsidP="00863D3A">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863D3A">
        <w:rPr>
          <w:rFonts w:eastAsia="SimSun"/>
          <w:i/>
          <w:iCs/>
          <w:sz w:val="21"/>
          <w:szCs w:val="21"/>
        </w:rPr>
        <w:t xml:space="preserve">Option 1: For PC1 1Tx for NR-NTN, which is only considered feasible for non-handheld, the RSD is proposed to be 0dB (P4a/R4-2418201) </w:t>
      </w:r>
    </w:p>
    <w:p w14:paraId="2604141E" w14:textId="77777777" w:rsidR="00863D3A" w:rsidRPr="00863D3A" w:rsidRDefault="00863D3A" w:rsidP="00863D3A">
      <w:pPr>
        <w:pStyle w:val="ListParagraph"/>
        <w:numPr>
          <w:ilvl w:val="2"/>
          <w:numId w:val="10"/>
        </w:numPr>
        <w:overflowPunct/>
        <w:autoSpaceDE/>
        <w:autoSpaceDN/>
        <w:adjustRightInd/>
        <w:spacing w:after="120"/>
        <w:ind w:firstLineChars="0"/>
        <w:textAlignment w:val="auto"/>
        <w:rPr>
          <w:rFonts w:eastAsia="SimSun"/>
          <w:i/>
          <w:iCs/>
          <w:sz w:val="21"/>
          <w:szCs w:val="21"/>
        </w:rPr>
      </w:pPr>
      <w:r w:rsidRPr="00863D3A">
        <w:rPr>
          <w:rFonts w:eastAsia="SimSun"/>
          <w:i/>
          <w:iCs/>
          <w:sz w:val="21"/>
          <w:szCs w:val="21"/>
        </w:rPr>
        <w:t>Option 1-1: FFS for PC1 with 2 or 3 Tx cases (P4b/R4-2418201)</w:t>
      </w:r>
    </w:p>
    <w:p w14:paraId="05847DCC" w14:textId="77777777" w:rsidR="00863D3A" w:rsidRPr="00863D3A" w:rsidRDefault="00863D3A" w:rsidP="00863D3A">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863D3A">
        <w:rPr>
          <w:rFonts w:eastAsia="SimSun"/>
          <w:i/>
          <w:iCs/>
          <w:sz w:val="21"/>
          <w:szCs w:val="21"/>
        </w:rPr>
        <w:t>Option 2 no RSD is needed for non-handheld UE including PC 1 and PC 1.5. (P3/R4-2419016)</w:t>
      </w:r>
    </w:p>
    <w:p w14:paraId="3458104B" w14:textId="77777777" w:rsidR="00863D3A" w:rsidRPr="00863D3A" w:rsidRDefault="00863D3A" w:rsidP="00863D3A">
      <w:pPr>
        <w:overflowPunct w:val="0"/>
        <w:autoSpaceDE w:val="0"/>
        <w:autoSpaceDN w:val="0"/>
        <w:adjustRightInd w:val="0"/>
        <w:spacing w:after="120"/>
        <w:textAlignment w:val="baseline"/>
        <w:rPr>
          <w:rFonts w:eastAsia="SimSun"/>
          <w:sz w:val="20"/>
          <w:lang w:val="en-GB"/>
        </w:rPr>
      </w:pPr>
    </w:p>
    <w:p w14:paraId="1DAD4508" w14:textId="38B21427" w:rsidR="00E34CD5" w:rsidRPr="00E34CD5" w:rsidRDefault="00863D3A"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For TN, the RSD requirements are not specified for PC1.5 and PC1</w:t>
      </w:r>
      <w:r w:rsidR="00A73542">
        <w:rPr>
          <w:rFonts w:eastAsia="DengXian"/>
          <w:sz w:val="21"/>
          <w:szCs w:val="21"/>
          <w:lang w:val="en-GB"/>
        </w:rPr>
        <w:t>.</w:t>
      </w:r>
      <w:r>
        <w:rPr>
          <w:rFonts w:eastAsia="DengXian"/>
          <w:sz w:val="21"/>
          <w:szCs w:val="21"/>
          <w:lang w:val="en-GB"/>
        </w:rPr>
        <w:t xml:space="preserve"> FDD bands do not support PC1.5, while PC1 </w:t>
      </w:r>
      <w:r w:rsidR="004B451E" w:rsidRPr="004B451E">
        <w:rPr>
          <w:rFonts w:eastAsia="DengXian"/>
          <w:sz w:val="21"/>
          <w:szCs w:val="21"/>
          <w:lang w:val="en-GB"/>
        </w:rPr>
        <w:t>UE</w:t>
      </w:r>
      <w:r w:rsidR="00DB2821">
        <w:rPr>
          <w:rFonts w:eastAsia="DengXian"/>
          <w:sz w:val="21"/>
          <w:szCs w:val="21"/>
          <w:lang w:val="en-GB"/>
        </w:rPr>
        <w:t>s</w:t>
      </w:r>
      <w:r w:rsidR="004B451E" w:rsidRPr="004B451E">
        <w:rPr>
          <w:rFonts w:eastAsia="DengXian"/>
          <w:sz w:val="21"/>
          <w:szCs w:val="21"/>
          <w:lang w:val="en-GB"/>
        </w:rPr>
        <w:t xml:space="preserve"> </w:t>
      </w:r>
      <w:r w:rsidR="00DB2821">
        <w:rPr>
          <w:rFonts w:eastAsia="DengXian"/>
          <w:sz w:val="21"/>
          <w:szCs w:val="21"/>
          <w:lang w:val="en-GB"/>
        </w:rPr>
        <w:t>are</w:t>
      </w:r>
      <w:r w:rsidR="004B451E" w:rsidRPr="004B451E">
        <w:rPr>
          <w:rFonts w:eastAsia="DengXian"/>
          <w:sz w:val="21"/>
          <w:szCs w:val="21"/>
          <w:lang w:val="en-GB"/>
        </w:rPr>
        <w:t xml:space="preserve"> not targeted for smartphone form factor</w:t>
      </w:r>
      <w:r w:rsidR="004B451E">
        <w:rPr>
          <w:rFonts w:eastAsia="DengXian"/>
          <w:sz w:val="21"/>
          <w:szCs w:val="21"/>
          <w:lang w:val="en-GB"/>
        </w:rPr>
        <w:t>. For the NTN, no RSD for PC1.5 and PC1 can be taken as the starting point.</w:t>
      </w:r>
    </w:p>
    <w:p w14:paraId="0BD09203" w14:textId="5881CD2E" w:rsidR="009716D1" w:rsidRPr="00863D3A" w:rsidRDefault="00586A24" w:rsidP="00863D3A">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sidR="00863D3A">
        <w:rPr>
          <w:rFonts w:eastAsia="DengXian"/>
          <w:b/>
          <w:bCs/>
          <w:sz w:val="21"/>
          <w:szCs w:val="21"/>
          <w:lang w:val="en-GB"/>
        </w:rPr>
        <w:t>2</w:t>
      </w:r>
      <w:r w:rsidRPr="00E34CD5">
        <w:rPr>
          <w:rFonts w:eastAsia="DengXian"/>
          <w:b/>
          <w:bCs/>
          <w:sz w:val="21"/>
          <w:szCs w:val="21"/>
          <w:lang w:val="en-GB"/>
        </w:rPr>
        <w:t xml:space="preserve">: </w:t>
      </w:r>
      <w:r w:rsidR="007152F4" w:rsidRPr="007152F4">
        <w:rPr>
          <w:rFonts w:eastAsia="DengXian"/>
          <w:b/>
          <w:bCs/>
          <w:sz w:val="21"/>
          <w:szCs w:val="21"/>
          <w:lang w:val="en-GB"/>
        </w:rPr>
        <w:t xml:space="preserve">For the </w:t>
      </w:r>
      <w:r w:rsidR="007152F4">
        <w:rPr>
          <w:rFonts w:eastAsia="DengXian"/>
          <w:b/>
          <w:bCs/>
          <w:sz w:val="21"/>
          <w:szCs w:val="21"/>
          <w:lang w:val="en-GB"/>
        </w:rPr>
        <w:t>NR-</w:t>
      </w:r>
      <w:r w:rsidR="007152F4" w:rsidRPr="007152F4">
        <w:rPr>
          <w:rFonts w:eastAsia="DengXian"/>
          <w:b/>
          <w:bCs/>
          <w:sz w:val="21"/>
          <w:szCs w:val="21"/>
          <w:lang w:val="en-GB"/>
        </w:rPr>
        <w:t xml:space="preserve">NTN, </w:t>
      </w:r>
      <w:r w:rsidR="00DB2821">
        <w:rPr>
          <w:rFonts w:eastAsia="DengXian"/>
          <w:b/>
          <w:bCs/>
          <w:sz w:val="21"/>
          <w:szCs w:val="21"/>
          <w:lang w:val="en-GB"/>
        </w:rPr>
        <w:t xml:space="preserve">as the starting point consider </w:t>
      </w:r>
      <w:r w:rsidR="007152F4">
        <w:rPr>
          <w:rFonts w:eastAsia="DengXian"/>
          <w:b/>
          <w:bCs/>
          <w:sz w:val="21"/>
          <w:szCs w:val="21"/>
          <w:lang w:val="en-GB"/>
        </w:rPr>
        <w:t xml:space="preserve">not </w:t>
      </w:r>
      <w:r w:rsidR="00DB2821">
        <w:rPr>
          <w:rFonts w:eastAsia="DengXian"/>
          <w:b/>
          <w:bCs/>
          <w:sz w:val="21"/>
          <w:szCs w:val="21"/>
          <w:lang w:val="en-GB"/>
        </w:rPr>
        <w:t xml:space="preserve">to </w:t>
      </w:r>
      <w:r w:rsidR="007152F4">
        <w:rPr>
          <w:rFonts w:eastAsia="DengXian"/>
          <w:b/>
          <w:bCs/>
          <w:sz w:val="21"/>
          <w:szCs w:val="21"/>
          <w:lang w:val="en-GB"/>
        </w:rPr>
        <w:t>specify</w:t>
      </w:r>
      <w:r w:rsidR="007152F4" w:rsidRPr="007152F4">
        <w:rPr>
          <w:rFonts w:eastAsia="DengXian"/>
          <w:b/>
          <w:bCs/>
          <w:sz w:val="21"/>
          <w:szCs w:val="21"/>
          <w:lang w:val="en-GB"/>
        </w:rPr>
        <w:t xml:space="preserve"> RSD </w:t>
      </w:r>
      <w:r w:rsidR="007152F4">
        <w:rPr>
          <w:rFonts w:eastAsia="DengXian"/>
          <w:b/>
          <w:bCs/>
          <w:sz w:val="21"/>
          <w:szCs w:val="21"/>
          <w:lang w:val="en-GB"/>
        </w:rPr>
        <w:t xml:space="preserve">requirements </w:t>
      </w:r>
      <w:r w:rsidR="007152F4" w:rsidRPr="007152F4">
        <w:rPr>
          <w:rFonts w:eastAsia="DengXian"/>
          <w:b/>
          <w:bCs/>
          <w:sz w:val="21"/>
          <w:szCs w:val="21"/>
          <w:lang w:val="en-GB"/>
        </w:rPr>
        <w:t>for PC1.5 and PC1</w:t>
      </w:r>
      <w:r w:rsidRPr="00E34CD5">
        <w:rPr>
          <w:rFonts w:eastAsia="DengXian"/>
          <w:b/>
          <w:bCs/>
          <w:sz w:val="21"/>
          <w:szCs w:val="21"/>
          <w:lang w:val="en-GB"/>
        </w:rPr>
        <w:t xml:space="preserve">. </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2E85FBD6"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A73542">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717AF46D" w14:textId="77777777" w:rsidR="004753F2" w:rsidRPr="00E34CD5" w:rsidRDefault="004753F2" w:rsidP="004753F2">
      <w:pPr>
        <w:rPr>
          <w:b/>
          <w:bCs/>
          <w:sz w:val="21"/>
          <w:szCs w:val="21"/>
          <w:lang w:eastAsia="en-GB"/>
        </w:rPr>
      </w:pPr>
      <w:r w:rsidRPr="00E34CD5">
        <w:rPr>
          <w:b/>
          <w:bCs/>
          <w:sz w:val="21"/>
          <w:szCs w:val="21"/>
          <w:lang w:eastAsia="en-GB"/>
        </w:rPr>
        <w:t xml:space="preserve">Proposal </w:t>
      </w:r>
      <w:r>
        <w:rPr>
          <w:b/>
          <w:bCs/>
          <w:sz w:val="21"/>
          <w:szCs w:val="21"/>
          <w:lang w:eastAsia="en-GB"/>
        </w:rPr>
        <w:t>1</w:t>
      </w:r>
      <w:r w:rsidRPr="00E34CD5">
        <w:rPr>
          <w:b/>
          <w:bCs/>
          <w:sz w:val="21"/>
          <w:szCs w:val="21"/>
          <w:lang w:eastAsia="en-GB"/>
        </w:rPr>
        <w:t xml:space="preserve">: The uplink configuration for reference sensitivity normally doesn’t depend on the power class, so for PC2 NR NTN UE, the REFSENs test can adopt the same UL configuration as for PC3 NR NTN UE. </w:t>
      </w:r>
    </w:p>
    <w:p w14:paraId="58D0D20E" w14:textId="77777777" w:rsidR="007152F4" w:rsidRPr="00E34CD5" w:rsidRDefault="007152F4" w:rsidP="007152F4">
      <w:pPr>
        <w:rPr>
          <w:b/>
          <w:bCs/>
          <w:sz w:val="21"/>
          <w:szCs w:val="21"/>
          <w:lang w:eastAsia="en-GB"/>
        </w:rPr>
      </w:pPr>
    </w:p>
    <w:p w14:paraId="585A5D32" w14:textId="77777777" w:rsidR="004753F2" w:rsidRPr="00863D3A" w:rsidRDefault="004753F2" w:rsidP="004753F2">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Pr>
          <w:rFonts w:eastAsia="DengXian"/>
          <w:b/>
          <w:bCs/>
          <w:sz w:val="21"/>
          <w:szCs w:val="21"/>
          <w:lang w:val="en-GB"/>
        </w:rPr>
        <w:t>2</w:t>
      </w:r>
      <w:r w:rsidRPr="00E34CD5">
        <w:rPr>
          <w:rFonts w:eastAsia="DengXian"/>
          <w:b/>
          <w:bCs/>
          <w:sz w:val="21"/>
          <w:szCs w:val="21"/>
          <w:lang w:val="en-GB"/>
        </w:rPr>
        <w:t xml:space="preserve">: </w:t>
      </w:r>
      <w:r w:rsidRPr="007152F4">
        <w:rPr>
          <w:rFonts w:eastAsia="DengXian"/>
          <w:b/>
          <w:bCs/>
          <w:sz w:val="21"/>
          <w:szCs w:val="21"/>
          <w:lang w:val="en-GB"/>
        </w:rPr>
        <w:t xml:space="preserve">For the </w:t>
      </w:r>
      <w:r>
        <w:rPr>
          <w:rFonts w:eastAsia="DengXian"/>
          <w:b/>
          <w:bCs/>
          <w:sz w:val="21"/>
          <w:szCs w:val="21"/>
          <w:lang w:val="en-GB"/>
        </w:rPr>
        <w:t>NR-</w:t>
      </w:r>
      <w:r w:rsidRPr="007152F4">
        <w:rPr>
          <w:rFonts w:eastAsia="DengXian"/>
          <w:b/>
          <w:bCs/>
          <w:sz w:val="21"/>
          <w:szCs w:val="21"/>
          <w:lang w:val="en-GB"/>
        </w:rPr>
        <w:t xml:space="preserve">NTN, </w:t>
      </w:r>
      <w:r>
        <w:rPr>
          <w:rFonts w:eastAsia="DengXian"/>
          <w:b/>
          <w:bCs/>
          <w:sz w:val="21"/>
          <w:szCs w:val="21"/>
          <w:lang w:val="en-GB"/>
        </w:rPr>
        <w:t>as the starting point consider not to specify</w:t>
      </w:r>
      <w:r w:rsidRPr="007152F4">
        <w:rPr>
          <w:rFonts w:eastAsia="DengXian"/>
          <w:b/>
          <w:bCs/>
          <w:sz w:val="21"/>
          <w:szCs w:val="21"/>
          <w:lang w:val="en-GB"/>
        </w:rPr>
        <w:t xml:space="preserve"> RSD </w:t>
      </w:r>
      <w:r>
        <w:rPr>
          <w:rFonts w:eastAsia="DengXian"/>
          <w:b/>
          <w:bCs/>
          <w:sz w:val="21"/>
          <w:szCs w:val="21"/>
          <w:lang w:val="en-GB"/>
        </w:rPr>
        <w:t xml:space="preserve">requirements </w:t>
      </w:r>
      <w:r w:rsidRPr="007152F4">
        <w:rPr>
          <w:rFonts w:eastAsia="DengXian"/>
          <w:b/>
          <w:bCs/>
          <w:sz w:val="21"/>
          <w:szCs w:val="21"/>
          <w:lang w:val="en-GB"/>
        </w:rPr>
        <w:t>for PC1.5 and PC1</w:t>
      </w:r>
      <w:r w:rsidRPr="00E34CD5">
        <w:rPr>
          <w:rFonts w:eastAsia="DengXian"/>
          <w:b/>
          <w:bCs/>
          <w:sz w:val="21"/>
          <w:szCs w:val="21"/>
          <w:lang w:val="en-GB"/>
        </w:rPr>
        <w:t xml:space="preserve">. </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5858869" w14:textId="77777777" w:rsidR="00863D3A" w:rsidRPr="00DB233E" w:rsidRDefault="00863D3A" w:rsidP="00863D3A">
      <w:pPr>
        <w:pStyle w:val="ListParagraph"/>
        <w:numPr>
          <w:ilvl w:val="0"/>
          <w:numId w:val="13"/>
        </w:numPr>
        <w:ind w:firstLineChars="0"/>
        <w:jc w:val="both"/>
        <w:rPr>
          <w:rFonts w:ascii="Arial" w:hAnsi="Arial" w:cs="Arial"/>
          <w:iCs/>
          <w:sz w:val="22"/>
          <w:szCs w:val="22"/>
        </w:rPr>
      </w:pPr>
      <w:bookmarkStart w:id="0" w:name="_Ref129967845"/>
      <w:bookmarkStart w:id="1" w:name="_Hlk180683891"/>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0"/>
    </w:p>
    <w:p w14:paraId="2ECEFEE2" w14:textId="77777777" w:rsidR="00863D3A" w:rsidRPr="00DB233E" w:rsidRDefault="00863D3A" w:rsidP="00863D3A">
      <w:pPr>
        <w:pStyle w:val="ListParagraph"/>
        <w:numPr>
          <w:ilvl w:val="0"/>
          <w:numId w:val="13"/>
        </w:numPr>
        <w:ind w:firstLineChars="0"/>
        <w:jc w:val="both"/>
        <w:rPr>
          <w:iCs/>
          <w:sz w:val="22"/>
          <w:szCs w:val="22"/>
        </w:rPr>
      </w:pPr>
      <w:r w:rsidRPr="00DB233E">
        <w:rPr>
          <w:iCs/>
          <w:sz w:val="22"/>
          <w:szCs w:val="22"/>
        </w:rPr>
        <w:t>R4-</w:t>
      </w:r>
      <w:r>
        <w:rPr>
          <w:iCs/>
          <w:sz w:val="22"/>
          <w:szCs w:val="22"/>
        </w:rPr>
        <w:t>2420403, “</w:t>
      </w:r>
      <w:r w:rsidRPr="000F5597">
        <w:rPr>
          <w:iCs/>
          <w:sz w:val="22"/>
          <w:szCs w:val="22"/>
        </w:rPr>
        <w:t>WF on NR NTN HPUE</w:t>
      </w:r>
      <w:r>
        <w:rPr>
          <w:iCs/>
          <w:sz w:val="22"/>
          <w:szCs w:val="22"/>
        </w:rPr>
        <w:t>”, Samsung, RAN4#113.</w:t>
      </w:r>
    </w:p>
    <w:bookmarkEnd w:id="1"/>
    <w:p w14:paraId="4F992F70" w14:textId="64EB4217" w:rsidR="006977D1" w:rsidRPr="00370D2C" w:rsidRDefault="00F649CE" w:rsidP="00D03470">
      <w:pPr>
        <w:pStyle w:val="ListParagraph"/>
        <w:numPr>
          <w:ilvl w:val="0"/>
          <w:numId w:val="13"/>
        </w:numPr>
        <w:ind w:firstLineChars="0"/>
        <w:jc w:val="both"/>
        <w:rPr>
          <w:rFonts w:ascii="Arial" w:hAnsi="Arial" w:cs="Arial"/>
          <w:iCs/>
          <w:sz w:val="22"/>
          <w:szCs w:val="22"/>
        </w:rPr>
      </w:pPr>
      <w:r w:rsidRPr="00370D2C">
        <w:rPr>
          <w:sz w:val="22"/>
          <w:szCs w:val="22"/>
        </w:rPr>
        <w:t>3GPP TS 38.101-</w:t>
      </w:r>
      <w:r w:rsidR="00C23869" w:rsidRPr="00370D2C">
        <w:rPr>
          <w:sz w:val="22"/>
          <w:szCs w:val="22"/>
        </w:rPr>
        <w:t>1</w:t>
      </w:r>
      <w:r w:rsidRPr="00370D2C">
        <w:rPr>
          <w:sz w:val="22"/>
          <w:szCs w:val="22"/>
        </w:rPr>
        <w:t xml:space="preserve"> V1</w:t>
      </w:r>
      <w:r w:rsidR="00863D3A">
        <w:rPr>
          <w:sz w:val="22"/>
          <w:szCs w:val="22"/>
        </w:rPr>
        <w:t>9</w:t>
      </w:r>
      <w:r w:rsidRPr="00370D2C">
        <w:rPr>
          <w:sz w:val="22"/>
          <w:szCs w:val="22"/>
        </w:rPr>
        <w:t>.</w:t>
      </w:r>
      <w:r w:rsidR="00863D3A">
        <w:rPr>
          <w:sz w:val="22"/>
          <w:szCs w:val="22"/>
        </w:rPr>
        <w:t>0</w:t>
      </w:r>
      <w:r w:rsidRPr="00370D2C">
        <w:rPr>
          <w:sz w:val="22"/>
          <w:szCs w:val="22"/>
        </w:rPr>
        <w:t xml:space="preserve">.0, “NR; </w:t>
      </w:r>
      <w:r w:rsidR="00C23869" w:rsidRPr="00370D2C">
        <w:rPr>
          <w:sz w:val="22"/>
          <w:szCs w:val="22"/>
        </w:rPr>
        <w:t>User Equipment (UE) radio transmission and reception; Part 1: Range 1 Standalone</w:t>
      </w:r>
      <w:r w:rsidRPr="00370D2C">
        <w:rPr>
          <w:sz w:val="22"/>
          <w:szCs w:val="22"/>
        </w:rPr>
        <w:t>”</w:t>
      </w:r>
    </w:p>
    <w:sectPr w:rsidR="006977D1" w:rsidRPr="00370D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D4B5" w14:textId="77777777" w:rsidR="00265780" w:rsidRDefault="00265780" w:rsidP="00CF21FF">
      <w:r>
        <w:separator/>
      </w:r>
    </w:p>
  </w:endnote>
  <w:endnote w:type="continuationSeparator" w:id="0">
    <w:p w14:paraId="37836E1F" w14:textId="77777777" w:rsidR="00265780" w:rsidRDefault="00265780" w:rsidP="00CF21FF">
      <w:r>
        <w:continuationSeparator/>
      </w:r>
    </w:p>
  </w:endnote>
  <w:endnote w:type="continuationNotice" w:id="1">
    <w:p w14:paraId="381ACA39" w14:textId="77777777" w:rsidR="00265780" w:rsidRDefault="0026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8B66" w14:textId="77777777" w:rsidR="00265780" w:rsidRDefault="00265780" w:rsidP="00CF21FF">
      <w:r>
        <w:separator/>
      </w:r>
    </w:p>
  </w:footnote>
  <w:footnote w:type="continuationSeparator" w:id="0">
    <w:p w14:paraId="3C14A910" w14:textId="77777777" w:rsidR="00265780" w:rsidRDefault="00265780" w:rsidP="00CF21FF">
      <w:r>
        <w:continuationSeparator/>
      </w:r>
    </w:p>
  </w:footnote>
  <w:footnote w:type="continuationNotice" w:id="1">
    <w:p w14:paraId="35D0FA4F" w14:textId="77777777" w:rsidR="00265780" w:rsidRDefault="00265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8"/>
  </w:num>
  <w:num w:numId="2" w16cid:durableId="206456521">
    <w:abstractNumId w:val="11"/>
  </w:num>
  <w:num w:numId="3" w16cid:durableId="2114860448">
    <w:abstractNumId w:val="4"/>
  </w:num>
  <w:num w:numId="4" w16cid:durableId="236524273">
    <w:abstractNumId w:val="12"/>
  </w:num>
  <w:num w:numId="5" w16cid:durableId="124935407">
    <w:abstractNumId w:val="13"/>
  </w:num>
  <w:num w:numId="6" w16cid:durableId="910846781">
    <w:abstractNumId w:val="16"/>
  </w:num>
  <w:num w:numId="7" w16cid:durableId="730082185">
    <w:abstractNumId w:val="15"/>
  </w:num>
  <w:num w:numId="8" w16cid:durableId="575479695">
    <w:abstractNumId w:val="10"/>
  </w:num>
  <w:num w:numId="9" w16cid:durableId="1112823213">
    <w:abstractNumId w:val="9"/>
  </w:num>
  <w:num w:numId="10" w16cid:durableId="614143105">
    <w:abstractNumId w:val="14"/>
  </w:num>
  <w:num w:numId="11" w16cid:durableId="1213073752">
    <w:abstractNumId w:val="7"/>
  </w:num>
  <w:num w:numId="12" w16cid:durableId="341251335">
    <w:abstractNumId w:val="17"/>
  </w:num>
  <w:num w:numId="13" w16cid:durableId="338388040">
    <w:abstractNumId w:val="20"/>
  </w:num>
  <w:num w:numId="14" w16cid:durableId="683022094">
    <w:abstractNumId w:val="5"/>
  </w:num>
  <w:num w:numId="15" w16cid:durableId="598368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9"/>
  </w:num>
  <w:num w:numId="18" w16cid:durableId="1737237130">
    <w:abstractNumId w:val="2"/>
  </w:num>
  <w:num w:numId="19" w16cid:durableId="1797213994">
    <w:abstractNumId w:val="1"/>
  </w:num>
  <w:num w:numId="20" w16cid:durableId="631712426">
    <w:abstractNumId w:val="3"/>
  </w:num>
  <w:num w:numId="21" w16cid:durableId="1330055923">
    <w:abstractNumId w:val="6"/>
  </w:num>
  <w:num w:numId="22" w16cid:durableId="192375469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89F"/>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C41"/>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92"/>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776"/>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7B5"/>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5DD"/>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4FD"/>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5EC"/>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780"/>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0D2C"/>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A6F"/>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3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5C33"/>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3F2"/>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1FEC"/>
    <w:rsid w:val="004B21FA"/>
    <w:rsid w:val="004B2820"/>
    <w:rsid w:val="004B451E"/>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AB"/>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A24"/>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3F20"/>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8A5"/>
    <w:rsid w:val="006071FA"/>
    <w:rsid w:val="00610A5E"/>
    <w:rsid w:val="00611C89"/>
    <w:rsid w:val="00612C1E"/>
    <w:rsid w:val="00613343"/>
    <w:rsid w:val="006134F2"/>
    <w:rsid w:val="00613E45"/>
    <w:rsid w:val="006144A1"/>
    <w:rsid w:val="00614CF3"/>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0E2E"/>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6998"/>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2F4"/>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302D"/>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3D3A"/>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2D6"/>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17AE9"/>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542"/>
    <w:rsid w:val="00A73B3F"/>
    <w:rsid w:val="00A73DC4"/>
    <w:rsid w:val="00A7537A"/>
    <w:rsid w:val="00A75D2E"/>
    <w:rsid w:val="00A76466"/>
    <w:rsid w:val="00A771CF"/>
    <w:rsid w:val="00A80156"/>
    <w:rsid w:val="00A802FA"/>
    <w:rsid w:val="00A80715"/>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BD7"/>
    <w:rsid w:val="00B9755C"/>
    <w:rsid w:val="00BA10C0"/>
    <w:rsid w:val="00BA12A6"/>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8AB"/>
    <w:rsid w:val="00BA7A16"/>
    <w:rsid w:val="00BA7E46"/>
    <w:rsid w:val="00BB0586"/>
    <w:rsid w:val="00BB104B"/>
    <w:rsid w:val="00BB14F1"/>
    <w:rsid w:val="00BB472C"/>
    <w:rsid w:val="00BB572E"/>
    <w:rsid w:val="00BB5C64"/>
    <w:rsid w:val="00BB621D"/>
    <w:rsid w:val="00BB65DE"/>
    <w:rsid w:val="00BB74FD"/>
    <w:rsid w:val="00BC040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361"/>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802"/>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821"/>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CD5"/>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23D"/>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44E"/>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593"/>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02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3726192">
      <w:bodyDiv w:val="1"/>
      <w:marLeft w:val="0"/>
      <w:marRight w:val="0"/>
      <w:marTop w:val="0"/>
      <w:marBottom w:val="0"/>
      <w:divBdr>
        <w:top w:val="none" w:sz="0" w:space="0" w:color="auto"/>
        <w:left w:val="none" w:sz="0" w:space="0" w:color="auto"/>
        <w:bottom w:val="none" w:sz="0" w:space="0" w:color="auto"/>
        <w:right w:val="none" w:sz="0" w:space="0" w:color="auto"/>
      </w:divBdr>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documentManagement/types"/>
    <ds:schemaRef ds:uri="http://purl.org/dc/elements/1.1/"/>
    <ds:schemaRef ds:uri="d8762117-8292-4133-b1c7-eab5c6487cfd"/>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schemas.microsoft.com/sharepoint/v3"/>
    <ds:schemaRef ds:uri="9b239327-9e80-40e4-b1b7-4394fed77a33"/>
    <ds:schemaRef ds:uri="2f282d3b-eb4a-4b09-b61f-b9593442e286"/>
    <ds:schemaRef ds:uri="http://purl.org/dc/dcmitype/"/>
    <ds:schemaRef ds:uri="http://purl.org/dc/terms/"/>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F01652-EBC3-4A93-85A4-C21BC967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2071</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129</cp:revision>
  <cp:lastPrinted>2022-08-19T16:29:00Z</cp:lastPrinted>
  <dcterms:created xsi:type="dcterms:W3CDTF">2024-04-08T15:06:00Z</dcterms:created>
  <dcterms:modified xsi:type="dcterms:W3CDTF">2025-02-07T22:21:00Z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