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BB4F0" w14:textId="5A6CF542" w:rsidR="00841BCD" w:rsidRPr="00614DD8" w:rsidRDefault="00841BCD" w:rsidP="00841BCD">
      <w:pPr>
        <w:widowControl w:val="0"/>
        <w:tabs>
          <w:tab w:val="right" w:pos="9639"/>
        </w:tabs>
        <w:overflowPunct w:val="0"/>
        <w:autoSpaceDE w:val="0"/>
        <w:autoSpaceDN w:val="0"/>
        <w:adjustRightInd w:val="0"/>
        <w:textAlignment w:val="baseline"/>
        <w:rPr>
          <w:rFonts w:ascii="Arial" w:eastAsia="SimSun" w:hAnsi="Arial"/>
          <w:b/>
          <w:bCs/>
          <w:i/>
          <w:sz w:val="32"/>
          <w:szCs w:val="20"/>
          <w:lang w:val="en-US" w:eastAsia="zh-CN"/>
        </w:rPr>
      </w:pPr>
      <w:bookmarkStart w:id="0" w:name="OLE_LINK5"/>
      <w:bookmarkStart w:id="1" w:name="OLE_LINK6"/>
      <w:r w:rsidRPr="00614DD8">
        <w:rPr>
          <w:rFonts w:ascii="Arial" w:eastAsia="SimSun" w:hAnsi="Arial"/>
          <w:b/>
          <w:bCs/>
          <w:szCs w:val="20"/>
          <w:lang w:val="en-US"/>
        </w:rPr>
        <w:t>3GPP T</w:t>
      </w:r>
      <w:bookmarkStart w:id="2" w:name="_Ref452454252"/>
      <w:bookmarkEnd w:id="2"/>
      <w:r w:rsidRPr="00614DD8">
        <w:rPr>
          <w:rFonts w:ascii="Arial" w:eastAsia="SimSun" w:hAnsi="Arial"/>
          <w:b/>
          <w:bCs/>
          <w:szCs w:val="20"/>
          <w:lang w:val="en-US"/>
        </w:rPr>
        <w:t xml:space="preserve">SG-RAN </w:t>
      </w:r>
      <w:r w:rsidR="00ED7600" w:rsidRPr="00614DD8">
        <w:rPr>
          <w:rFonts w:ascii="Arial" w:eastAsia="SimSun" w:hAnsi="Arial"/>
          <w:b/>
          <w:szCs w:val="20"/>
          <w:lang w:val="en-US"/>
        </w:rPr>
        <w:t>WG4 Meeting #</w:t>
      </w:r>
      <w:r w:rsidR="00DE7064" w:rsidRPr="00614DD8">
        <w:rPr>
          <w:rFonts w:ascii="Arial" w:eastAsia="SimSun" w:hAnsi="Arial"/>
          <w:b/>
          <w:szCs w:val="20"/>
          <w:lang w:val="en-US"/>
        </w:rPr>
        <w:t>1</w:t>
      </w:r>
      <w:r w:rsidR="00381F95" w:rsidRPr="00614DD8">
        <w:rPr>
          <w:rFonts w:ascii="Arial" w:eastAsia="SimSun" w:hAnsi="Arial"/>
          <w:b/>
          <w:szCs w:val="20"/>
          <w:lang w:val="en-US"/>
        </w:rPr>
        <w:t>1</w:t>
      </w:r>
      <w:r w:rsidR="008575B6">
        <w:rPr>
          <w:rFonts w:ascii="Arial" w:eastAsia="SimSun" w:hAnsi="Arial"/>
          <w:b/>
          <w:szCs w:val="20"/>
          <w:lang w:val="en-US"/>
        </w:rPr>
        <w:t>4</w:t>
      </w:r>
      <w:r w:rsidRPr="00614DD8">
        <w:rPr>
          <w:rFonts w:ascii="Arial" w:eastAsia="SimSun" w:hAnsi="Arial"/>
          <w:b/>
          <w:bCs/>
          <w:szCs w:val="20"/>
          <w:lang w:val="en-US"/>
        </w:rPr>
        <w:tab/>
      </w:r>
      <w:r w:rsidR="00D66129" w:rsidRPr="00D66129">
        <w:rPr>
          <w:rFonts w:ascii="Arial" w:eastAsia="SimSun" w:hAnsi="Arial"/>
          <w:b/>
          <w:bCs/>
          <w:szCs w:val="20"/>
          <w:lang w:val="en-US" w:eastAsia="ja-JP"/>
        </w:rPr>
        <w:t>R4-2502147</w:t>
      </w:r>
    </w:p>
    <w:bookmarkEnd w:id="0"/>
    <w:bookmarkEnd w:id="1"/>
    <w:p w14:paraId="7258C96A" w14:textId="71086DDE" w:rsidR="00841BCD" w:rsidRDefault="00B974AF" w:rsidP="00841BCD">
      <w:pPr>
        <w:widowControl w:val="0"/>
        <w:overflowPunct w:val="0"/>
        <w:autoSpaceDE w:val="0"/>
        <w:autoSpaceDN w:val="0"/>
        <w:adjustRightInd w:val="0"/>
        <w:textAlignment w:val="baseline"/>
        <w:rPr>
          <w:rFonts w:ascii="Arial" w:eastAsia="SimSun" w:hAnsi="Arial"/>
          <w:b/>
          <w:szCs w:val="20"/>
          <w:lang w:val="en-US"/>
        </w:rPr>
      </w:pPr>
      <w:r w:rsidRPr="00B974AF">
        <w:rPr>
          <w:rFonts w:ascii="Arial" w:eastAsia="SimSun" w:hAnsi="Arial"/>
          <w:b/>
          <w:szCs w:val="20"/>
          <w:lang w:val="en-US"/>
        </w:rPr>
        <w:t>Athens, Greece, 17-21 February 2025</w:t>
      </w:r>
    </w:p>
    <w:p w14:paraId="2062119A" w14:textId="77777777" w:rsidR="00B974AF" w:rsidRPr="00614DD8" w:rsidRDefault="00B974AF" w:rsidP="00841BCD">
      <w:pPr>
        <w:widowControl w:val="0"/>
        <w:overflowPunct w:val="0"/>
        <w:autoSpaceDE w:val="0"/>
        <w:autoSpaceDN w:val="0"/>
        <w:adjustRightInd w:val="0"/>
        <w:textAlignment w:val="baseline"/>
        <w:rPr>
          <w:rFonts w:ascii="Arial" w:eastAsia="SimSun" w:hAnsi="Arial"/>
          <w:b/>
          <w:bCs/>
          <w:szCs w:val="20"/>
          <w:lang w:val="en-US" w:eastAsia="ja-JP"/>
        </w:rPr>
      </w:pPr>
    </w:p>
    <w:p w14:paraId="5333E1B7" w14:textId="77777777" w:rsidR="00841BCD" w:rsidRPr="00614DD8" w:rsidRDefault="00841BCD" w:rsidP="00841BCD">
      <w:pPr>
        <w:tabs>
          <w:tab w:val="left" w:pos="1985"/>
        </w:tabs>
        <w:ind w:left="1985" w:hanging="1985"/>
        <w:rPr>
          <w:rFonts w:ascii="Arial" w:eastAsia="Calibri" w:hAnsi="Arial" w:cs="Arial"/>
          <w:b/>
          <w:bCs/>
          <w:lang w:val="en-US"/>
        </w:rPr>
      </w:pPr>
      <w:r w:rsidRPr="00614DD8">
        <w:rPr>
          <w:rFonts w:ascii="Arial" w:eastAsia="Calibri" w:hAnsi="Arial" w:cs="Arial"/>
          <w:b/>
          <w:bCs/>
          <w:lang w:val="en-US"/>
        </w:rPr>
        <w:t>Source:</w:t>
      </w:r>
      <w:r w:rsidRPr="00614DD8">
        <w:rPr>
          <w:rFonts w:ascii="Arial" w:eastAsia="Calibri" w:hAnsi="Arial" w:cs="Arial"/>
          <w:b/>
          <w:bCs/>
          <w:lang w:val="en-US"/>
        </w:rPr>
        <w:tab/>
        <w:t>Nokia</w:t>
      </w:r>
    </w:p>
    <w:p w14:paraId="08670D37" w14:textId="2EEC5F45" w:rsidR="00841BCD" w:rsidRPr="00614DD8" w:rsidRDefault="00841BCD" w:rsidP="00841BCD">
      <w:pPr>
        <w:ind w:left="1985" w:hanging="1985"/>
        <w:rPr>
          <w:rFonts w:ascii="Arial" w:eastAsia="Calibri" w:hAnsi="Arial" w:cs="Arial"/>
          <w:b/>
          <w:bCs/>
          <w:lang w:val="en-US"/>
        </w:rPr>
      </w:pPr>
      <w:r w:rsidRPr="00614DD8">
        <w:rPr>
          <w:rFonts w:ascii="Arial" w:eastAsia="Calibri" w:hAnsi="Arial" w:cs="Arial"/>
          <w:b/>
          <w:bCs/>
          <w:lang w:val="en-US"/>
        </w:rPr>
        <w:t>Title:</w:t>
      </w:r>
      <w:r w:rsidRPr="00614DD8">
        <w:rPr>
          <w:rFonts w:ascii="Arial" w:eastAsia="Calibri" w:hAnsi="Arial" w:cs="Arial"/>
          <w:b/>
          <w:bCs/>
          <w:lang w:val="en-US"/>
        </w:rPr>
        <w:tab/>
      </w:r>
      <w:r w:rsidR="008B0C67">
        <w:rPr>
          <w:rFonts w:ascii="Arial" w:eastAsia="Calibri" w:hAnsi="Arial" w:cs="Arial"/>
          <w:b/>
          <w:bCs/>
          <w:lang w:val="en-US"/>
        </w:rPr>
        <w:t xml:space="preserve">Other aspects for </w:t>
      </w:r>
      <w:r w:rsidR="00064EAA">
        <w:rPr>
          <w:rFonts w:ascii="Arial" w:eastAsia="Calibri" w:hAnsi="Arial" w:cs="Arial"/>
          <w:b/>
          <w:bCs/>
          <w:lang w:val="en-US"/>
        </w:rPr>
        <w:t>NR MIMO Phase 5</w:t>
      </w:r>
      <w:r w:rsidR="00287380">
        <w:rPr>
          <w:rFonts w:ascii="Arial" w:eastAsia="Calibri" w:hAnsi="Arial" w:cs="Arial"/>
          <w:b/>
          <w:bCs/>
          <w:lang w:val="en-US"/>
        </w:rPr>
        <w:t xml:space="preserve"> </w:t>
      </w:r>
      <w:r w:rsidR="008B0C67">
        <w:rPr>
          <w:rFonts w:ascii="Arial" w:eastAsia="Calibri" w:hAnsi="Arial" w:cs="Arial"/>
          <w:b/>
          <w:bCs/>
          <w:lang w:val="en-US"/>
        </w:rPr>
        <w:t>RRM requirements</w:t>
      </w:r>
    </w:p>
    <w:p w14:paraId="7472A163" w14:textId="6B8C262D" w:rsidR="00841BCD" w:rsidRPr="00614DD8" w:rsidRDefault="00841BCD" w:rsidP="00841BCD">
      <w:pPr>
        <w:tabs>
          <w:tab w:val="left" w:pos="1985"/>
        </w:tabs>
        <w:spacing w:after="120"/>
        <w:rPr>
          <w:rFonts w:ascii="Arial" w:eastAsia="MS Mincho" w:hAnsi="Arial" w:cs="Arial"/>
          <w:b/>
          <w:bCs/>
          <w:szCs w:val="20"/>
          <w:lang w:val="en-US"/>
        </w:rPr>
      </w:pPr>
      <w:r w:rsidRPr="00614DD8">
        <w:rPr>
          <w:rFonts w:ascii="Arial" w:eastAsia="MS Mincho" w:hAnsi="Arial" w:cs="Arial"/>
          <w:b/>
          <w:bCs/>
          <w:szCs w:val="20"/>
          <w:lang w:val="en-US"/>
        </w:rPr>
        <w:t>Agenda item:</w:t>
      </w:r>
      <w:r w:rsidRPr="00614DD8">
        <w:rPr>
          <w:rFonts w:ascii="Arial" w:eastAsia="MS Mincho" w:hAnsi="Arial" w:cs="Arial"/>
          <w:b/>
          <w:bCs/>
          <w:szCs w:val="20"/>
          <w:lang w:val="en-US"/>
        </w:rPr>
        <w:tab/>
      </w:r>
      <w:r w:rsidR="00B97F0E">
        <w:rPr>
          <w:rFonts w:ascii="Arial" w:eastAsia="MS Mincho" w:hAnsi="Arial" w:cs="Arial"/>
          <w:b/>
          <w:bCs/>
          <w:szCs w:val="20"/>
          <w:lang w:val="en-US"/>
        </w:rPr>
        <w:t>7.22.3.2</w:t>
      </w:r>
    </w:p>
    <w:p w14:paraId="6CA64BD2" w14:textId="77777777" w:rsidR="00D66188" w:rsidRPr="00614DD8" w:rsidRDefault="00841BCD" w:rsidP="00841BCD">
      <w:pPr>
        <w:tabs>
          <w:tab w:val="left" w:pos="1985"/>
        </w:tabs>
        <w:rPr>
          <w:rFonts w:ascii="Arial" w:eastAsia="Calibri" w:hAnsi="Arial" w:cs="Arial"/>
          <w:b/>
          <w:bCs/>
          <w:lang w:val="en-US"/>
        </w:rPr>
      </w:pPr>
      <w:r w:rsidRPr="00614DD8">
        <w:rPr>
          <w:rFonts w:ascii="Arial" w:eastAsia="Calibri" w:hAnsi="Arial" w:cs="Arial"/>
          <w:b/>
          <w:bCs/>
          <w:lang w:val="en-US"/>
        </w:rPr>
        <w:t>Document for:</w:t>
      </w:r>
      <w:r w:rsidRPr="00614DD8">
        <w:rPr>
          <w:rFonts w:ascii="Arial" w:eastAsia="Calibri" w:hAnsi="Arial" w:cs="Arial"/>
          <w:b/>
          <w:bCs/>
          <w:lang w:val="en-US"/>
        </w:rPr>
        <w:tab/>
      </w:r>
      <w:r w:rsidR="00AE6D09" w:rsidRPr="00614DD8">
        <w:rPr>
          <w:rFonts w:ascii="Arial" w:eastAsia="Calibri" w:hAnsi="Arial" w:cs="Arial"/>
          <w:b/>
          <w:bCs/>
          <w:lang w:val="en-US"/>
        </w:rPr>
        <w:t>Discussion</w:t>
      </w:r>
    </w:p>
    <w:p w14:paraId="42B7B70B" w14:textId="77777777" w:rsidR="00E323E9" w:rsidRPr="00614DD8" w:rsidRDefault="00E323E9" w:rsidP="00841BCD">
      <w:pPr>
        <w:tabs>
          <w:tab w:val="left" w:pos="1985"/>
        </w:tabs>
        <w:rPr>
          <w:rFonts w:ascii="Arial" w:eastAsia="Calibri" w:hAnsi="Arial" w:cs="Arial"/>
          <w:b/>
          <w:bCs/>
          <w:lang w:val="en-US"/>
        </w:rPr>
      </w:pPr>
    </w:p>
    <w:p w14:paraId="1CF5EF4C"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3E8CDDA2" w14:textId="1F1FE573" w:rsidR="009A4711" w:rsidRPr="00614DD8" w:rsidRDefault="00B32FE9" w:rsidP="009A4711">
      <w:pPr>
        <w:rPr>
          <w:lang w:val="en-US"/>
        </w:rPr>
      </w:pPr>
      <w:r w:rsidRPr="00B32FE9">
        <w:rPr>
          <w:lang w:val="en-US"/>
        </w:rPr>
        <w:t xml:space="preserve">In this document, we present Nokia’s views regarding </w:t>
      </w:r>
      <w:r w:rsidR="00A672EF">
        <w:rPr>
          <w:lang w:val="en-US"/>
        </w:rPr>
        <w:t>the core requirements that RAN4 need</w:t>
      </w:r>
      <w:r w:rsidR="00FA3282">
        <w:rPr>
          <w:lang w:val="en-US"/>
        </w:rPr>
        <w:t>s</w:t>
      </w:r>
      <w:r w:rsidR="00A672EF">
        <w:rPr>
          <w:lang w:val="en-US"/>
        </w:rPr>
        <w:t xml:space="preserve"> to </w:t>
      </w:r>
      <w:r w:rsidR="004D214A">
        <w:rPr>
          <w:lang w:val="en-US"/>
        </w:rPr>
        <w:t>discuss in relation to the WID</w:t>
      </w:r>
      <w:r w:rsidR="00A246D0">
        <w:rPr>
          <w:lang w:val="en-US"/>
        </w:rPr>
        <w:t xml:space="preserve"> </w:t>
      </w:r>
      <w:r w:rsidR="00A246D0" w:rsidRPr="00A246D0">
        <w:rPr>
          <w:lang w:val="en-US"/>
        </w:rPr>
        <w:t>RP-242394</w:t>
      </w:r>
      <w:r w:rsidR="004D214A">
        <w:rPr>
          <w:lang w:val="en-US"/>
        </w:rPr>
        <w:t xml:space="preserve">, </w:t>
      </w:r>
      <w:proofErr w:type="gramStart"/>
      <w:r w:rsidR="004D214A">
        <w:rPr>
          <w:lang w:val="en-US"/>
        </w:rPr>
        <w:t>in particula</w:t>
      </w:r>
      <w:r w:rsidR="00F00041">
        <w:rPr>
          <w:lang w:val="en-US"/>
        </w:rPr>
        <w:t>r</w:t>
      </w:r>
      <w:r w:rsidR="004D214A">
        <w:rPr>
          <w:lang w:val="en-US"/>
        </w:rPr>
        <w:t xml:space="preserve"> about</w:t>
      </w:r>
      <w:proofErr w:type="gramEnd"/>
      <w:r w:rsidR="004D214A">
        <w:rPr>
          <w:lang w:val="en-US"/>
        </w:rPr>
        <w:t xml:space="preserve"> </w:t>
      </w:r>
      <w:r w:rsidR="00F608CC">
        <w:rPr>
          <w:lang w:val="en-US"/>
        </w:rPr>
        <w:t>a</w:t>
      </w:r>
      <w:r w:rsidR="004377BE" w:rsidRPr="004377BE">
        <w:rPr>
          <w:lang w:val="en-US"/>
        </w:rPr>
        <w:t xml:space="preserve">symmetric DL </w:t>
      </w:r>
      <w:proofErr w:type="spellStart"/>
      <w:r w:rsidR="004377BE" w:rsidRPr="004377BE">
        <w:rPr>
          <w:lang w:val="en-US"/>
        </w:rPr>
        <w:t>sTRP</w:t>
      </w:r>
      <w:proofErr w:type="spellEnd"/>
      <w:r w:rsidR="004377BE" w:rsidRPr="004377BE">
        <w:rPr>
          <w:lang w:val="en-US"/>
        </w:rPr>
        <w:t xml:space="preserve">/UL </w:t>
      </w:r>
      <w:proofErr w:type="spellStart"/>
      <w:r w:rsidR="004377BE" w:rsidRPr="004377BE">
        <w:rPr>
          <w:lang w:val="en-US"/>
        </w:rPr>
        <w:t>mTRP</w:t>
      </w:r>
      <w:proofErr w:type="spellEnd"/>
      <w:r w:rsidR="004377BE">
        <w:rPr>
          <w:lang w:val="en-US"/>
        </w:rPr>
        <w:t xml:space="preserve"> deployment scenarios</w:t>
      </w:r>
      <w:r w:rsidR="00353289">
        <w:rPr>
          <w:lang w:val="en-US"/>
        </w:rPr>
        <w:t xml:space="preserve"> </w:t>
      </w:r>
      <w:r w:rsidR="00A246D0">
        <w:rPr>
          <w:lang w:val="en-US"/>
        </w:rPr>
        <w:t xml:space="preserve">(Objective 5) </w:t>
      </w:r>
      <w:r w:rsidR="00353289" w:rsidRPr="007055A3">
        <w:rPr>
          <w:lang w:val="en-US"/>
        </w:rPr>
        <w:t>and the aspects related to CJT calibration reporting</w:t>
      </w:r>
      <w:r w:rsidR="00A246D0" w:rsidRPr="007055A3">
        <w:rPr>
          <w:lang w:val="en-US"/>
        </w:rPr>
        <w:t xml:space="preserve"> (Objective 3)</w:t>
      </w:r>
      <w:r w:rsidR="004377BE" w:rsidRPr="007055A3">
        <w:rPr>
          <w:lang w:val="en-US"/>
        </w:rPr>
        <w:t>.</w:t>
      </w:r>
    </w:p>
    <w:p w14:paraId="48B380DD" w14:textId="77777777" w:rsidR="004377BE" w:rsidRPr="004377BE" w:rsidRDefault="004377BE" w:rsidP="004377BE">
      <w:pPr>
        <w:rPr>
          <w:lang w:val="en-US"/>
        </w:rPr>
      </w:pPr>
    </w:p>
    <w:p w14:paraId="69A0866C" w14:textId="6E286A7F" w:rsidR="00893D2E" w:rsidRPr="00AB1C01" w:rsidRDefault="00595F62" w:rsidP="00595F62">
      <w:pPr>
        <w:pStyle w:val="RAN4H1"/>
        <w:rPr>
          <w:lang w:val="en-US"/>
        </w:rPr>
      </w:pPr>
      <w:bookmarkStart w:id="4" w:name="_Toc116995848"/>
      <w:r w:rsidRPr="00AB1C01">
        <w:rPr>
          <w:lang w:val="en-US"/>
        </w:rPr>
        <w:t>Discussion on two TAs</w:t>
      </w:r>
    </w:p>
    <w:p w14:paraId="09EB9F5C" w14:textId="04457D1F" w:rsidR="00595F62" w:rsidRPr="00595F62" w:rsidRDefault="006C4271" w:rsidP="00595F62">
      <w:pPr>
        <w:rPr>
          <w:lang w:val="en-US"/>
        </w:rPr>
      </w:pPr>
      <w:r w:rsidRPr="006C4271">
        <w:rPr>
          <w:lang w:val="en-US"/>
        </w:rPr>
        <w:t xml:space="preserve">Regarding asymmetric DL </w:t>
      </w:r>
      <w:proofErr w:type="spellStart"/>
      <w:r w:rsidRPr="006C4271">
        <w:rPr>
          <w:lang w:val="en-US"/>
        </w:rPr>
        <w:t>sTRP</w:t>
      </w:r>
      <w:proofErr w:type="spellEnd"/>
      <w:r w:rsidRPr="006C4271">
        <w:rPr>
          <w:lang w:val="en-US"/>
        </w:rPr>
        <w:t xml:space="preserve">/UL </w:t>
      </w:r>
      <w:proofErr w:type="spellStart"/>
      <w:r w:rsidRPr="006C4271">
        <w:rPr>
          <w:lang w:val="en-US"/>
        </w:rPr>
        <w:t>mTRP</w:t>
      </w:r>
      <w:proofErr w:type="spellEnd"/>
      <w:r w:rsidRPr="006C4271">
        <w:rPr>
          <w:lang w:val="en-US"/>
        </w:rPr>
        <w:t xml:space="preserve"> </w:t>
      </w:r>
      <w:r>
        <w:rPr>
          <w:lang w:val="en-US"/>
        </w:rPr>
        <w:t xml:space="preserve">with two TAs </w:t>
      </w:r>
      <w:r w:rsidR="003E33A2">
        <w:rPr>
          <w:lang w:val="en-US"/>
        </w:rPr>
        <w:t>enhancement</w:t>
      </w:r>
      <w:r w:rsidRPr="006C4271">
        <w:rPr>
          <w:lang w:val="en-US"/>
        </w:rPr>
        <w:t xml:space="preserve">, the following was </w:t>
      </w:r>
      <w:r w:rsidR="0076431E">
        <w:rPr>
          <w:lang w:val="en-US"/>
        </w:rPr>
        <w:t>agreed</w:t>
      </w:r>
      <w:r w:rsidRPr="006C4271">
        <w:rPr>
          <w:lang w:val="en-US"/>
        </w:rPr>
        <w:t xml:space="preserve"> in RAN4#112</w:t>
      </w:r>
      <w:r w:rsidR="006A307B">
        <w:rPr>
          <w:lang w:val="en-US"/>
        </w:rPr>
        <w:t>bis</w:t>
      </w:r>
      <w:r w:rsidRPr="006C4271">
        <w:rPr>
          <w:lang w:val="en-US"/>
        </w:rPr>
        <w:t xml:space="preserve"> meetin</w:t>
      </w:r>
      <w:r w:rsidR="0076431E">
        <w:rPr>
          <w:lang w:val="en-US"/>
        </w:rPr>
        <w:t>g</w:t>
      </w:r>
      <w:r w:rsidR="00AD742C">
        <w:rPr>
          <w:lang w:val="en-US"/>
        </w:rPr>
        <w:t xml:space="preserve"> </w:t>
      </w:r>
      <w:r w:rsidR="00DE3BA7">
        <w:rPr>
          <w:lang w:val="en-US"/>
        </w:rPr>
        <w:fldChar w:fldCharType="begin"/>
      </w:r>
      <w:r w:rsidR="00DE3BA7">
        <w:rPr>
          <w:lang w:val="en-US"/>
        </w:rPr>
        <w:instrText xml:space="preserve"> REF _Ref178151194 \r \h </w:instrText>
      </w:r>
      <w:r w:rsidR="00DE3BA7">
        <w:rPr>
          <w:lang w:val="en-US"/>
        </w:rPr>
      </w:r>
      <w:r w:rsidR="00DE3BA7">
        <w:rPr>
          <w:lang w:val="en-US"/>
        </w:rPr>
        <w:fldChar w:fldCharType="separate"/>
      </w:r>
      <w:r w:rsidR="00DE3BA7">
        <w:rPr>
          <w:lang w:val="en-US"/>
        </w:rPr>
        <w:t>[1]</w:t>
      </w:r>
      <w:r w:rsidR="00DE3BA7">
        <w:rPr>
          <w:lang w:val="en-US"/>
        </w:rPr>
        <w:fldChar w:fldCharType="end"/>
      </w:r>
      <w:r w:rsidR="003E33A2">
        <w:rPr>
          <w:lang w:val="en-US"/>
        </w:rPr>
        <w:t>:</w:t>
      </w:r>
      <w:bookmarkStart w:id="5" w:name="_Hlk187845375"/>
      <w:bookmarkStart w:id="6" w:name="_Hlk181655432"/>
    </w:p>
    <w:tbl>
      <w:tblPr>
        <w:tblStyle w:val="TableGrid"/>
        <w:tblW w:w="0" w:type="auto"/>
        <w:tblLook w:val="04A0" w:firstRow="1" w:lastRow="0" w:firstColumn="1" w:lastColumn="0" w:noHBand="0" w:noVBand="1"/>
      </w:tblPr>
      <w:tblGrid>
        <w:gridCol w:w="9617"/>
      </w:tblGrid>
      <w:tr w:rsidR="00595F62" w14:paraId="6199BAD5" w14:textId="77777777">
        <w:tc>
          <w:tcPr>
            <w:tcW w:w="9913" w:type="dxa"/>
          </w:tcPr>
          <w:p w14:paraId="15D8AEF5" w14:textId="77777777" w:rsidR="006A307B" w:rsidRPr="006A307B" w:rsidRDefault="006A307B" w:rsidP="006A307B">
            <w:pPr>
              <w:ind w:left="288"/>
              <w:rPr>
                <w:b/>
                <w:bCs/>
                <w:u w:val="single"/>
                <w:lang w:val="en-US"/>
              </w:rPr>
            </w:pPr>
            <w:bookmarkStart w:id="7" w:name="_Hlk187845363"/>
            <w:r w:rsidRPr="006A307B">
              <w:rPr>
                <w:b/>
                <w:bCs/>
                <w:u w:val="single"/>
                <w:lang w:val="en-US"/>
              </w:rPr>
              <w:t>Issue 4-1: Whether RRM impacts exist by 2TA enhancement?</w:t>
            </w:r>
          </w:p>
          <w:p w14:paraId="34BC98C3" w14:textId="77777777" w:rsidR="006A307B" w:rsidRPr="006A307B" w:rsidRDefault="006A307B" w:rsidP="006A307B">
            <w:pPr>
              <w:spacing w:after="120"/>
              <w:ind w:left="288"/>
              <w:rPr>
                <w:lang w:val="en-US"/>
              </w:rPr>
            </w:pPr>
            <w:r w:rsidRPr="006A307B">
              <w:rPr>
                <w:lang w:val="en-US"/>
              </w:rPr>
              <w:t>Agreement:</w:t>
            </w:r>
          </w:p>
          <w:p w14:paraId="423D4DAD" w14:textId="77777777" w:rsidR="006A307B" w:rsidRPr="006A307B" w:rsidRDefault="006A307B" w:rsidP="006A307B">
            <w:pPr>
              <w:numPr>
                <w:ilvl w:val="0"/>
                <w:numId w:val="12"/>
              </w:numPr>
              <w:spacing w:after="120"/>
              <w:textAlignment w:val="center"/>
              <w:rPr>
                <w:lang w:val="en-US"/>
              </w:rPr>
            </w:pPr>
            <w:r w:rsidRPr="006A307B">
              <w:rPr>
                <w:lang w:val="en-US"/>
              </w:rPr>
              <w:t xml:space="preserve">RAN4 to update the RRM requirements for 2TA enhancement [for asymmetric DL </w:t>
            </w:r>
            <w:proofErr w:type="spellStart"/>
            <w:r w:rsidRPr="006A307B">
              <w:rPr>
                <w:lang w:val="en-US"/>
              </w:rPr>
              <w:t>sTRP</w:t>
            </w:r>
            <w:proofErr w:type="spellEnd"/>
            <w:r w:rsidRPr="006A307B">
              <w:rPr>
                <w:lang w:val="en-US"/>
              </w:rPr>
              <w:t xml:space="preserve">/ UL </w:t>
            </w:r>
            <w:proofErr w:type="spellStart"/>
            <w:r w:rsidRPr="006A307B">
              <w:rPr>
                <w:lang w:val="en-US"/>
              </w:rPr>
              <w:t>mTRP</w:t>
            </w:r>
            <w:proofErr w:type="spellEnd"/>
            <w:r w:rsidRPr="006A307B">
              <w:rPr>
                <w:lang w:val="en-US"/>
              </w:rPr>
              <w:t>]</w:t>
            </w:r>
          </w:p>
          <w:p w14:paraId="44D9C1B6" w14:textId="77777777" w:rsidR="006A307B" w:rsidRPr="006A307B" w:rsidRDefault="006A307B" w:rsidP="006A307B">
            <w:pPr>
              <w:numPr>
                <w:ilvl w:val="0"/>
                <w:numId w:val="12"/>
              </w:numPr>
              <w:spacing w:after="120"/>
              <w:textAlignment w:val="center"/>
              <w:rPr>
                <w:lang w:val="en-US"/>
              </w:rPr>
            </w:pPr>
            <w:r w:rsidRPr="006A307B">
              <w:rPr>
                <w:lang w:val="en-US"/>
              </w:rPr>
              <w:t>As baseline, the Rel-18 framework can be considered as starting point, and the update is needed to accommodate the new scenario in this WID.</w:t>
            </w:r>
          </w:p>
          <w:p w14:paraId="70E9311D" w14:textId="77777777" w:rsidR="006A307B" w:rsidRPr="006A307B" w:rsidRDefault="006A307B" w:rsidP="006A307B">
            <w:pPr>
              <w:numPr>
                <w:ilvl w:val="0"/>
                <w:numId w:val="12"/>
              </w:numPr>
              <w:spacing w:after="120"/>
              <w:textAlignment w:val="center"/>
              <w:rPr>
                <w:lang w:val="en-US"/>
              </w:rPr>
            </w:pPr>
            <w:r w:rsidRPr="006A307B">
              <w:rPr>
                <w:lang w:val="en-US"/>
              </w:rPr>
              <w:t>Further discuss the details in the next meeting.</w:t>
            </w:r>
          </w:p>
          <w:p w14:paraId="7411954E" w14:textId="0485A35C" w:rsidR="00595F62" w:rsidRPr="00595F62" w:rsidRDefault="00595F62" w:rsidP="006A307B">
            <w:pPr>
              <w:overflowPunct w:val="0"/>
              <w:autoSpaceDE w:val="0"/>
              <w:autoSpaceDN w:val="0"/>
              <w:adjustRightInd w:val="0"/>
              <w:snapToGrid w:val="0"/>
              <w:spacing w:after="120"/>
              <w:ind w:left="936"/>
              <w:textAlignment w:val="baseline"/>
              <w:rPr>
                <w:b/>
                <w:szCs w:val="20"/>
                <w:u w:val="single"/>
                <w:lang w:eastAsia="ko-KR"/>
              </w:rPr>
            </w:pPr>
          </w:p>
        </w:tc>
      </w:tr>
      <w:bookmarkEnd w:id="7"/>
    </w:tbl>
    <w:p w14:paraId="2A20C518" w14:textId="77777777" w:rsidR="000A65F7" w:rsidRDefault="000A65F7" w:rsidP="00595F62">
      <w:pPr>
        <w:rPr>
          <w:lang w:val="en-US"/>
        </w:rPr>
      </w:pPr>
    </w:p>
    <w:bookmarkEnd w:id="5"/>
    <w:p w14:paraId="297D5FF9" w14:textId="65343778" w:rsidR="00FB6170" w:rsidRPr="00595F62" w:rsidRDefault="000A65F7" w:rsidP="00FB6170">
      <w:pPr>
        <w:rPr>
          <w:lang w:val="en-US"/>
        </w:rPr>
      </w:pPr>
      <w:r>
        <w:rPr>
          <w:lang w:val="en-US"/>
        </w:rPr>
        <w:t>I</w:t>
      </w:r>
      <w:r w:rsidR="00F51C54">
        <w:rPr>
          <w:lang w:val="en-US"/>
        </w:rPr>
        <w:t xml:space="preserve">t was </w:t>
      </w:r>
      <w:r>
        <w:rPr>
          <w:lang w:val="en-US"/>
        </w:rPr>
        <w:t xml:space="preserve">then </w:t>
      </w:r>
      <w:r w:rsidR="00F51C54">
        <w:rPr>
          <w:lang w:val="en-US"/>
        </w:rPr>
        <w:t>agreed in RAN4#113 meeting to further discuss the following</w:t>
      </w:r>
      <w:r w:rsidR="00DE3BA7">
        <w:rPr>
          <w:lang w:val="en-US"/>
        </w:rPr>
        <w:t xml:space="preserve">  </w:t>
      </w:r>
      <w:r w:rsidR="00DE3BA7">
        <w:rPr>
          <w:lang w:val="en-US"/>
        </w:rPr>
        <w:fldChar w:fldCharType="begin"/>
      </w:r>
      <w:r w:rsidR="00DE3BA7">
        <w:rPr>
          <w:lang w:val="en-US"/>
        </w:rPr>
        <w:instrText xml:space="preserve"> REF _Ref189728710 \r \h </w:instrText>
      </w:r>
      <w:r w:rsidR="00DE3BA7">
        <w:rPr>
          <w:lang w:val="en-US"/>
        </w:rPr>
      </w:r>
      <w:r w:rsidR="00DE3BA7">
        <w:rPr>
          <w:lang w:val="en-US"/>
        </w:rPr>
        <w:fldChar w:fldCharType="separate"/>
      </w:r>
      <w:r w:rsidR="00DE3BA7">
        <w:rPr>
          <w:lang w:val="en-US"/>
        </w:rPr>
        <w:t>[2]</w:t>
      </w:r>
      <w:r w:rsidR="00DE3BA7">
        <w:rPr>
          <w:lang w:val="en-US"/>
        </w:rPr>
        <w:fldChar w:fldCharType="end"/>
      </w:r>
      <w:r w:rsidR="00D03BD5">
        <w:rPr>
          <w:lang w:val="en-US"/>
        </w:rPr>
        <w:t>:</w:t>
      </w:r>
      <w:r w:rsidR="00F51C54">
        <w:rPr>
          <w:lang w:val="en-US"/>
        </w:rPr>
        <w:t xml:space="preserve"> </w:t>
      </w:r>
    </w:p>
    <w:tbl>
      <w:tblPr>
        <w:tblStyle w:val="TableGrid"/>
        <w:tblW w:w="0" w:type="auto"/>
        <w:tblLook w:val="04A0" w:firstRow="1" w:lastRow="0" w:firstColumn="1" w:lastColumn="0" w:noHBand="0" w:noVBand="1"/>
      </w:tblPr>
      <w:tblGrid>
        <w:gridCol w:w="9617"/>
      </w:tblGrid>
      <w:tr w:rsidR="00FB6170" w:rsidRPr="002D7CEA" w14:paraId="446B0894" w14:textId="77777777">
        <w:tc>
          <w:tcPr>
            <w:tcW w:w="9913" w:type="dxa"/>
          </w:tcPr>
          <w:p w14:paraId="5C42ADC6" w14:textId="77777777" w:rsidR="002D7CEA" w:rsidRPr="003225E7" w:rsidRDefault="002D7CEA" w:rsidP="002D7CEA">
            <w:pPr>
              <w:ind w:left="540"/>
              <w:rPr>
                <w:szCs w:val="20"/>
                <w:lang w:val="en-US"/>
              </w:rPr>
            </w:pPr>
            <w:r w:rsidRPr="003225E7">
              <w:rPr>
                <w:b/>
                <w:bCs/>
                <w:szCs w:val="20"/>
                <w:u w:val="single"/>
                <w:lang w:val="en-US"/>
              </w:rPr>
              <w:t xml:space="preserve">Issue 4-1: How to update the RRM requirements for 2TA enhancement for asymmetric DL </w:t>
            </w:r>
            <w:proofErr w:type="spellStart"/>
            <w:r w:rsidRPr="003225E7">
              <w:rPr>
                <w:b/>
                <w:bCs/>
                <w:szCs w:val="20"/>
                <w:u w:val="single"/>
                <w:lang w:val="en-US"/>
              </w:rPr>
              <w:t>sTRP</w:t>
            </w:r>
            <w:proofErr w:type="spellEnd"/>
            <w:r w:rsidRPr="003225E7">
              <w:rPr>
                <w:b/>
                <w:bCs/>
                <w:szCs w:val="20"/>
                <w:u w:val="single"/>
                <w:lang w:val="en-US"/>
              </w:rPr>
              <w:t xml:space="preserve">/ UL </w:t>
            </w:r>
            <w:proofErr w:type="spellStart"/>
            <w:r w:rsidRPr="003225E7">
              <w:rPr>
                <w:b/>
                <w:bCs/>
                <w:szCs w:val="20"/>
                <w:u w:val="single"/>
                <w:lang w:val="en-US"/>
              </w:rPr>
              <w:t>mTRP</w:t>
            </w:r>
            <w:proofErr w:type="spellEnd"/>
            <w:r w:rsidRPr="003225E7">
              <w:rPr>
                <w:b/>
                <w:bCs/>
                <w:szCs w:val="20"/>
                <w:u w:val="single"/>
                <w:lang w:val="en-US"/>
              </w:rPr>
              <w:t>?</w:t>
            </w:r>
          </w:p>
          <w:p w14:paraId="77423223" w14:textId="77777777" w:rsidR="002D7CEA" w:rsidRPr="003225E7" w:rsidRDefault="002D7CEA" w:rsidP="002D7CEA">
            <w:pPr>
              <w:spacing w:after="120"/>
              <w:ind w:left="540"/>
              <w:rPr>
                <w:szCs w:val="20"/>
                <w:lang w:val="en-US"/>
              </w:rPr>
            </w:pPr>
            <w:r w:rsidRPr="003225E7">
              <w:rPr>
                <w:szCs w:val="20"/>
                <w:lang w:val="en-US"/>
              </w:rPr>
              <w:t>Way forward:</w:t>
            </w:r>
          </w:p>
          <w:p w14:paraId="418A6219" w14:textId="77777777" w:rsidR="002D7CEA" w:rsidRPr="003225E7" w:rsidRDefault="002D7CEA" w:rsidP="002D7CEA">
            <w:pPr>
              <w:numPr>
                <w:ilvl w:val="0"/>
                <w:numId w:val="39"/>
              </w:numPr>
              <w:spacing w:after="120"/>
              <w:textAlignment w:val="center"/>
              <w:rPr>
                <w:szCs w:val="20"/>
                <w:lang w:val="en-US"/>
              </w:rPr>
            </w:pPr>
            <w:r w:rsidRPr="003225E7">
              <w:rPr>
                <w:szCs w:val="20"/>
                <w:lang w:val="en-US"/>
              </w:rPr>
              <w:t>Alt 1: Define requirement for 2TA following the legacy principle.</w:t>
            </w:r>
          </w:p>
          <w:p w14:paraId="74E23CCF" w14:textId="77777777" w:rsidR="002D7CEA" w:rsidRPr="003225E7" w:rsidRDefault="002D7CEA" w:rsidP="002D7CEA">
            <w:pPr>
              <w:numPr>
                <w:ilvl w:val="0"/>
                <w:numId w:val="39"/>
              </w:numPr>
              <w:spacing w:after="120"/>
              <w:textAlignment w:val="center"/>
              <w:rPr>
                <w:szCs w:val="20"/>
                <w:lang w:val="en-US"/>
              </w:rPr>
            </w:pPr>
            <w:r w:rsidRPr="003225E7">
              <w:rPr>
                <w:szCs w:val="20"/>
                <w:lang w:val="en-US"/>
              </w:rPr>
              <w:t>Alt 2: Wait for RAN1.</w:t>
            </w:r>
          </w:p>
          <w:p w14:paraId="6ACFE402" w14:textId="77777777" w:rsidR="00FB6170" w:rsidRPr="002D7CEA" w:rsidRDefault="00FB6170">
            <w:pPr>
              <w:overflowPunct w:val="0"/>
              <w:autoSpaceDE w:val="0"/>
              <w:autoSpaceDN w:val="0"/>
              <w:adjustRightInd w:val="0"/>
              <w:snapToGrid w:val="0"/>
              <w:spacing w:after="120"/>
              <w:ind w:left="936"/>
              <w:textAlignment w:val="baseline"/>
              <w:rPr>
                <w:b/>
                <w:szCs w:val="20"/>
                <w:u w:val="single"/>
                <w:lang w:eastAsia="ko-KR"/>
              </w:rPr>
            </w:pPr>
          </w:p>
        </w:tc>
      </w:tr>
    </w:tbl>
    <w:p w14:paraId="5934E650" w14:textId="77777777" w:rsidR="00FB6170" w:rsidRDefault="00FB6170" w:rsidP="00FB6170">
      <w:pPr>
        <w:rPr>
          <w:lang w:val="en-US"/>
        </w:rPr>
      </w:pPr>
    </w:p>
    <w:p w14:paraId="293F9C97" w14:textId="6B3FFA02" w:rsidR="002D7CEA" w:rsidRPr="00595F62" w:rsidRDefault="00AC002E" w:rsidP="002D7CEA">
      <w:pPr>
        <w:rPr>
          <w:lang w:val="en-US"/>
        </w:rPr>
      </w:pPr>
      <w:r>
        <w:rPr>
          <w:lang w:val="en-US"/>
        </w:rPr>
        <w:t xml:space="preserve">In response to the </w:t>
      </w:r>
      <w:r w:rsidR="001142E5">
        <w:rPr>
          <w:lang w:val="en-US"/>
        </w:rPr>
        <w:t xml:space="preserve">LS from RAN4, RAN1 has confirmed that if the UE is configured with a PL-Offset then the </w:t>
      </w:r>
      <w:r w:rsidR="00BB3586">
        <w:rPr>
          <w:lang w:val="en-US"/>
        </w:rPr>
        <w:t>UE is not expected to receive a SSB from the UL TRP(s)</w:t>
      </w:r>
      <w:r w:rsidR="000063B0">
        <w:rPr>
          <w:lang w:val="en-US"/>
        </w:rPr>
        <w:t xml:space="preserve">. </w:t>
      </w:r>
      <w:r w:rsidR="007E4198">
        <w:rPr>
          <w:lang w:val="en-US"/>
        </w:rPr>
        <w:t>On the other hand</w:t>
      </w:r>
      <w:r w:rsidR="005C3C8A">
        <w:rPr>
          <w:lang w:val="en-US"/>
        </w:rPr>
        <w:t>, if the UE is not configured with a PL offset, then the UE may e</w:t>
      </w:r>
      <w:r w:rsidR="000063B0">
        <w:rPr>
          <w:lang w:val="en-US"/>
        </w:rPr>
        <w:t>x</w:t>
      </w:r>
      <w:r w:rsidR="005C3C8A">
        <w:rPr>
          <w:lang w:val="en-US"/>
        </w:rPr>
        <w:t xml:space="preserve">pect to receive SSB from the </w:t>
      </w:r>
      <w:r w:rsidR="00845E5B">
        <w:rPr>
          <w:lang w:val="en-US"/>
        </w:rPr>
        <w:t>UL-only</w:t>
      </w:r>
      <w:r w:rsidR="005C3C8A">
        <w:rPr>
          <w:lang w:val="en-US"/>
        </w:rPr>
        <w:t xml:space="preserve"> TRP(s). </w:t>
      </w:r>
      <w:bookmarkStart w:id="8" w:name="_Hlk187845917"/>
    </w:p>
    <w:tbl>
      <w:tblPr>
        <w:tblStyle w:val="TableGrid"/>
        <w:tblW w:w="0" w:type="auto"/>
        <w:tblLook w:val="04A0" w:firstRow="1" w:lastRow="0" w:firstColumn="1" w:lastColumn="0" w:noHBand="0" w:noVBand="1"/>
      </w:tblPr>
      <w:tblGrid>
        <w:gridCol w:w="9617"/>
      </w:tblGrid>
      <w:tr w:rsidR="002D7CEA" w14:paraId="5692B72E" w14:textId="77777777">
        <w:tc>
          <w:tcPr>
            <w:tcW w:w="9913" w:type="dxa"/>
          </w:tcPr>
          <w:p w14:paraId="3C536F25" w14:textId="575B1F7C" w:rsidR="008F6168" w:rsidRDefault="008F6168" w:rsidP="008F6168">
            <w:pPr>
              <w:shd w:val="clear" w:color="auto" w:fill="FFFFFF"/>
              <w:snapToGrid w:val="0"/>
              <w:rPr>
                <w:rFonts w:eastAsia="SimSun"/>
                <w:color w:val="000000"/>
                <w:szCs w:val="20"/>
                <w:lang w:val="en-US"/>
              </w:rPr>
            </w:pPr>
            <w:r w:rsidRPr="003225E7">
              <w:rPr>
                <w:rFonts w:eastAsia="SimSun"/>
                <w:b/>
                <w:bCs/>
                <w:iCs/>
                <w:color w:val="000000"/>
                <w:szCs w:val="20"/>
              </w:rPr>
              <w:t>Agreement (RAN1 #119 Orlando)</w:t>
            </w:r>
          </w:p>
          <w:p w14:paraId="67DBC40B" w14:textId="77777777" w:rsidR="008F6168" w:rsidRDefault="008F6168" w:rsidP="008F6168">
            <w:pPr>
              <w:rPr>
                <w:rFonts w:eastAsia="Batang"/>
                <w:szCs w:val="20"/>
                <w:lang w:eastAsia="zh-CN"/>
              </w:rPr>
            </w:pPr>
            <w:r>
              <w:rPr>
                <w:szCs w:val="20"/>
                <w:lang w:eastAsia="zh-CN"/>
              </w:rPr>
              <w:t xml:space="preserve">The answer to the </w:t>
            </w:r>
            <w:r>
              <w:rPr>
                <w:b/>
                <w:bCs/>
                <w:szCs w:val="20"/>
                <w:lang w:eastAsia="zh-CN"/>
              </w:rPr>
              <w:t>Question 1</w:t>
            </w:r>
            <w:r>
              <w:rPr>
                <w:szCs w:val="20"/>
                <w:lang w:eastAsia="zh-CN"/>
              </w:rPr>
              <w:t xml:space="preserve"> in LS R1-2409353 is:</w:t>
            </w:r>
          </w:p>
          <w:p w14:paraId="7C2946EC" w14:textId="3CF3E032" w:rsidR="002D7CEA" w:rsidRPr="00595F62" w:rsidRDefault="008F6168" w:rsidP="003225E7">
            <w:pPr>
              <w:spacing w:after="120"/>
              <w:textAlignment w:val="center"/>
              <w:rPr>
                <w:b/>
                <w:szCs w:val="20"/>
                <w:u w:val="single"/>
                <w:lang w:eastAsia="ko-KR"/>
              </w:rPr>
            </w:pPr>
            <w:r>
              <w:rPr>
                <w:szCs w:val="20"/>
                <w:lang w:eastAsia="zh-CN"/>
              </w:rPr>
              <w:lastRenderedPageBreak/>
              <w:t>From the perspective of UE: if UE is configured with PL offset in joint/UL TCI state(s), UE does not expect to receive SSB from UL TRP(s), else, UE may expect to receive SSB from UL TRP(s).</w:t>
            </w:r>
          </w:p>
        </w:tc>
      </w:tr>
    </w:tbl>
    <w:bookmarkEnd w:id="8"/>
    <w:p w14:paraId="74EA1024" w14:textId="0A4596F0" w:rsidR="00617E50" w:rsidRPr="00D63210" w:rsidRDefault="000063B0" w:rsidP="00617E50">
      <w:pPr>
        <w:rPr>
          <w:lang w:val="en-US"/>
        </w:rPr>
      </w:pPr>
      <w:r>
        <w:rPr>
          <w:lang w:val="en-US"/>
        </w:rPr>
        <w:lastRenderedPageBreak/>
        <w:t>When the U</w:t>
      </w:r>
      <w:r w:rsidR="00BD6ACC">
        <w:rPr>
          <w:lang w:val="en-US"/>
        </w:rPr>
        <w:t xml:space="preserve">E is not configured with a PL offset and the </w:t>
      </w:r>
      <w:r w:rsidR="00845E5B">
        <w:rPr>
          <w:lang w:val="en-US"/>
        </w:rPr>
        <w:t>UL-only</w:t>
      </w:r>
      <w:r w:rsidR="00BD6ACC">
        <w:rPr>
          <w:lang w:val="en-US"/>
        </w:rPr>
        <w:t xml:space="preserve"> TRP is transmitting reference signals such as SSB(s), the U</w:t>
      </w:r>
      <w:r w:rsidR="00617E50">
        <w:rPr>
          <w:lang w:val="en-US"/>
        </w:rPr>
        <w:t>E</w:t>
      </w:r>
      <w:r w:rsidR="00BD6ACC">
        <w:rPr>
          <w:lang w:val="en-US"/>
        </w:rPr>
        <w:t xml:space="preserve"> can </w:t>
      </w:r>
      <w:r w:rsidR="00C44D1E">
        <w:rPr>
          <w:lang w:val="en-US"/>
        </w:rPr>
        <w:t xml:space="preserve">independently monitor and measure the DL reference signals associated with </w:t>
      </w:r>
      <w:r w:rsidR="006417E5">
        <w:rPr>
          <w:lang w:val="en-US"/>
        </w:rPr>
        <w:t>the respective TRPs.</w:t>
      </w:r>
      <w:r w:rsidR="00617E50">
        <w:rPr>
          <w:lang w:val="en-US"/>
        </w:rPr>
        <w:t xml:space="preserve"> The Rel-18 </w:t>
      </w:r>
      <w:r w:rsidR="00617E50" w:rsidRPr="00D63210">
        <w:rPr>
          <w:lang w:val="en-US"/>
        </w:rPr>
        <w:t>two TAs enhancement for multi-DCI multi-TRP scenario allow UL transmissions from a UE toward two TRPs whose links may be characterized by a large difference in the propagation delays with respect to the CP length. The most relevant Rel-18 enablers are the following ones:</w:t>
      </w:r>
    </w:p>
    <w:p w14:paraId="527A265E" w14:textId="77777777" w:rsidR="00617E50" w:rsidRPr="00D63210" w:rsidRDefault="00617E50" w:rsidP="00617E50">
      <w:pPr>
        <w:numPr>
          <w:ilvl w:val="0"/>
          <w:numId w:val="19"/>
        </w:numPr>
        <w:contextualSpacing/>
        <w:rPr>
          <w:lang w:val="en-US"/>
        </w:rPr>
      </w:pPr>
      <w:r w:rsidRPr="00D63210">
        <w:rPr>
          <w:lang w:val="en-US"/>
        </w:rPr>
        <w:t>Two TAGs can be configured for a serving cell configuration, each corresponding to a TRP.</w:t>
      </w:r>
    </w:p>
    <w:p w14:paraId="331ED691" w14:textId="77777777" w:rsidR="00617E50" w:rsidRPr="00D63210" w:rsidRDefault="00617E50" w:rsidP="00617E50">
      <w:pPr>
        <w:numPr>
          <w:ilvl w:val="1"/>
          <w:numId w:val="19"/>
        </w:numPr>
        <w:contextualSpacing/>
        <w:rPr>
          <w:lang w:val="en-US"/>
        </w:rPr>
      </w:pPr>
      <w:r w:rsidRPr="00D63210">
        <w:rPr>
          <w:lang w:val="en-US"/>
        </w:rPr>
        <w:t>To allow the UE to know which beam/TCI state is associated to which TAG, the TAG ID has been introduced as a field in the TCI state IE.</w:t>
      </w:r>
    </w:p>
    <w:p w14:paraId="411A3A2A" w14:textId="77777777" w:rsidR="00617E50" w:rsidRPr="00D63210" w:rsidRDefault="00617E50" w:rsidP="00617E50">
      <w:pPr>
        <w:numPr>
          <w:ilvl w:val="1"/>
          <w:numId w:val="19"/>
        </w:numPr>
        <w:contextualSpacing/>
        <w:rPr>
          <w:lang w:val="en-US"/>
        </w:rPr>
      </w:pPr>
      <w:r w:rsidRPr="00D63210">
        <w:rPr>
          <w:lang w:val="en-US"/>
        </w:rPr>
        <w:t>That allows a UE to receive a TA command TA1 for first TRP and a TA command TA2 for second TRP, for both intra-cell and inter-cell multi-TRP.</w:t>
      </w:r>
    </w:p>
    <w:p w14:paraId="26362DA8" w14:textId="77777777" w:rsidR="00617E50" w:rsidRPr="00D63210" w:rsidRDefault="00617E50" w:rsidP="00617E50">
      <w:pPr>
        <w:numPr>
          <w:ilvl w:val="0"/>
          <w:numId w:val="19"/>
        </w:numPr>
        <w:contextualSpacing/>
        <w:rPr>
          <w:lang w:val="en-US"/>
        </w:rPr>
      </w:pPr>
      <w:r w:rsidRPr="00D63210">
        <w:rPr>
          <w:lang w:val="en-US"/>
        </w:rPr>
        <w:t>The UE is required to monitor two DL reference timings, i.e., one DL reference per TAG.</w:t>
      </w:r>
    </w:p>
    <w:p w14:paraId="07825C0D" w14:textId="77777777" w:rsidR="00617E50" w:rsidRPr="00D63210" w:rsidRDefault="00617E50" w:rsidP="00617E50">
      <w:pPr>
        <w:numPr>
          <w:ilvl w:val="1"/>
          <w:numId w:val="19"/>
        </w:numPr>
        <w:contextualSpacing/>
        <w:rPr>
          <w:lang w:val="en-US"/>
        </w:rPr>
      </w:pPr>
      <w:r w:rsidRPr="00D63210">
        <w:rPr>
          <w:lang w:val="en-US"/>
        </w:rPr>
        <w:t>As with legacy single TA requirements, it is up to the UE to decide which RS, among the RSs transmitted by each TRP, to use as DL reference timing for each TAG.</w:t>
      </w:r>
    </w:p>
    <w:p w14:paraId="2F122648" w14:textId="77777777" w:rsidR="00617E50" w:rsidRPr="00D63210" w:rsidRDefault="00617E50" w:rsidP="00617E50">
      <w:pPr>
        <w:contextualSpacing/>
        <w:rPr>
          <w:lang w:val="en-US"/>
        </w:rPr>
      </w:pPr>
    </w:p>
    <w:p w14:paraId="5FBD975D" w14:textId="68810874" w:rsidR="00AC319E" w:rsidRDefault="00D84EAA" w:rsidP="00811593">
      <w:pPr>
        <w:contextualSpacing/>
        <w:rPr>
          <w:lang w:val="en-US"/>
        </w:rPr>
      </w:pPr>
      <w:proofErr w:type="gramStart"/>
      <w:r w:rsidRPr="00D63210">
        <w:rPr>
          <w:lang w:val="en-US"/>
        </w:rPr>
        <w:t>Similar to</w:t>
      </w:r>
      <w:proofErr w:type="gramEnd"/>
      <w:r w:rsidRPr="00D63210">
        <w:rPr>
          <w:lang w:val="en-US"/>
        </w:rPr>
        <w:t xml:space="preserve"> the Rel-18 </w:t>
      </w:r>
      <w:r w:rsidR="00C351CD" w:rsidRPr="00D63210">
        <w:rPr>
          <w:lang w:val="en-US"/>
        </w:rPr>
        <w:t xml:space="preserve">two TA enhancements for m-DCI m-TRP, </w:t>
      </w:r>
      <w:r w:rsidR="003E5EAC">
        <w:rPr>
          <w:lang w:val="en-US"/>
        </w:rPr>
        <w:t xml:space="preserve">when the UE is not configured with a PL offset, </w:t>
      </w:r>
      <w:r w:rsidR="00AC319E" w:rsidRPr="00D63210">
        <w:rPr>
          <w:lang w:val="en-US"/>
        </w:rPr>
        <w:t xml:space="preserve">the UE shall monitor two DL reference timings, one per TAG or TRP, and apply each TA command to the respective DL reference timing to determine the UL transmission timing toward that TAG. In that case, the system performance would be improved by using the independent reference timing from both TRPs, since the UL timing would be more robust </w:t>
      </w:r>
      <w:r w:rsidR="00590AB4">
        <w:rPr>
          <w:lang w:val="en-US"/>
        </w:rPr>
        <w:t>against small timing offset variations caused by</w:t>
      </w:r>
      <w:r w:rsidR="00AC319E" w:rsidRPr="00D63210">
        <w:rPr>
          <w:lang w:val="en-US"/>
        </w:rPr>
        <w:t xml:space="preserve"> UE movement. </w:t>
      </w:r>
    </w:p>
    <w:p w14:paraId="781D1345" w14:textId="6E36E4A6" w:rsidR="00374704" w:rsidRDefault="006F4891" w:rsidP="00F5038F">
      <w:pPr>
        <w:pStyle w:val="RAN4observation0"/>
        <w:rPr>
          <w:lang w:val="en-US"/>
        </w:rPr>
      </w:pPr>
      <w:bookmarkStart w:id="9" w:name="_Toc189862114"/>
      <w:r w:rsidRPr="00374704">
        <w:rPr>
          <w:lang w:val="en-US"/>
        </w:rPr>
        <w:t xml:space="preserve">RAN1 LS has clarified that when UE is not configured with PL offset, the UE may expect to receive SSB from the </w:t>
      </w:r>
      <w:r w:rsidR="00845E5B">
        <w:rPr>
          <w:lang w:val="en-US"/>
        </w:rPr>
        <w:t>UL-only</w:t>
      </w:r>
      <w:r w:rsidRPr="00374704">
        <w:rPr>
          <w:lang w:val="en-US"/>
        </w:rPr>
        <w:t xml:space="preserve"> TRP.</w:t>
      </w:r>
      <w:bookmarkEnd w:id="9"/>
    </w:p>
    <w:p w14:paraId="0E7948FD" w14:textId="1D585298" w:rsidR="00374704" w:rsidRDefault="00374704" w:rsidP="00374704">
      <w:pPr>
        <w:pStyle w:val="RAN4observation0"/>
        <w:spacing w:after="0" w:line="240" w:lineRule="auto"/>
        <w:rPr>
          <w:lang w:val="en-US"/>
        </w:rPr>
      </w:pPr>
      <w:bookmarkStart w:id="10" w:name="_Toc189862115"/>
      <w:r>
        <w:rPr>
          <w:lang w:val="en-US"/>
        </w:rPr>
        <w:t xml:space="preserve">Rel-18 2 TA </w:t>
      </w:r>
      <w:r w:rsidRPr="00D63210">
        <w:rPr>
          <w:lang w:val="en-US"/>
        </w:rPr>
        <w:t>enhancement for m-DCI m-TRP</w:t>
      </w:r>
      <w:r>
        <w:rPr>
          <w:lang w:val="en-US"/>
        </w:rPr>
        <w:t xml:space="preserve">, requires a UE to </w:t>
      </w:r>
      <w:r w:rsidRPr="00D63210">
        <w:rPr>
          <w:lang w:val="en-US"/>
        </w:rPr>
        <w:t>monitor two DL reference timings, i.e., one DL reference per TAG</w:t>
      </w:r>
      <w:r>
        <w:rPr>
          <w:lang w:val="en-US"/>
        </w:rPr>
        <w:t>.</w:t>
      </w:r>
      <w:bookmarkEnd w:id="10"/>
    </w:p>
    <w:p w14:paraId="114C7280" w14:textId="2F2397D6" w:rsidR="006F4891" w:rsidRPr="00860D01" w:rsidRDefault="00F5038F">
      <w:pPr>
        <w:pStyle w:val="RAN4observation0"/>
        <w:rPr>
          <w:lang w:val="en-US"/>
        </w:rPr>
      </w:pPr>
      <w:bookmarkStart w:id="11" w:name="_Toc189862116"/>
      <w:r w:rsidRPr="00860D01">
        <w:rPr>
          <w:lang w:val="en-US"/>
        </w:rPr>
        <w:t>Use of the independent reference timing from both TRPs</w:t>
      </w:r>
      <w:r w:rsidR="00860D01" w:rsidRPr="00860D01">
        <w:rPr>
          <w:lang w:val="en-US"/>
        </w:rPr>
        <w:t xml:space="preserve"> will ensure that the UL timing is robust for UE movement.</w:t>
      </w:r>
      <w:bookmarkEnd w:id="11"/>
    </w:p>
    <w:p w14:paraId="25AB71B2" w14:textId="77777777" w:rsidR="00981C2C" w:rsidRDefault="00981C2C" w:rsidP="00F70155">
      <w:pPr>
        <w:ind w:left="360"/>
        <w:contextualSpacing/>
        <w:rPr>
          <w:lang w:val="en-US"/>
        </w:rPr>
      </w:pPr>
    </w:p>
    <w:p w14:paraId="324926A3" w14:textId="77777777" w:rsidR="00A757E2" w:rsidRPr="00DB19F8" w:rsidRDefault="00A757E2" w:rsidP="00AC319E">
      <w:pPr>
        <w:numPr>
          <w:ilvl w:val="0"/>
          <w:numId w:val="19"/>
        </w:numPr>
        <w:contextualSpacing/>
        <w:rPr>
          <w:color w:val="D9D9D9" w:themeColor="background1" w:themeShade="D9"/>
          <w:lang w:val="en-US"/>
        </w:rPr>
      </w:pPr>
    </w:p>
    <w:p w14:paraId="10023C1D" w14:textId="77777777" w:rsidR="00CB0BBD" w:rsidRDefault="00CB0BBD" w:rsidP="003A17FF">
      <w:pPr>
        <w:pStyle w:val="ListParagraph"/>
        <w:keepNext/>
        <w:ind w:left="360"/>
        <w:jc w:val="center"/>
      </w:pPr>
      <w:r>
        <w:rPr>
          <w:noProof/>
        </w:rPr>
        <w:drawing>
          <wp:inline distT="0" distB="0" distL="0" distR="0" wp14:anchorId="761C055A" wp14:editId="2C063C71">
            <wp:extent cx="3080555" cy="3002070"/>
            <wp:effectExtent l="0" t="0" r="5715" b="0"/>
            <wp:docPr id="385949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3088031" cy="3009355"/>
                    </a:xfrm>
                    <a:prstGeom prst="rect">
                      <a:avLst/>
                    </a:prstGeom>
                  </pic:spPr>
                </pic:pic>
              </a:graphicData>
            </a:graphic>
          </wp:inline>
        </w:drawing>
      </w:r>
    </w:p>
    <w:p w14:paraId="40C8E593" w14:textId="77777777" w:rsidR="00CB0BBD" w:rsidRPr="00421F0E" w:rsidRDefault="00CB0BBD" w:rsidP="003A17FF">
      <w:pPr>
        <w:pStyle w:val="ListParagraph"/>
        <w:spacing w:after="240"/>
        <w:ind w:left="360"/>
        <w:jc w:val="center"/>
      </w:pPr>
      <w:bookmarkStart w:id="12" w:name="_Ref181616583"/>
      <w:r>
        <w:t xml:space="preserve">Figure </w:t>
      </w:r>
      <w:r>
        <w:fldChar w:fldCharType="begin"/>
      </w:r>
      <w:r>
        <w:instrText xml:space="preserve"> SEQ Figure \* ARABIC </w:instrText>
      </w:r>
      <w:r>
        <w:fldChar w:fldCharType="separate"/>
      </w:r>
      <w:r>
        <w:rPr>
          <w:noProof/>
        </w:rPr>
        <w:t>1</w:t>
      </w:r>
      <w:r>
        <w:fldChar w:fldCharType="end"/>
      </w:r>
      <w:bookmarkEnd w:id="12"/>
      <w:r>
        <w:t xml:space="preserve">. One or two DL reference timings in asymmetric </w:t>
      </w:r>
      <w:r w:rsidRPr="00D756D6">
        <w:t xml:space="preserve">DL </w:t>
      </w:r>
      <w:proofErr w:type="spellStart"/>
      <w:r w:rsidRPr="00D756D6">
        <w:t>sTRP</w:t>
      </w:r>
      <w:proofErr w:type="spellEnd"/>
      <w:r w:rsidRPr="00D756D6">
        <w:t xml:space="preserve">/UL </w:t>
      </w:r>
      <w:proofErr w:type="spellStart"/>
      <w:r w:rsidRPr="00D756D6">
        <w:t>mTRP</w:t>
      </w:r>
      <w:proofErr w:type="spellEnd"/>
      <w:r>
        <w:t xml:space="preserve"> scenario.</w:t>
      </w:r>
    </w:p>
    <w:p w14:paraId="031F753F" w14:textId="77777777" w:rsidR="006B29D7" w:rsidRDefault="006B29D7" w:rsidP="006B29D7">
      <w:pPr>
        <w:pStyle w:val="RAN4observation0"/>
        <w:numPr>
          <w:ilvl w:val="0"/>
          <w:numId w:val="0"/>
        </w:numPr>
        <w:rPr>
          <w:lang w:val="en-US"/>
        </w:rPr>
      </w:pPr>
    </w:p>
    <w:p w14:paraId="000014BC" w14:textId="09F1423B" w:rsidR="006B29D7" w:rsidRPr="001F52B7" w:rsidRDefault="00DB4082" w:rsidP="006B29D7">
      <w:pPr>
        <w:pStyle w:val="RAN4proposal"/>
        <w:rPr>
          <w:lang w:val="en-US"/>
        </w:rPr>
      </w:pPr>
      <w:bookmarkStart w:id="13" w:name="_Toc189862117"/>
      <w:r>
        <w:rPr>
          <w:lang w:val="en-US"/>
        </w:rPr>
        <w:t xml:space="preserve">With </w:t>
      </w:r>
      <w:r w:rsidRPr="00DB4082">
        <w:rPr>
          <w:lang w:val="en-US"/>
        </w:rPr>
        <w:t xml:space="preserve">asymmetric DL </w:t>
      </w:r>
      <w:proofErr w:type="spellStart"/>
      <w:r w:rsidRPr="00DB4082">
        <w:rPr>
          <w:lang w:val="en-US"/>
        </w:rPr>
        <w:t>sTRP</w:t>
      </w:r>
      <w:proofErr w:type="spellEnd"/>
      <w:r w:rsidRPr="00DB4082">
        <w:rPr>
          <w:lang w:val="en-US"/>
        </w:rPr>
        <w:t xml:space="preserve">/UL </w:t>
      </w:r>
      <w:proofErr w:type="spellStart"/>
      <w:r w:rsidRPr="00DB4082">
        <w:rPr>
          <w:lang w:val="en-US"/>
        </w:rPr>
        <w:t>mTRP</w:t>
      </w:r>
      <w:proofErr w:type="spellEnd"/>
      <w:r>
        <w:rPr>
          <w:lang w:val="en-US"/>
        </w:rPr>
        <w:t>,</w:t>
      </w:r>
      <w:r w:rsidRPr="00DB4082">
        <w:rPr>
          <w:lang w:val="en-US"/>
        </w:rPr>
        <w:t xml:space="preserve"> </w:t>
      </w:r>
      <w:r>
        <w:rPr>
          <w:lang w:val="en-US"/>
        </w:rPr>
        <w:t>i</w:t>
      </w:r>
      <w:r w:rsidR="006B29D7">
        <w:rPr>
          <w:lang w:val="en-US"/>
        </w:rPr>
        <w:t xml:space="preserve">n case </w:t>
      </w:r>
      <w:r>
        <w:rPr>
          <w:lang w:val="en-US"/>
        </w:rPr>
        <w:t xml:space="preserve">the </w:t>
      </w:r>
      <w:r w:rsidR="006B29D7">
        <w:rPr>
          <w:lang w:val="en-US"/>
        </w:rPr>
        <w:t xml:space="preserve">UE is not configured with PL offset </w:t>
      </w:r>
      <w:r w:rsidR="006B29D7" w:rsidRPr="001F52B7">
        <w:rPr>
          <w:lang w:val="en-US"/>
        </w:rPr>
        <w:t>the UE shall monitor two DL reference timings, one per TAG or TRP</w:t>
      </w:r>
      <w:r>
        <w:rPr>
          <w:lang w:val="en-US"/>
        </w:rPr>
        <w:t xml:space="preserve">, whereas in case the UE is configured with PL offset, the UE shall monitor </w:t>
      </w:r>
      <w:r w:rsidR="00E635D9">
        <w:rPr>
          <w:lang w:val="en-US"/>
        </w:rPr>
        <w:t xml:space="preserve">the </w:t>
      </w:r>
      <w:r>
        <w:rPr>
          <w:lang w:val="en-US"/>
        </w:rPr>
        <w:t>DL reference timing</w:t>
      </w:r>
      <w:r w:rsidR="00E635D9">
        <w:rPr>
          <w:lang w:val="en-US"/>
        </w:rPr>
        <w:t xml:space="preserve"> of the DL/UL TRP</w:t>
      </w:r>
      <w:r>
        <w:rPr>
          <w:lang w:val="en-US"/>
        </w:rPr>
        <w:t>.</w:t>
      </w:r>
      <w:bookmarkEnd w:id="13"/>
    </w:p>
    <w:p w14:paraId="2F0DB9C3" w14:textId="1C6F1044" w:rsidR="00D628ED" w:rsidRPr="00595F62" w:rsidRDefault="00F45456" w:rsidP="00D628ED">
      <w:pPr>
        <w:rPr>
          <w:lang w:val="en-US"/>
        </w:rPr>
      </w:pPr>
      <w:r>
        <w:rPr>
          <w:lang w:val="en-US"/>
        </w:rPr>
        <w:t xml:space="preserve">RAN1 has also discussed </w:t>
      </w:r>
      <w:r w:rsidR="003A0410">
        <w:rPr>
          <w:lang w:val="en-US"/>
        </w:rPr>
        <w:t>UE autonomous timing adjustment, as per FFS in the agreement below.</w:t>
      </w:r>
    </w:p>
    <w:tbl>
      <w:tblPr>
        <w:tblStyle w:val="TableGrid"/>
        <w:tblW w:w="0" w:type="auto"/>
        <w:tblLook w:val="04A0" w:firstRow="1" w:lastRow="0" w:firstColumn="1" w:lastColumn="0" w:noHBand="0" w:noVBand="1"/>
      </w:tblPr>
      <w:tblGrid>
        <w:gridCol w:w="9617"/>
      </w:tblGrid>
      <w:tr w:rsidR="00D628ED" w:rsidRPr="00E0242D" w14:paraId="1351C9CA" w14:textId="77777777">
        <w:tc>
          <w:tcPr>
            <w:tcW w:w="9913" w:type="dxa"/>
          </w:tcPr>
          <w:p w14:paraId="4A72BE85" w14:textId="487817C1" w:rsidR="00B6798F" w:rsidRPr="007C4F2E" w:rsidRDefault="00B6798F" w:rsidP="00B6798F">
            <w:pPr>
              <w:spacing w:line="256" w:lineRule="auto"/>
              <w:rPr>
                <w:rFonts w:eastAsia="DengXian"/>
                <w:b/>
                <w:bCs/>
                <w:szCs w:val="20"/>
                <w:lang w:val="en-CA"/>
              </w:rPr>
            </w:pPr>
            <w:r w:rsidRPr="007C4F2E">
              <w:rPr>
                <w:rFonts w:eastAsia="DengXian"/>
                <w:b/>
                <w:bCs/>
                <w:szCs w:val="20"/>
                <w:lang w:val="en-CA"/>
              </w:rPr>
              <w:t>Agreement</w:t>
            </w:r>
            <w:r w:rsidR="00E0242D" w:rsidRPr="007C4F2E">
              <w:rPr>
                <w:rFonts w:eastAsia="DengXian"/>
                <w:b/>
                <w:bCs/>
                <w:szCs w:val="20"/>
                <w:lang w:val="en-CA"/>
              </w:rPr>
              <w:t xml:space="preserve"> </w:t>
            </w:r>
            <w:r w:rsidRPr="007C4F2E">
              <w:rPr>
                <w:b/>
                <w:bCs/>
                <w:szCs w:val="20"/>
                <w:lang w:val="en-US"/>
              </w:rPr>
              <w:t>(RAN1 #118bis Hefei)</w:t>
            </w:r>
          </w:p>
          <w:p w14:paraId="2F03C491" w14:textId="77777777" w:rsidR="00B6798F" w:rsidRPr="007C4F2E" w:rsidRDefault="00B6798F" w:rsidP="00B6798F">
            <w:pPr>
              <w:spacing w:line="256" w:lineRule="auto"/>
              <w:rPr>
                <w:rFonts w:eastAsia="DengXian"/>
                <w:szCs w:val="20"/>
                <w:lang w:val="en-US"/>
              </w:rPr>
            </w:pPr>
            <w:r w:rsidRPr="007C4F2E">
              <w:rPr>
                <w:rFonts w:eastAsia="Calibri"/>
                <w:szCs w:val="20"/>
                <w:lang w:val="en-US" w:eastAsia="zh-CN"/>
              </w:rPr>
              <w:t xml:space="preserve">Support 2TA for the </w:t>
            </w:r>
            <w:r w:rsidRPr="007C4F2E">
              <w:rPr>
                <w:rFonts w:eastAsia="DengXian"/>
                <w:szCs w:val="20"/>
                <w:lang w:val="en-US"/>
              </w:rPr>
              <w:t xml:space="preserve">asymmetric DL </w:t>
            </w:r>
            <w:proofErr w:type="spellStart"/>
            <w:r w:rsidRPr="007C4F2E">
              <w:rPr>
                <w:rFonts w:eastAsia="DengXian"/>
                <w:szCs w:val="20"/>
                <w:lang w:val="en-US"/>
              </w:rPr>
              <w:t>sTRP</w:t>
            </w:r>
            <w:proofErr w:type="spellEnd"/>
            <w:r w:rsidRPr="007C4F2E">
              <w:rPr>
                <w:rFonts w:eastAsia="DengXian"/>
                <w:szCs w:val="20"/>
                <w:lang w:val="en-US"/>
              </w:rPr>
              <w:t xml:space="preserve">/UL </w:t>
            </w:r>
            <w:proofErr w:type="spellStart"/>
            <w:r w:rsidRPr="007C4F2E">
              <w:rPr>
                <w:rFonts w:eastAsia="DengXian"/>
                <w:szCs w:val="20"/>
                <w:lang w:val="en-US"/>
              </w:rPr>
              <w:t>mTRP</w:t>
            </w:r>
            <w:proofErr w:type="spellEnd"/>
            <w:r w:rsidRPr="007C4F2E">
              <w:rPr>
                <w:rFonts w:eastAsia="DengXian"/>
                <w:szCs w:val="20"/>
                <w:lang w:val="en-US"/>
              </w:rPr>
              <w:t xml:space="preserve"> deployment scenarios:</w:t>
            </w:r>
          </w:p>
          <w:p w14:paraId="3E98B6C2" w14:textId="77777777" w:rsidR="00B6798F" w:rsidRPr="007C4F2E" w:rsidRDefault="00B6798F" w:rsidP="00B6798F">
            <w:pPr>
              <w:numPr>
                <w:ilvl w:val="0"/>
                <w:numId w:val="41"/>
              </w:numPr>
              <w:jc w:val="both"/>
              <w:rPr>
                <w:rFonts w:eastAsia="DengXian"/>
                <w:szCs w:val="20"/>
                <w:lang w:eastAsia="zh-CN"/>
              </w:rPr>
            </w:pPr>
            <w:r w:rsidRPr="007C4F2E">
              <w:rPr>
                <w:rFonts w:eastAsia="DengXian"/>
                <w:szCs w:val="20"/>
              </w:rPr>
              <w:t xml:space="preserve">Remove the restriction that </w:t>
            </w:r>
            <w:proofErr w:type="spellStart"/>
            <w:r w:rsidRPr="007C4F2E">
              <w:rPr>
                <w:rFonts w:eastAsia="DengXian"/>
                <w:i/>
                <w:iCs/>
                <w:szCs w:val="20"/>
              </w:rPr>
              <w:t>coresetPoolIndex</w:t>
            </w:r>
            <w:proofErr w:type="spellEnd"/>
            <w:r w:rsidRPr="007C4F2E">
              <w:rPr>
                <w:rFonts w:eastAsia="DengXian"/>
                <w:szCs w:val="20"/>
              </w:rPr>
              <w:t xml:space="preserve"> needs to be configured</w:t>
            </w:r>
            <w:r w:rsidRPr="007C4F2E">
              <w:rPr>
                <w:rFonts w:eastAsia="DengXian"/>
                <w:szCs w:val="20"/>
                <w:lang w:eastAsia="zh-CN"/>
              </w:rPr>
              <w:t xml:space="preserve"> </w:t>
            </w:r>
            <w:r w:rsidRPr="007C4F2E">
              <w:rPr>
                <w:rFonts w:eastAsia="DengXian"/>
                <w:szCs w:val="20"/>
                <w:lang w:val="en-US" w:eastAsia="zh-CN"/>
              </w:rPr>
              <w:t>for the 2TA feature</w:t>
            </w:r>
            <w:r w:rsidRPr="007C4F2E">
              <w:rPr>
                <w:rFonts w:eastAsia="DengXian"/>
                <w:szCs w:val="20"/>
              </w:rPr>
              <w:t>.</w:t>
            </w:r>
          </w:p>
          <w:p w14:paraId="03A80047" w14:textId="77777777" w:rsidR="00B6798F" w:rsidRPr="007C4F2E" w:rsidRDefault="00B6798F" w:rsidP="00B6798F">
            <w:pPr>
              <w:numPr>
                <w:ilvl w:val="0"/>
                <w:numId w:val="41"/>
              </w:numPr>
              <w:jc w:val="both"/>
              <w:rPr>
                <w:rFonts w:eastAsia="DengXian"/>
                <w:szCs w:val="20"/>
                <w:lang w:val="en-CA"/>
              </w:rPr>
            </w:pPr>
            <w:r w:rsidRPr="007C4F2E">
              <w:rPr>
                <w:rFonts w:eastAsia="DengXian"/>
                <w:szCs w:val="20"/>
                <w:lang w:val="en-CA"/>
              </w:rPr>
              <w:t>One downlink reference timing is supported and applied to both TAGs.</w:t>
            </w:r>
          </w:p>
          <w:p w14:paraId="5F1F686D" w14:textId="77777777" w:rsidR="00B6798F" w:rsidRPr="007C4F2E" w:rsidRDefault="00B6798F" w:rsidP="00B6798F">
            <w:pPr>
              <w:numPr>
                <w:ilvl w:val="1"/>
                <w:numId w:val="41"/>
              </w:numPr>
              <w:jc w:val="both"/>
              <w:rPr>
                <w:rFonts w:eastAsia="DengXian"/>
                <w:szCs w:val="20"/>
                <w:lang w:val="en-CA"/>
              </w:rPr>
            </w:pPr>
            <w:r w:rsidRPr="007C4F2E">
              <w:rPr>
                <w:rFonts w:eastAsia="Calibri"/>
                <w:szCs w:val="20"/>
              </w:rPr>
              <w:t>(FFS) Note: UE autonomous TA adjustment is only applicable to the first TAG</w:t>
            </w:r>
          </w:p>
          <w:p w14:paraId="52F6061F" w14:textId="77777777" w:rsidR="00B6798F" w:rsidRPr="007C4F2E" w:rsidRDefault="00B6798F" w:rsidP="00B6798F">
            <w:pPr>
              <w:numPr>
                <w:ilvl w:val="0"/>
                <w:numId w:val="41"/>
              </w:numPr>
              <w:jc w:val="both"/>
              <w:rPr>
                <w:rFonts w:eastAsia="DengXian"/>
                <w:szCs w:val="20"/>
                <w:lang w:val="en-CA"/>
              </w:rPr>
            </w:pPr>
            <w:r w:rsidRPr="007C4F2E">
              <w:rPr>
                <w:rFonts w:eastAsia="DengXian"/>
                <w:szCs w:val="20"/>
                <w:lang w:val="en-CA"/>
              </w:rPr>
              <w:t xml:space="preserve">One single </w:t>
            </w:r>
            <w:r w:rsidRPr="007C4F2E">
              <w:rPr>
                <w:rFonts w:eastAsia="DengXian"/>
                <w:i/>
                <w:iCs/>
                <w:szCs w:val="20"/>
                <w:lang w:val="en-CA"/>
              </w:rPr>
              <w:t>n-</w:t>
            </w:r>
            <w:proofErr w:type="spellStart"/>
            <w:r w:rsidRPr="007C4F2E">
              <w:rPr>
                <w:rFonts w:eastAsia="DengXian"/>
                <w:i/>
                <w:iCs/>
                <w:szCs w:val="20"/>
                <w:lang w:val="en-CA"/>
              </w:rPr>
              <w:t>TimingAdvanceoffset</w:t>
            </w:r>
            <w:proofErr w:type="spellEnd"/>
            <w:r w:rsidRPr="007C4F2E">
              <w:rPr>
                <w:rFonts w:eastAsia="DengXian"/>
                <w:szCs w:val="20"/>
                <w:lang w:val="en-CA"/>
              </w:rPr>
              <w:t xml:space="preserve"> is configured and applied to both TAGs.</w:t>
            </w:r>
          </w:p>
          <w:p w14:paraId="4355BC03" w14:textId="77777777" w:rsidR="00B6798F" w:rsidRPr="007C4F2E" w:rsidRDefault="00B6798F" w:rsidP="00B6798F">
            <w:pPr>
              <w:numPr>
                <w:ilvl w:val="0"/>
                <w:numId w:val="41"/>
              </w:numPr>
              <w:jc w:val="both"/>
              <w:rPr>
                <w:rFonts w:eastAsia="DengXian"/>
                <w:szCs w:val="20"/>
              </w:rPr>
            </w:pPr>
            <w:r w:rsidRPr="007C4F2E">
              <w:rPr>
                <w:rFonts w:eastAsia="DengXian"/>
                <w:szCs w:val="20"/>
                <w:lang w:val="en-CA" w:eastAsia="zh-CN"/>
              </w:rPr>
              <w:t>Any of the TCI states can be associated with any one of the two TAGs.</w:t>
            </w:r>
          </w:p>
          <w:p w14:paraId="4B1A9662" w14:textId="77777777" w:rsidR="00B6798F" w:rsidRPr="007C4F2E" w:rsidRDefault="00B6798F" w:rsidP="00B6798F">
            <w:pPr>
              <w:numPr>
                <w:ilvl w:val="0"/>
                <w:numId w:val="41"/>
              </w:numPr>
              <w:jc w:val="both"/>
              <w:rPr>
                <w:rFonts w:eastAsia="DengXian"/>
                <w:szCs w:val="20"/>
              </w:rPr>
            </w:pPr>
            <w:r w:rsidRPr="007C4F2E">
              <w:rPr>
                <w:rFonts w:eastAsia="DengXian"/>
                <w:szCs w:val="20"/>
              </w:rPr>
              <w:t xml:space="preserve">The RAR carrying TA adjustment for those 2 TAGs is reused for Rel-19 2TA </w:t>
            </w:r>
          </w:p>
          <w:p w14:paraId="5607F887" w14:textId="77777777" w:rsidR="00B6798F" w:rsidRPr="007C4F2E" w:rsidRDefault="00B6798F" w:rsidP="00B6798F">
            <w:pPr>
              <w:numPr>
                <w:ilvl w:val="0"/>
                <w:numId w:val="41"/>
              </w:numPr>
              <w:jc w:val="both"/>
              <w:rPr>
                <w:rFonts w:eastAsia="DengXian"/>
                <w:szCs w:val="20"/>
              </w:rPr>
            </w:pPr>
            <w:r w:rsidRPr="007C4F2E">
              <w:rPr>
                <w:rFonts w:eastAsia="DengXian"/>
                <w:szCs w:val="20"/>
              </w:rPr>
              <w:t>The MAC CE based TA adjustment for 2 TAGs is reused for Rel-19 2TA.</w:t>
            </w:r>
          </w:p>
          <w:p w14:paraId="0AD64576" w14:textId="77777777" w:rsidR="00B6798F" w:rsidRPr="007C4F2E" w:rsidRDefault="00B6798F" w:rsidP="00B6798F">
            <w:pPr>
              <w:numPr>
                <w:ilvl w:val="0"/>
                <w:numId w:val="41"/>
              </w:numPr>
              <w:jc w:val="both"/>
              <w:rPr>
                <w:rFonts w:eastAsia="DengXian"/>
                <w:szCs w:val="20"/>
              </w:rPr>
            </w:pPr>
            <w:r w:rsidRPr="007C4F2E">
              <w:rPr>
                <w:rFonts w:eastAsia="DengXian"/>
                <w:szCs w:val="20"/>
              </w:rPr>
              <w:t xml:space="preserve">Introduce the </w:t>
            </w:r>
            <w:r w:rsidRPr="007C4F2E">
              <w:rPr>
                <w:rFonts w:eastAsia="DengXian"/>
                <w:szCs w:val="20"/>
                <w:lang w:val="en-US"/>
              </w:rPr>
              <w:t xml:space="preserve">optional </w:t>
            </w:r>
            <w:r w:rsidRPr="007C4F2E">
              <w:rPr>
                <w:rFonts w:eastAsia="DengXian"/>
                <w:szCs w:val="20"/>
              </w:rPr>
              <w:t>UE capability of “Overlapping UL transmission reduction” for Rel-19 2TA</w:t>
            </w:r>
          </w:p>
          <w:p w14:paraId="5933815A" w14:textId="77777777" w:rsidR="00B6798F" w:rsidRPr="007C4F2E" w:rsidRDefault="00B6798F" w:rsidP="00B6798F">
            <w:pPr>
              <w:numPr>
                <w:ilvl w:val="1"/>
                <w:numId w:val="41"/>
              </w:numPr>
              <w:jc w:val="both"/>
              <w:rPr>
                <w:rFonts w:eastAsia="Calibri"/>
                <w:szCs w:val="20"/>
                <w:lang w:eastAsia="zh-CN"/>
              </w:rPr>
            </w:pPr>
            <w:r w:rsidRPr="007C4F2E">
              <w:rPr>
                <w:rFonts w:eastAsia="DengXian"/>
                <w:szCs w:val="20"/>
              </w:rPr>
              <w:t>If UE does not report this UE capability, UE does not expect two UL transmissions associated with different TAGs are overlapped.</w:t>
            </w:r>
          </w:p>
          <w:p w14:paraId="27F65075" w14:textId="77777777" w:rsidR="00B6798F" w:rsidRPr="007C4F2E" w:rsidRDefault="00B6798F" w:rsidP="00B6798F">
            <w:pPr>
              <w:numPr>
                <w:ilvl w:val="0"/>
                <w:numId w:val="41"/>
              </w:numPr>
              <w:jc w:val="both"/>
              <w:rPr>
                <w:rFonts w:eastAsia="Calibri"/>
                <w:szCs w:val="20"/>
                <w:lang w:eastAsia="zh-CN"/>
              </w:rPr>
            </w:pPr>
            <w:r w:rsidRPr="007C4F2E">
              <w:rPr>
                <w:rFonts w:eastAsia="Calibri"/>
                <w:szCs w:val="20"/>
                <w:lang w:eastAsia="zh-CN"/>
              </w:rPr>
              <w:t xml:space="preserve">FFS: UE does not expect that in intra-slot TDM PUSCH type-B repetition transmission, </w:t>
            </w:r>
            <w:r w:rsidRPr="007C4F2E">
              <w:rPr>
                <w:rFonts w:eastAsia="DengXian"/>
                <w:szCs w:val="20"/>
              </w:rPr>
              <w:t>two consecutive repetitions associated with different TAGs are overlapped.</w:t>
            </w:r>
          </w:p>
          <w:p w14:paraId="15A26D8F" w14:textId="77777777" w:rsidR="00D628ED" w:rsidRPr="007C4F2E" w:rsidRDefault="00D628ED" w:rsidP="007C4F2E">
            <w:pPr>
              <w:jc w:val="both"/>
              <w:rPr>
                <w:b/>
                <w:szCs w:val="20"/>
                <w:u w:val="single"/>
                <w:lang w:eastAsia="ko-KR"/>
              </w:rPr>
            </w:pPr>
          </w:p>
        </w:tc>
      </w:tr>
    </w:tbl>
    <w:p w14:paraId="558D9208" w14:textId="77777777" w:rsidR="00F45456" w:rsidRDefault="00F45456" w:rsidP="00C318AF">
      <w:pPr>
        <w:contextualSpacing/>
        <w:rPr>
          <w:lang w:val="en-US"/>
        </w:rPr>
      </w:pPr>
    </w:p>
    <w:p w14:paraId="26DA4C27" w14:textId="42DD4CFD" w:rsidR="00E95DA2" w:rsidRDefault="00FA1DCA" w:rsidP="00E95DA2">
      <w:pPr>
        <w:contextualSpacing/>
        <w:rPr>
          <w:lang w:val="en-US"/>
        </w:rPr>
      </w:pPr>
      <w:r>
        <w:rPr>
          <w:lang w:val="en-US"/>
        </w:rPr>
        <w:t>However,</w:t>
      </w:r>
      <w:r w:rsidR="00E95DA2" w:rsidRPr="00E95DA2">
        <w:rPr>
          <w:lang w:val="en-US"/>
        </w:rPr>
        <w:t xml:space="preserve"> </w:t>
      </w:r>
      <w:r w:rsidR="008F6F5D">
        <w:rPr>
          <w:lang w:val="en-US"/>
        </w:rPr>
        <w:t>it is still unclear how autonomous timing adjustments are performed in this situation. I</w:t>
      </w:r>
      <w:r w:rsidR="008F6F5D" w:rsidRPr="00E95DA2">
        <w:rPr>
          <w:lang w:val="en-US"/>
        </w:rPr>
        <w:t>f</w:t>
      </w:r>
      <w:r w:rsidR="00E95DA2" w:rsidRPr="00E95DA2">
        <w:rPr>
          <w:lang w:val="en-US"/>
        </w:rPr>
        <w:t xml:space="preserve"> a UE monitors just </w:t>
      </w:r>
      <w:r w:rsidR="00E95DA2">
        <w:rPr>
          <w:lang w:val="en-US"/>
        </w:rPr>
        <w:t>one</w:t>
      </w:r>
      <w:r w:rsidR="00E95DA2" w:rsidRPr="00E95DA2">
        <w:rPr>
          <w:lang w:val="en-US"/>
        </w:rPr>
        <w:t xml:space="preserve"> DL reference timing from the DL/UL capable TRP</w:t>
      </w:r>
      <w:r w:rsidR="00067F98">
        <w:rPr>
          <w:lang w:val="en-US"/>
        </w:rPr>
        <w:t xml:space="preserve"> </w:t>
      </w:r>
      <w:r w:rsidR="009B2EF9">
        <w:rPr>
          <w:lang w:val="en-US"/>
        </w:rPr>
        <w:t>(</w:t>
      </w:r>
      <w:r w:rsidR="00E95DA2" w:rsidRPr="00E95DA2">
        <w:rPr>
          <w:lang w:val="en-US"/>
        </w:rPr>
        <w:t>TRP1</w:t>
      </w:r>
      <w:r w:rsidR="009B2EF9">
        <w:rPr>
          <w:lang w:val="en-US"/>
        </w:rPr>
        <w:t>)</w:t>
      </w:r>
      <w:r w:rsidR="00E95DA2" w:rsidRPr="00E95DA2">
        <w:rPr>
          <w:lang w:val="en-US"/>
        </w:rPr>
        <w:t xml:space="preserve"> and uses that for </w:t>
      </w:r>
      <w:r w:rsidR="00010D9E">
        <w:rPr>
          <w:lang w:val="en-US"/>
        </w:rPr>
        <w:t xml:space="preserve">adjusting </w:t>
      </w:r>
      <w:r w:rsidR="00E95DA2" w:rsidRPr="00E95DA2">
        <w:rPr>
          <w:lang w:val="en-US"/>
        </w:rPr>
        <w:t>the UL transmissions toward both TRP1 and TRP2</w:t>
      </w:r>
      <w:r w:rsidR="00067F98">
        <w:rPr>
          <w:lang w:val="en-US"/>
        </w:rPr>
        <w:t xml:space="preserve"> </w:t>
      </w:r>
      <w:r w:rsidR="009B2EF9">
        <w:rPr>
          <w:lang w:val="en-US"/>
        </w:rPr>
        <w:t>(</w:t>
      </w:r>
      <w:r w:rsidR="00E95DA2" w:rsidRPr="00E95DA2">
        <w:rPr>
          <w:lang w:val="en-US"/>
        </w:rPr>
        <w:t>the UL-only TRP</w:t>
      </w:r>
      <w:r w:rsidR="009B2EF9">
        <w:rPr>
          <w:lang w:val="en-US"/>
        </w:rPr>
        <w:t>)</w:t>
      </w:r>
      <w:r w:rsidR="00E95DA2" w:rsidRPr="00E95DA2">
        <w:rPr>
          <w:lang w:val="en-US"/>
        </w:rPr>
        <w:t xml:space="preserve">, the compensation/adjustment the UE does may </w:t>
      </w:r>
      <w:r>
        <w:rPr>
          <w:lang w:val="en-US"/>
        </w:rPr>
        <w:t>suffice</w:t>
      </w:r>
      <w:r w:rsidR="00E95DA2" w:rsidRPr="00E95DA2">
        <w:rPr>
          <w:lang w:val="en-US"/>
        </w:rPr>
        <w:t xml:space="preserve"> to compensate/adjust the UL timing error for TRP1, but may not </w:t>
      </w:r>
      <w:r>
        <w:rPr>
          <w:lang w:val="en-US"/>
        </w:rPr>
        <w:t>suffice</w:t>
      </w:r>
      <w:r w:rsidR="00E95DA2" w:rsidRPr="00E95DA2">
        <w:rPr>
          <w:lang w:val="en-US"/>
        </w:rPr>
        <w:t xml:space="preserve">, and </w:t>
      </w:r>
      <w:r>
        <w:rPr>
          <w:lang w:val="en-US"/>
        </w:rPr>
        <w:t xml:space="preserve">may </w:t>
      </w:r>
      <w:r w:rsidR="00E95DA2" w:rsidRPr="00E95DA2">
        <w:rPr>
          <w:lang w:val="en-US"/>
        </w:rPr>
        <w:t>potentially even amplify/increase th</w:t>
      </w:r>
      <w:r>
        <w:rPr>
          <w:lang w:val="en-US"/>
        </w:rPr>
        <w:t>e</w:t>
      </w:r>
      <w:r w:rsidR="00E95DA2" w:rsidRPr="00E95DA2">
        <w:rPr>
          <w:lang w:val="en-US"/>
        </w:rPr>
        <w:t xml:space="preserve"> timing error for TRP2: </w:t>
      </w:r>
      <w:r w:rsidR="00317D5D">
        <w:rPr>
          <w:lang w:val="en-US"/>
        </w:rPr>
        <w:t>as due to</w:t>
      </w:r>
      <w:r w:rsidR="00E95DA2" w:rsidRPr="00E95DA2">
        <w:rPr>
          <w:lang w:val="en-US"/>
        </w:rPr>
        <w:t xml:space="preserve"> UE movements, different compensation for the two TRPs</w:t>
      </w:r>
      <w:r>
        <w:rPr>
          <w:lang w:val="en-US"/>
        </w:rPr>
        <w:t xml:space="preserve"> may be required</w:t>
      </w:r>
      <w:r w:rsidR="004E35B0">
        <w:rPr>
          <w:lang w:val="en-US"/>
        </w:rPr>
        <w:t xml:space="preserve">. </w:t>
      </w:r>
      <w:r w:rsidR="00054D2B">
        <w:rPr>
          <w:lang w:val="en-US"/>
        </w:rPr>
        <w:t>As one</w:t>
      </w:r>
      <w:r w:rsidR="00E95DA2" w:rsidRPr="00E95DA2">
        <w:rPr>
          <w:lang w:val="en-US"/>
        </w:rPr>
        <w:t xml:space="preserve"> example</w:t>
      </w:r>
      <w:r w:rsidR="00FC773E">
        <w:rPr>
          <w:lang w:val="en-US"/>
        </w:rPr>
        <w:t>,</w:t>
      </w:r>
      <w:r w:rsidR="00E95DA2" w:rsidRPr="00E95DA2">
        <w:rPr>
          <w:lang w:val="en-US"/>
        </w:rPr>
        <w:t xml:space="preserve"> in case a UE is moving closer to a TRP but further away from the other TRP</w:t>
      </w:r>
      <w:r w:rsidR="00572C21">
        <w:rPr>
          <w:lang w:val="en-US"/>
        </w:rPr>
        <w:t xml:space="preserve">, the </w:t>
      </w:r>
      <w:r w:rsidR="00623314">
        <w:rPr>
          <w:lang w:val="en-US"/>
        </w:rPr>
        <w:t xml:space="preserve">UE would perform an </w:t>
      </w:r>
      <w:proofErr w:type="spellStart"/>
      <w:r w:rsidR="00623314">
        <w:rPr>
          <w:lang w:val="en-US"/>
        </w:rPr>
        <w:t>authonomous</w:t>
      </w:r>
      <w:proofErr w:type="spellEnd"/>
      <w:r w:rsidR="00623314">
        <w:rPr>
          <w:lang w:val="en-US"/>
        </w:rPr>
        <w:t xml:space="preserve"> adjustment on the opposite direction than what is needed for the UL only TRP</w:t>
      </w:r>
      <w:r w:rsidR="00E95DA2" w:rsidRPr="00E95DA2">
        <w:rPr>
          <w:lang w:val="en-US"/>
        </w:rPr>
        <w:t>.</w:t>
      </w:r>
      <w:r w:rsidR="00E95DA2">
        <w:rPr>
          <w:lang w:val="en-US"/>
        </w:rPr>
        <w:t xml:space="preserve"> </w:t>
      </w:r>
      <w:r w:rsidR="00E95DA2" w:rsidRPr="00E95DA2">
        <w:rPr>
          <w:lang w:val="en-US"/>
        </w:rPr>
        <w:t>The current proposal in RAN1 to just have UE autonomous timing adjustment for TRP1 is in our view limiting the deployment of this feature, as there will be no requirements on the error for the UL transmission toward TRP2.</w:t>
      </w:r>
      <w:r w:rsidR="00DD367F">
        <w:rPr>
          <w:lang w:val="en-US"/>
        </w:rPr>
        <w:t xml:space="preserve"> If the autonomous adjustments for TRP2 are completely turned off, this will force the network to </w:t>
      </w:r>
      <w:r w:rsidR="00481970">
        <w:rPr>
          <w:lang w:val="en-US"/>
        </w:rPr>
        <w:t>send TAC much more often than that is needed</w:t>
      </w:r>
      <w:r w:rsidR="00CB45B0">
        <w:rPr>
          <w:lang w:val="en-US"/>
        </w:rPr>
        <w:t xml:space="preserve">. </w:t>
      </w:r>
    </w:p>
    <w:p w14:paraId="0A13B331" w14:textId="77777777" w:rsidR="00E95DA2" w:rsidRDefault="00E95DA2" w:rsidP="00E95DA2">
      <w:pPr>
        <w:contextualSpacing/>
        <w:rPr>
          <w:lang w:val="en-US"/>
        </w:rPr>
      </w:pPr>
    </w:p>
    <w:p w14:paraId="5047AD63" w14:textId="0E994457" w:rsidR="00C318AF" w:rsidRDefault="00C318AF" w:rsidP="00C318AF">
      <w:pPr>
        <w:contextualSpacing/>
        <w:rPr>
          <w:lang w:val="en-US"/>
        </w:rPr>
      </w:pPr>
      <w:r>
        <w:rPr>
          <w:lang w:val="en-US"/>
        </w:rPr>
        <w:t xml:space="preserve">Additionally, when the UE </w:t>
      </w:r>
      <w:proofErr w:type="gramStart"/>
      <w:r>
        <w:rPr>
          <w:lang w:val="en-US"/>
        </w:rPr>
        <w:t>has to</w:t>
      </w:r>
      <w:proofErr w:type="gramEnd"/>
      <w:r>
        <w:rPr>
          <w:lang w:val="en-US"/>
        </w:rPr>
        <w:t xml:space="preserve"> perform autonomous timing adjustments, if the UE independently monitors and measures the DL RS from each TRP, </w:t>
      </w:r>
      <w:r w:rsidR="00845E5B">
        <w:rPr>
          <w:lang w:val="en-US"/>
        </w:rPr>
        <w:t xml:space="preserve">in case the UL-only TRP transmits RSs, </w:t>
      </w:r>
      <w:r>
        <w:rPr>
          <w:lang w:val="en-US"/>
        </w:rPr>
        <w:t xml:space="preserve">then the likelihood of having incorrect timing adjustments is low. </w:t>
      </w:r>
    </w:p>
    <w:p w14:paraId="7172D426" w14:textId="77777777" w:rsidR="00845E5B" w:rsidRDefault="00845E5B" w:rsidP="00C318AF">
      <w:pPr>
        <w:contextualSpacing/>
        <w:rPr>
          <w:lang w:val="en-US"/>
        </w:rPr>
      </w:pPr>
    </w:p>
    <w:p w14:paraId="05A232B7" w14:textId="5C57D8F2" w:rsidR="00C318AF" w:rsidRDefault="00C318AF" w:rsidP="00C318AF">
      <w:pPr>
        <w:pStyle w:val="RAN4observation0"/>
        <w:rPr>
          <w:lang w:val="en-US"/>
        </w:rPr>
      </w:pPr>
      <w:bookmarkStart w:id="14" w:name="_Toc189862118"/>
      <w:r w:rsidRPr="006B29D7">
        <w:rPr>
          <w:lang w:val="en-US"/>
        </w:rPr>
        <w:t xml:space="preserve">While performing autonomous timing adjustments, the likelihood of timing errors is lower when the UE independently monitors and measures the DL RS from each TRP as compared to when the UE uses only one DL </w:t>
      </w:r>
      <w:r w:rsidR="00845E5B">
        <w:rPr>
          <w:lang w:val="en-US"/>
        </w:rPr>
        <w:t>reference timing</w:t>
      </w:r>
      <w:r w:rsidRPr="006B29D7">
        <w:rPr>
          <w:lang w:val="en-US"/>
        </w:rPr>
        <w:t xml:space="preserve"> to perform autonomous timing adjustments to two TRPs.</w:t>
      </w:r>
      <w:bookmarkEnd w:id="14"/>
    </w:p>
    <w:p w14:paraId="28680292" w14:textId="25333FE4" w:rsidR="00845E5B" w:rsidRDefault="00845E5B" w:rsidP="00845E5B">
      <w:pPr>
        <w:pStyle w:val="RAN4observation0"/>
        <w:rPr>
          <w:lang w:val="en-US"/>
        </w:rPr>
      </w:pPr>
      <w:bookmarkStart w:id="15" w:name="_Toc189862119"/>
      <w:r w:rsidRPr="00E95DA2">
        <w:rPr>
          <w:lang w:val="en-US"/>
        </w:rPr>
        <w:t xml:space="preserve">The current proposal in RAN1 to just have UE autonomous timing adjustment for </w:t>
      </w:r>
      <w:r>
        <w:rPr>
          <w:lang w:val="en-US"/>
        </w:rPr>
        <w:t>the DL/UL capable TRP</w:t>
      </w:r>
      <w:r w:rsidRPr="00E95DA2">
        <w:rPr>
          <w:lang w:val="en-US"/>
        </w:rPr>
        <w:t xml:space="preserve"> is in our view limiting the deployment of this feature, as there will be no requirements on the error for the UL transmission toward </w:t>
      </w:r>
      <w:r>
        <w:rPr>
          <w:lang w:val="en-US"/>
        </w:rPr>
        <w:t>the UL-only TRP</w:t>
      </w:r>
      <w:r w:rsidRPr="00E95DA2">
        <w:rPr>
          <w:lang w:val="en-US"/>
        </w:rPr>
        <w:t>.</w:t>
      </w:r>
      <w:bookmarkEnd w:id="15"/>
    </w:p>
    <w:p w14:paraId="67A467E7" w14:textId="2A79351A" w:rsidR="00181896" w:rsidRDefault="00181896" w:rsidP="00181896">
      <w:pPr>
        <w:rPr>
          <w:lang w:val="en-US"/>
        </w:rPr>
      </w:pPr>
      <w:r>
        <w:rPr>
          <w:lang w:val="en-US"/>
        </w:rPr>
        <w:t xml:space="preserve">In </w:t>
      </w:r>
      <w:r w:rsidR="00EC1763">
        <w:rPr>
          <w:lang w:val="en-US"/>
        </w:rPr>
        <w:t>general</w:t>
      </w:r>
      <w:r w:rsidR="0035022F">
        <w:rPr>
          <w:lang w:val="en-US"/>
        </w:rPr>
        <w:t>,</w:t>
      </w:r>
      <w:r w:rsidR="00EC1763">
        <w:rPr>
          <w:lang w:val="en-US"/>
        </w:rPr>
        <w:t xml:space="preserve"> it would be beneficial to define conditions </w:t>
      </w:r>
      <w:r w:rsidR="00EC1763" w:rsidRPr="00EC1763">
        <w:rPr>
          <w:lang w:val="en-US"/>
        </w:rPr>
        <w:t>to determine if UE autonomous timing adjustment applies to just TRP1 or to both TRP1 and TRP2.</w:t>
      </w:r>
      <w:r w:rsidR="00EC1763">
        <w:rPr>
          <w:lang w:val="en-US"/>
        </w:rPr>
        <w:t xml:space="preserve"> For example, that condition can be based on </w:t>
      </w:r>
      <w:r w:rsidR="0035022F">
        <w:rPr>
          <w:lang w:val="en-US"/>
        </w:rPr>
        <w:t>if the UL-only TRP transmits RS</w:t>
      </w:r>
      <w:r w:rsidR="00AA7D77">
        <w:rPr>
          <w:lang w:val="en-US"/>
        </w:rPr>
        <w:t xml:space="preserve"> or on some UE measurements</w:t>
      </w:r>
      <w:r w:rsidR="0098409B">
        <w:rPr>
          <w:lang w:val="en-US"/>
        </w:rPr>
        <w:t>,</w:t>
      </w:r>
      <w:r w:rsidR="00AA7D77">
        <w:rPr>
          <w:lang w:val="en-US"/>
        </w:rPr>
        <w:t xml:space="preserve"> </w:t>
      </w:r>
      <w:r w:rsidR="0035022F">
        <w:rPr>
          <w:lang w:val="en-US"/>
        </w:rPr>
        <w:t>although other options are not precluded.</w:t>
      </w:r>
      <w:r w:rsidR="006645EB">
        <w:rPr>
          <w:lang w:val="en-US"/>
        </w:rPr>
        <w:t xml:space="preserve"> </w:t>
      </w:r>
      <w:r w:rsidR="00FC2B09">
        <w:rPr>
          <w:lang w:val="en-US"/>
        </w:rPr>
        <w:t xml:space="preserve">At least we can consider the case that the UL-only TRP </w:t>
      </w:r>
      <w:r w:rsidR="00B42987">
        <w:rPr>
          <w:lang w:val="en-US"/>
        </w:rPr>
        <w:t>transmit</w:t>
      </w:r>
      <w:r w:rsidR="00FC2B09">
        <w:rPr>
          <w:lang w:val="en-US"/>
        </w:rPr>
        <w:t xml:space="preserve"> DL RS</w:t>
      </w:r>
      <w:r w:rsidR="00B42987">
        <w:rPr>
          <w:lang w:val="en-US"/>
        </w:rPr>
        <w:t>s such as SSBs</w:t>
      </w:r>
      <w:r w:rsidR="00FC2B09">
        <w:rPr>
          <w:lang w:val="en-US"/>
        </w:rPr>
        <w:t xml:space="preserve">, </w:t>
      </w:r>
      <w:r w:rsidR="003E59F4">
        <w:rPr>
          <w:lang w:val="en-US"/>
        </w:rPr>
        <w:t xml:space="preserve">or the case where low mobility is detected at the UE. </w:t>
      </w:r>
    </w:p>
    <w:p w14:paraId="61F44216" w14:textId="77777777" w:rsidR="003E59F4" w:rsidRDefault="003E59F4" w:rsidP="00181896">
      <w:pPr>
        <w:rPr>
          <w:lang w:val="en-US"/>
        </w:rPr>
      </w:pPr>
    </w:p>
    <w:p w14:paraId="07092E31" w14:textId="312A948E" w:rsidR="00024CEE" w:rsidRPr="00181896" w:rsidRDefault="00024CEE" w:rsidP="007C4F2E">
      <w:pPr>
        <w:pStyle w:val="RAN4proposal"/>
        <w:rPr>
          <w:lang w:val="en-US"/>
        </w:rPr>
      </w:pPr>
      <w:bookmarkStart w:id="16" w:name="_Toc189862120"/>
      <w:r>
        <w:rPr>
          <w:lang w:val="en-US"/>
        </w:rPr>
        <w:t xml:space="preserve">With </w:t>
      </w:r>
      <w:r w:rsidRPr="00DB4082">
        <w:rPr>
          <w:lang w:val="en-US"/>
        </w:rPr>
        <w:t xml:space="preserve">asymmetric DL </w:t>
      </w:r>
      <w:proofErr w:type="spellStart"/>
      <w:r w:rsidRPr="00DB4082">
        <w:rPr>
          <w:lang w:val="en-US"/>
        </w:rPr>
        <w:t>sTRP</w:t>
      </w:r>
      <w:proofErr w:type="spellEnd"/>
      <w:r w:rsidRPr="00DB4082">
        <w:rPr>
          <w:lang w:val="en-US"/>
        </w:rPr>
        <w:t xml:space="preserve">/UL </w:t>
      </w:r>
      <w:proofErr w:type="spellStart"/>
      <w:r w:rsidRPr="00DB4082">
        <w:rPr>
          <w:lang w:val="en-US"/>
        </w:rPr>
        <w:t>mTRP</w:t>
      </w:r>
      <w:proofErr w:type="spellEnd"/>
      <w:r>
        <w:rPr>
          <w:lang w:val="en-US"/>
        </w:rPr>
        <w:t>,</w:t>
      </w:r>
      <w:r w:rsidR="00AA7D77">
        <w:rPr>
          <w:lang w:val="en-US"/>
        </w:rPr>
        <w:t xml:space="preserve"> specify conditions under which UE autonomous timing adjustment</w:t>
      </w:r>
      <w:r w:rsidR="006D2071">
        <w:rPr>
          <w:lang w:val="en-US"/>
        </w:rPr>
        <w:t xml:space="preserve"> </w:t>
      </w:r>
      <w:r w:rsidR="00856910">
        <w:rPr>
          <w:lang w:val="en-US"/>
        </w:rPr>
        <w:t>applies to just the DL/UL TRP or also to the UL-only TRP.</w:t>
      </w:r>
      <w:bookmarkEnd w:id="16"/>
    </w:p>
    <w:bookmarkEnd w:id="6"/>
    <w:p w14:paraId="6C133B93" w14:textId="77777777" w:rsidR="002E3B36" w:rsidRPr="002E3B36" w:rsidRDefault="002E3B36" w:rsidP="002E3B36">
      <w:pPr>
        <w:rPr>
          <w:lang w:val="en-US"/>
        </w:rPr>
      </w:pPr>
    </w:p>
    <w:p w14:paraId="4B78A7E3" w14:textId="77777777" w:rsidR="006A307B" w:rsidRPr="00410743" w:rsidRDefault="006A307B" w:rsidP="006A307B">
      <w:pPr>
        <w:pStyle w:val="RAN4H1"/>
        <w:rPr>
          <w:lang w:val="en-US"/>
        </w:rPr>
      </w:pPr>
      <w:r>
        <w:rPr>
          <w:lang w:val="en-US"/>
        </w:rPr>
        <w:t>Discussion</w:t>
      </w:r>
      <w:r w:rsidRPr="00410743">
        <w:rPr>
          <w:lang w:val="en-US"/>
        </w:rPr>
        <w:t xml:space="preserve"> </w:t>
      </w:r>
      <w:r>
        <w:rPr>
          <w:lang w:val="en-US"/>
        </w:rPr>
        <w:t>on TCI switching requirements</w:t>
      </w:r>
    </w:p>
    <w:p w14:paraId="245E8E2D" w14:textId="77777777" w:rsidR="00381608" w:rsidRDefault="00381608" w:rsidP="00381608">
      <w:pPr>
        <w:spacing w:after="240"/>
        <w:jc w:val="both"/>
      </w:pPr>
      <w:r w:rsidRPr="006C4271">
        <w:t xml:space="preserve">Regarding </w:t>
      </w:r>
      <w:r>
        <w:t>a</w:t>
      </w:r>
      <w:r w:rsidRPr="006C4271">
        <w:t xml:space="preserve">symmetric DL </w:t>
      </w:r>
      <w:proofErr w:type="spellStart"/>
      <w:r w:rsidRPr="006C4271">
        <w:t>sTRP</w:t>
      </w:r>
      <w:proofErr w:type="spellEnd"/>
      <w:r w:rsidRPr="006C4271">
        <w:t xml:space="preserve">/UL </w:t>
      </w:r>
      <w:proofErr w:type="spellStart"/>
      <w:r w:rsidRPr="006C4271">
        <w:t>mTRP</w:t>
      </w:r>
      <w:proofErr w:type="spellEnd"/>
      <w:r w:rsidRPr="006C4271">
        <w:t xml:space="preserve"> </w:t>
      </w:r>
      <w:r>
        <w:t>TCI switching</w:t>
      </w:r>
      <w:r w:rsidRPr="006C4271">
        <w:t>, the following was agreed and discussed in the last RAN4#11</w:t>
      </w:r>
      <w:r>
        <w:t xml:space="preserve">3 </w:t>
      </w:r>
      <w:r w:rsidRPr="006C4271">
        <w:t>meeting</w:t>
      </w:r>
      <w:r>
        <w:t xml:space="preserve"> </w:t>
      </w:r>
      <w:r>
        <w:fldChar w:fldCharType="begin"/>
      </w:r>
      <w:r>
        <w:instrText xml:space="preserve"> REF _Ref178151194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381608" w14:paraId="619736B5" w14:textId="77777777">
        <w:tc>
          <w:tcPr>
            <w:tcW w:w="9913" w:type="dxa"/>
          </w:tcPr>
          <w:p w14:paraId="5A810BB8" w14:textId="77777777" w:rsidR="00381608" w:rsidRDefault="00381608">
            <w:pPr>
              <w:ind w:left="288"/>
              <w:rPr>
                <w:b/>
                <w:bCs/>
                <w:u w:val="single"/>
                <w:lang w:val="en-US"/>
              </w:rPr>
            </w:pPr>
            <w:r w:rsidRPr="00697713">
              <w:rPr>
                <w:b/>
                <w:bCs/>
                <w:u w:val="single"/>
                <w:lang w:val="en-US"/>
              </w:rPr>
              <w:t>Issue 4-2: Whether to define UL TCI state activation requirement based on SRS?</w:t>
            </w:r>
          </w:p>
          <w:p w14:paraId="23AB749A" w14:textId="77777777" w:rsidR="00381608" w:rsidRPr="00697713" w:rsidRDefault="00381608">
            <w:pPr>
              <w:ind w:left="288"/>
              <w:rPr>
                <w:b/>
                <w:bCs/>
                <w:u w:val="single"/>
                <w:lang w:val="en-US"/>
              </w:rPr>
            </w:pPr>
          </w:p>
          <w:p w14:paraId="03A4FADC" w14:textId="77777777" w:rsidR="00381608" w:rsidRDefault="00381608">
            <w:pPr>
              <w:ind w:left="288"/>
              <w:rPr>
                <w:b/>
                <w:bCs/>
                <w:u w:val="single"/>
                <w:lang w:val="en-US"/>
              </w:rPr>
            </w:pPr>
            <w:r w:rsidRPr="00697713">
              <w:rPr>
                <w:b/>
                <w:bCs/>
                <w:u w:val="single"/>
                <w:lang w:val="en-US"/>
              </w:rPr>
              <w:t>Way forward:</w:t>
            </w:r>
          </w:p>
          <w:p w14:paraId="6B388543" w14:textId="77777777" w:rsidR="00381608" w:rsidRPr="00697713" w:rsidRDefault="00381608">
            <w:pPr>
              <w:ind w:left="288"/>
              <w:rPr>
                <w:b/>
                <w:bCs/>
                <w:u w:val="single"/>
                <w:lang w:val="en-US"/>
              </w:rPr>
            </w:pPr>
          </w:p>
          <w:p w14:paraId="725D5625" w14:textId="77777777" w:rsidR="00381608" w:rsidRPr="00697713" w:rsidRDefault="00381608" w:rsidP="00381608">
            <w:pPr>
              <w:numPr>
                <w:ilvl w:val="0"/>
                <w:numId w:val="34"/>
              </w:numPr>
              <w:spacing w:line="360" w:lineRule="auto"/>
              <w:rPr>
                <w:lang w:val="en-US"/>
              </w:rPr>
            </w:pPr>
            <w:r w:rsidRPr="00697713">
              <w:rPr>
                <w:lang w:val="en-US"/>
              </w:rPr>
              <w:t>Option 1: Not define requirement (Samsung, HW, vivo)</w:t>
            </w:r>
          </w:p>
          <w:p w14:paraId="01BEBE8F" w14:textId="77777777" w:rsidR="00381608" w:rsidRPr="00697713" w:rsidRDefault="00381608" w:rsidP="00381608">
            <w:pPr>
              <w:numPr>
                <w:ilvl w:val="0"/>
                <w:numId w:val="34"/>
              </w:numPr>
              <w:spacing w:line="360" w:lineRule="auto"/>
              <w:rPr>
                <w:lang w:val="en-US"/>
              </w:rPr>
            </w:pPr>
            <w:r w:rsidRPr="00697713">
              <w:rPr>
                <w:lang w:val="en-US"/>
              </w:rPr>
              <w:t>Option 2: RAN4 to define UL TCI state activation requirement based on SRS. (Xiaomi, Ericsson, Nokia)</w:t>
            </w:r>
          </w:p>
          <w:p w14:paraId="0DA123D5" w14:textId="77777777" w:rsidR="00381608" w:rsidRPr="00697713" w:rsidRDefault="00381608" w:rsidP="00381608">
            <w:pPr>
              <w:numPr>
                <w:ilvl w:val="0"/>
                <w:numId w:val="34"/>
              </w:numPr>
              <w:spacing w:line="360" w:lineRule="auto"/>
              <w:rPr>
                <w:u w:val="single"/>
                <w:lang w:val="en-US"/>
              </w:rPr>
            </w:pPr>
            <w:r w:rsidRPr="00697713">
              <w:rPr>
                <w:lang w:val="en-US"/>
              </w:rPr>
              <w:t>Option 3: Further discuss based on the feasibility of defining requirement and testing (QC, Apple, MTK</w:t>
            </w:r>
            <w:r w:rsidRPr="00697713">
              <w:rPr>
                <w:u w:val="single"/>
                <w:lang w:val="en-US"/>
              </w:rPr>
              <w:t>)</w:t>
            </w:r>
          </w:p>
          <w:p w14:paraId="79E8587A" w14:textId="77777777" w:rsidR="00381608" w:rsidRPr="00595F62" w:rsidRDefault="00381608">
            <w:pPr>
              <w:overflowPunct w:val="0"/>
              <w:autoSpaceDE w:val="0"/>
              <w:autoSpaceDN w:val="0"/>
              <w:adjustRightInd w:val="0"/>
              <w:snapToGrid w:val="0"/>
              <w:spacing w:after="120"/>
              <w:ind w:left="648"/>
              <w:textAlignment w:val="baseline"/>
              <w:rPr>
                <w:szCs w:val="20"/>
              </w:rPr>
            </w:pPr>
          </w:p>
        </w:tc>
      </w:tr>
    </w:tbl>
    <w:p w14:paraId="011A974C" w14:textId="77777777" w:rsidR="00381608" w:rsidRDefault="00381608" w:rsidP="00381608">
      <w:pPr>
        <w:rPr>
          <w:rFonts w:cstheme="minorHAnsi"/>
        </w:rPr>
      </w:pPr>
    </w:p>
    <w:p w14:paraId="6534F662" w14:textId="51406C98" w:rsidR="00290CFA" w:rsidRDefault="00381608" w:rsidP="00381608">
      <w:pPr>
        <w:rPr>
          <w:lang w:val="en-US"/>
        </w:rPr>
      </w:pPr>
      <w:r>
        <w:rPr>
          <w:lang w:val="en-US"/>
        </w:rPr>
        <w:t xml:space="preserve">The uplink TCI state switching delay requirements specified </w:t>
      </w:r>
      <w:r w:rsidRPr="3C4C2475">
        <w:rPr>
          <w:lang w:val="en-US"/>
        </w:rPr>
        <w:t>up to</w:t>
      </w:r>
      <w:r>
        <w:rPr>
          <w:lang w:val="en-US"/>
        </w:rPr>
        <w:t xml:space="preserve"> Rel-18 have been defined for an uplink TCI state which is associated with a downlink reference signal. </w:t>
      </w:r>
      <w:r w:rsidR="00290CFA">
        <w:rPr>
          <w:lang w:val="en-US"/>
        </w:rPr>
        <w:t xml:space="preserve">The TCI states in an </w:t>
      </w:r>
      <w:r w:rsidR="00845E5B">
        <w:rPr>
          <w:lang w:val="en-US"/>
        </w:rPr>
        <w:t>UL-only</w:t>
      </w:r>
      <w:r w:rsidR="00290CFA">
        <w:rPr>
          <w:lang w:val="en-US"/>
        </w:rPr>
        <w:t xml:space="preserve"> TRP would be associated with </w:t>
      </w:r>
      <w:r w:rsidR="009C7BE3">
        <w:rPr>
          <w:lang w:val="en-US"/>
        </w:rPr>
        <w:t xml:space="preserve">the </w:t>
      </w:r>
      <w:r w:rsidR="004A6C13">
        <w:rPr>
          <w:lang w:val="en-US"/>
        </w:rPr>
        <w:t>SRS which is an uplink reference signal.</w:t>
      </w:r>
    </w:p>
    <w:p w14:paraId="742AF468" w14:textId="23163F18" w:rsidR="00381608" w:rsidRDefault="00381608" w:rsidP="00381608">
      <w:pPr>
        <w:rPr>
          <w:lang w:val="en-US"/>
        </w:rPr>
      </w:pPr>
      <w:r>
        <w:rPr>
          <w:lang w:val="en-US"/>
        </w:rPr>
        <w:t xml:space="preserve">The existing </w:t>
      </w:r>
      <w:r w:rsidR="00A57FD2">
        <w:rPr>
          <w:lang w:val="en-US"/>
        </w:rPr>
        <w:t xml:space="preserve">Rel-18 UL </w:t>
      </w:r>
      <w:r>
        <w:rPr>
          <w:lang w:val="en-US"/>
        </w:rPr>
        <w:t xml:space="preserve">TCI state switching requirements </w:t>
      </w:r>
      <w:r w:rsidR="00A57FD2">
        <w:rPr>
          <w:lang w:val="en-US"/>
        </w:rPr>
        <w:t xml:space="preserve">have been defined </w:t>
      </w:r>
      <w:r w:rsidR="00AA4C22">
        <w:rPr>
          <w:lang w:val="en-US"/>
        </w:rPr>
        <w:t>considering</w:t>
      </w:r>
      <w:r w:rsidR="00A57FD2">
        <w:rPr>
          <w:lang w:val="en-US"/>
        </w:rPr>
        <w:t xml:space="preserve"> a </w:t>
      </w:r>
      <w:r>
        <w:rPr>
          <w:lang w:val="en-US"/>
        </w:rPr>
        <w:t>TRP which transmits downlink reference signal. In the case of a</w:t>
      </w:r>
      <w:r w:rsidRPr="008A3930">
        <w:rPr>
          <w:lang w:val="en-US"/>
        </w:rPr>
        <w:t xml:space="preserve">symmetric DL </w:t>
      </w:r>
      <w:proofErr w:type="spellStart"/>
      <w:r w:rsidRPr="008A3930">
        <w:rPr>
          <w:lang w:val="en-US"/>
        </w:rPr>
        <w:t>sTRP</w:t>
      </w:r>
      <w:proofErr w:type="spellEnd"/>
      <w:r w:rsidRPr="008A3930">
        <w:rPr>
          <w:lang w:val="en-US"/>
        </w:rPr>
        <w:t xml:space="preserve">/UL </w:t>
      </w:r>
      <w:proofErr w:type="spellStart"/>
      <w:r w:rsidRPr="008A3930">
        <w:rPr>
          <w:lang w:val="en-US"/>
        </w:rPr>
        <w:t>mTRP</w:t>
      </w:r>
      <w:proofErr w:type="spellEnd"/>
      <w:r>
        <w:rPr>
          <w:lang w:val="en-US"/>
        </w:rPr>
        <w:t>, since the uplink only TRP does not transmit any downlink reference signal</w:t>
      </w:r>
      <w:r w:rsidR="003070AD">
        <w:rPr>
          <w:lang w:val="en-US"/>
        </w:rPr>
        <w:t xml:space="preserve"> when PL offset is configured for the UE</w:t>
      </w:r>
      <w:r>
        <w:rPr>
          <w:lang w:val="en-US"/>
        </w:rPr>
        <w:t>, the existing Rel-18 requirements cannot be reused without changing the applicability of the uplink TCI state switch requirements. Hence, the applicability of the existing uplink TCI state switch delay requirements should be extended to include uplink TCI states which are associated to an uplink reference signal (SRS).</w:t>
      </w:r>
    </w:p>
    <w:p w14:paraId="2EEF23A8" w14:textId="77777777" w:rsidR="00381608" w:rsidRDefault="00381608" w:rsidP="00381608">
      <w:pPr>
        <w:pStyle w:val="RAN4observation0"/>
        <w:rPr>
          <w:lang w:val="en-US"/>
        </w:rPr>
      </w:pPr>
      <w:bookmarkStart w:id="17" w:name="_Toc189862121"/>
      <w:r>
        <w:rPr>
          <w:lang w:val="en-US"/>
        </w:rPr>
        <w:t>Existing Rel-17 and Rel-18 unified TCI switching requirements are not applicable for target TCI state without DL reference signal.</w:t>
      </w:r>
      <w:bookmarkEnd w:id="17"/>
      <w:r>
        <w:rPr>
          <w:lang w:val="en-US"/>
        </w:rPr>
        <w:t xml:space="preserve"> </w:t>
      </w:r>
    </w:p>
    <w:p w14:paraId="2737BC60" w14:textId="76D8C3E4" w:rsidR="00381608" w:rsidRPr="006A307B" w:rsidRDefault="00381608" w:rsidP="00381608">
      <w:pPr>
        <w:pStyle w:val="RAN4observation0"/>
        <w:rPr>
          <w:lang w:val="en-US"/>
        </w:rPr>
      </w:pPr>
      <w:bookmarkStart w:id="18" w:name="_Toc189862122"/>
      <w:r w:rsidRPr="006A307B">
        <w:rPr>
          <w:lang w:val="en-US"/>
        </w:rPr>
        <w:t xml:space="preserve">In the case of asymmetric DL </w:t>
      </w:r>
      <w:proofErr w:type="spellStart"/>
      <w:r w:rsidRPr="006A307B">
        <w:rPr>
          <w:lang w:val="en-US"/>
        </w:rPr>
        <w:t>sTRP</w:t>
      </w:r>
      <w:proofErr w:type="spellEnd"/>
      <w:r w:rsidRPr="006A307B">
        <w:rPr>
          <w:lang w:val="en-US"/>
        </w:rPr>
        <w:t xml:space="preserve">/UL </w:t>
      </w:r>
      <w:proofErr w:type="spellStart"/>
      <w:r w:rsidRPr="006A307B">
        <w:rPr>
          <w:lang w:val="en-US"/>
        </w:rPr>
        <w:t>mTRP</w:t>
      </w:r>
      <w:proofErr w:type="spellEnd"/>
      <w:r w:rsidRPr="006A307B">
        <w:rPr>
          <w:lang w:val="en-US"/>
        </w:rPr>
        <w:t xml:space="preserve">, since the </w:t>
      </w:r>
      <w:r>
        <w:rPr>
          <w:lang w:val="en-US"/>
        </w:rPr>
        <w:t>uplink-only</w:t>
      </w:r>
      <w:r w:rsidRPr="006A307B">
        <w:rPr>
          <w:lang w:val="en-US"/>
        </w:rPr>
        <w:t xml:space="preserve"> TRP does not transmit any downlink reference signal</w:t>
      </w:r>
      <w:r w:rsidR="007B0ABB">
        <w:rPr>
          <w:lang w:val="en-US"/>
        </w:rPr>
        <w:t xml:space="preserve"> when PL offset is configured for the UE</w:t>
      </w:r>
      <w:r w:rsidRPr="006A307B">
        <w:rPr>
          <w:lang w:val="en-US"/>
        </w:rPr>
        <w:t>, the existing Rel-18 requirements cannot be reused without changing the applicability of the uplink TCI state switch requirements</w:t>
      </w:r>
      <w:r>
        <w:rPr>
          <w:lang w:val="en-US"/>
        </w:rPr>
        <w:t>.</w:t>
      </w:r>
      <w:bookmarkEnd w:id="18"/>
    </w:p>
    <w:p w14:paraId="20426846" w14:textId="77777777" w:rsidR="00381608" w:rsidRDefault="00381608" w:rsidP="00381608">
      <w:pPr>
        <w:pStyle w:val="RAN4proposal"/>
        <w:rPr>
          <w:lang w:val="en-US"/>
        </w:rPr>
      </w:pPr>
      <w:bookmarkStart w:id="19" w:name="_Toc189862123"/>
      <w:r>
        <w:rPr>
          <w:lang w:val="en-US"/>
        </w:rPr>
        <w:t>Update the unified UL TCI state switching delay requirements to be applicable when the target UL TCI state is associated with an uplink reference signal.</w:t>
      </w:r>
      <w:bookmarkEnd w:id="19"/>
    </w:p>
    <w:p w14:paraId="2EA6FE27" w14:textId="77777777" w:rsidR="00381608" w:rsidRDefault="00381608" w:rsidP="00381608">
      <w:pPr>
        <w:rPr>
          <w:lang w:val="en-US"/>
        </w:rPr>
      </w:pPr>
      <w:r w:rsidRPr="00C96867">
        <w:rPr>
          <w:noProof/>
          <w:lang w:val="en-US"/>
        </w:rPr>
        <w:lastRenderedPageBreak/>
        <mc:AlternateContent>
          <mc:Choice Requires="wps">
            <w:drawing>
              <wp:anchor distT="45720" distB="45720" distL="114300" distR="114300" simplePos="0" relativeHeight="251659264" behindDoc="0" locked="0" layoutInCell="1" allowOverlap="1" wp14:anchorId="209B0FFC" wp14:editId="77C106DE">
                <wp:simplePos x="0" y="0"/>
                <wp:positionH relativeFrom="column">
                  <wp:posOffset>190500</wp:posOffset>
                </wp:positionH>
                <wp:positionV relativeFrom="paragraph">
                  <wp:posOffset>0</wp:posOffset>
                </wp:positionV>
                <wp:extent cx="5791200" cy="164465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1644650"/>
                        </a:xfrm>
                        <a:prstGeom prst="rect">
                          <a:avLst/>
                        </a:prstGeom>
                        <a:solidFill>
                          <a:srgbClr val="FFFFFF"/>
                        </a:solidFill>
                        <a:ln w="9525">
                          <a:solidFill>
                            <a:srgbClr val="000000"/>
                          </a:solidFill>
                          <a:miter lim="800000"/>
                          <a:headEnd/>
                          <a:tailEnd/>
                        </a:ln>
                      </wps:spPr>
                      <wps:txbx>
                        <w:txbxContent>
                          <w:p w14:paraId="1470F5AD" w14:textId="77777777" w:rsidR="00381608" w:rsidRPr="00C96867" w:rsidRDefault="00381608" w:rsidP="00381608">
                            <w:pPr>
                              <w:rPr>
                                <w:lang w:val="en-US"/>
                              </w:rPr>
                            </w:pPr>
                            <w:r w:rsidRPr="00C96867">
                              <w:rPr>
                                <w:b/>
                                <w:bCs/>
                                <w:u w:val="single"/>
                                <w:lang w:val="en-US"/>
                              </w:rPr>
                              <w:t>Issue 4-3: RRM core impacts of active uplink TCI state switching delay for unified TCI?</w:t>
                            </w:r>
                          </w:p>
                          <w:p w14:paraId="4C8D9BB4" w14:textId="77777777" w:rsidR="00381608" w:rsidRPr="00C96867" w:rsidRDefault="00381608" w:rsidP="00381608">
                            <w:pPr>
                              <w:rPr>
                                <w:lang w:val="en-US"/>
                              </w:rPr>
                            </w:pPr>
                            <w:r w:rsidRPr="00C96867">
                              <w:rPr>
                                <w:lang w:val="en-US"/>
                              </w:rPr>
                              <w:t>Way forward:</w:t>
                            </w:r>
                          </w:p>
                          <w:p w14:paraId="6F9B2885" w14:textId="77777777" w:rsidR="00381608" w:rsidRPr="00C96867" w:rsidRDefault="00381608" w:rsidP="00381608">
                            <w:pPr>
                              <w:numPr>
                                <w:ilvl w:val="0"/>
                                <w:numId w:val="35"/>
                              </w:numPr>
                              <w:rPr>
                                <w:lang w:val="en-US"/>
                              </w:rPr>
                            </w:pPr>
                            <w:r w:rsidRPr="00C96867">
                              <w:rPr>
                                <w:lang w:val="en-US"/>
                              </w:rPr>
                              <w:t>Option 1: No RRM impacts on UL TCI state switching delay requirement for unified TCI states.</w:t>
                            </w:r>
                          </w:p>
                          <w:p w14:paraId="2E6E783E" w14:textId="77777777" w:rsidR="00381608" w:rsidRPr="00C96867" w:rsidRDefault="00381608" w:rsidP="00381608">
                            <w:pPr>
                              <w:numPr>
                                <w:ilvl w:val="0"/>
                                <w:numId w:val="35"/>
                              </w:numPr>
                              <w:rPr>
                                <w:lang w:val="en-US"/>
                              </w:rPr>
                            </w:pPr>
                            <w:r w:rsidRPr="00C96867">
                              <w:rPr>
                                <w:lang w:val="en-US"/>
                              </w:rPr>
                              <w:t>Option 2: RAN4 to specify UL TCI state switching requirements.</w:t>
                            </w:r>
                          </w:p>
                          <w:p w14:paraId="5F07BB29" w14:textId="77777777" w:rsidR="00381608" w:rsidRPr="00C96867" w:rsidRDefault="00381608" w:rsidP="00381608">
                            <w:pPr>
                              <w:numPr>
                                <w:ilvl w:val="0"/>
                                <w:numId w:val="35"/>
                              </w:numPr>
                              <w:rPr>
                                <w:lang w:val="en-US"/>
                              </w:rPr>
                            </w:pPr>
                            <w:r w:rsidRPr="00C96867">
                              <w:rPr>
                                <w:lang w:val="en-US"/>
                              </w:rPr>
                              <w:t>Option 3: FFS.</w:t>
                            </w:r>
                          </w:p>
                          <w:p w14:paraId="46A40F87" w14:textId="77777777" w:rsidR="00381608" w:rsidRDefault="00381608" w:rsidP="0038160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9B0FFC" id="_x0000_t202" coordsize="21600,21600" o:spt="202" path="m,l,21600r21600,l21600,xe">
                <v:stroke joinstyle="miter"/>
                <v:path gradientshapeok="t" o:connecttype="rect"/>
              </v:shapetype>
              <v:shape id="Text Box 2" o:spid="_x0000_s1026" type="#_x0000_t202" style="position:absolute;margin-left:15pt;margin-top:0;width:456pt;height:12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">
                <v:textbox>
                  <w:txbxContent>
                    <w:p w14:paraId="1470F5AD" w14:textId="77777777" w:rsidR="00381608" w:rsidRPr="00C96867" w:rsidRDefault="00381608" w:rsidP="00381608">
                      <w:pPr>
                        <w:rPr>
                          <w:lang w:val="en-US"/>
                        </w:rPr>
                      </w:pPr>
                      <w:r w:rsidRPr="00C96867">
                        <w:rPr>
                          <w:b/>
                          <w:bCs/>
                          <w:u w:val="single"/>
                          <w:lang w:val="en-US"/>
                        </w:rPr>
                        <w:t>Issue 4-3: RRM core impacts of active uplink TCI state switching delay for unified TCI?</w:t>
                      </w:r>
                    </w:p>
                    <w:p w14:paraId="4C8D9BB4" w14:textId="77777777" w:rsidR="00381608" w:rsidRPr="00C96867" w:rsidRDefault="00381608" w:rsidP="00381608">
                      <w:pPr>
                        <w:rPr>
                          <w:lang w:val="en-US"/>
                        </w:rPr>
                      </w:pPr>
                      <w:r w:rsidRPr="00C96867">
                        <w:rPr>
                          <w:lang w:val="en-US"/>
                        </w:rPr>
                        <w:t>Way forward:</w:t>
                      </w:r>
                    </w:p>
                    <w:p w14:paraId="6F9B2885" w14:textId="77777777" w:rsidR="00381608" w:rsidRPr="00C96867" w:rsidRDefault="00381608" w:rsidP="00381608">
                      <w:pPr>
                        <w:numPr>
                          <w:ilvl w:val="0"/>
                          <w:numId w:val="35"/>
                        </w:numPr>
                        <w:rPr>
                          <w:lang w:val="en-US"/>
                        </w:rPr>
                      </w:pPr>
                      <w:r w:rsidRPr="00C96867">
                        <w:rPr>
                          <w:lang w:val="en-US"/>
                        </w:rPr>
                        <w:t>Option 1: No RRM impacts on UL TCI state switching delay requirement for unified TCI states.</w:t>
                      </w:r>
                    </w:p>
                    <w:p w14:paraId="2E6E783E" w14:textId="77777777" w:rsidR="00381608" w:rsidRPr="00C96867" w:rsidRDefault="00381608" w:rsidP="00381608">
                      <w:pPr>
                        <w:numPr>
                          <w:ilvl w:val="0"/>
                          <w:numId w:val="35"/>
                        </w:numPr>
                        <w:rPr>
                          <w:lang w:val="en-US"/>
                        </w:rPr>
                      </w:pPr>
                      <w:r w:rsidRPr="00C96867">
                        <w:rPr>
                          <w:lang w:val="en-US"/>
                        </w:rPr>
                        <w:t>Option 2: RAN4 to specify UL TCI state switching requirements.</w:t>
                      </w:r>
                    </w:p>
                    <w:p w14:paraId="5F07BB29" w14:textId="77777777" w:rsidR="00381608" w:rsidRPr="00C96867" w:rsidRDefault="00381608" w:rsidP="00381608">
                      <w:pPr>
                        <w:numPr>
                          <w:ilvl w:val="0"/>
                          <w:numId w:val="35"/>
                        </w:numPr>
                        <w:rPr>
                          <w:lang w:val="en-US"/>
                        </w:rPr>
                      </w:pPr>
                      <w:r w:rsidRPr="00C96867">
                        <w:rPr>
                          <w:lang w:val="en-US"/>
                        </w:rPr>
                        <w:t>Option 3: FFS.</w:t>
                      </w:r>
                    </w:p>
                    <w:p w14:paraId="46A40F87" w14:textId="77777777" w:rsidR="00381608" w:rsidRDefault="00381608" w:rsidP="00381608"/>
                  </w:txbxContent>
                </v:textbox>
                <w10:wrap type="square"/>
              </v:shape>
            </w:pict>
          </mc:Fallback>
        </mc:AlternateContent>
      </w:r>
    </w:p>
    <w:p w14:paraId="5770E4E6" w14:textId="77777777" w:rsidR="00381608" w:rsidRDefault="00381608" w:rsidP="00381608">
      <w:pPr>
        <w:rPr>
          <w:lang w:val="en-US"/>
        </w:rPr>
      </w:pPr>
      <w:r w:rsidRPr="008A3930">
        <w:rPr>
          <w:lang w:val="en-US"/>
        </w:rPr>
        <w:t xml:space="preserve">An </w:t>
      </w:r>
      <w:r>
        <w:rPr>
          <w:lang w:val="en-US"/>
        </w:rPr>
        <w:t>a</w:t>
      </w:r>
      <w:r w:rsidRPr="008A3930">
        <w:rPr>
          <w:lang w:val="en-US"/>
        </w:rPr>
        <w:t xml:space="preserve">symmetric DL </w:t>
      </w:r>
      <w:proofErr w:type="spellStart"/>
      <w:r w:rsidRPr="008A3930">
        <w:rPr>
          <w:lang w:val="en-US"/>
        </w:rPr>
        <w:t>sTRP</w:t>
      </w:r>
      <w:proofErr w:type="spellEnd"/>
      <w:r w:rsidRPr="008A3930">
        <w:rPr>
          <w:lang w:val="en-US"/>
        </w:rPr>
        <w:t xml:space="preserve">/UL </w:t>
      </w:r>
      <w:proofErr w:type="spellStart"/>
      <w:r w:rsidRPr="008A3930">
        <w:rPr>
          <w:lang w:val="en-US"/>
        </w:rPr>
        <w:t>mTRP</w:t>
      </w:r>
      <w:proofErr w:type="spellEnd"/>
      <w:r w:rsidRPr="008A3930">
        <w:rPr>
          <w:lang w:val="en-US"/>
        </w:rPr>
        <w:t xml:space="preserve"> deployment scenario is a s</w:t>
      </w:r>
      <w:r>
        <w:rPr>
          <w:lang w:val="en-US"/>
        </w:rPr>
        <w:t>ingle</w:t>
      </w:r>
      <w:r w:rsidRPr="008A3930">
        <w:rPr>
          <w:lang w:val="en-US"/>
        </w:rPr>
        <w:t>-DCI scenario</w:t>
      </w:r>
      <w:r>
        <w:rPr>
          <w:lang w:val="en-US"/>
        </w:rPr>
        <w:t xml:space="preserve"> where the symmetric DL/UL TRP will transmit and receive the PDCCH and the PUCCH respectively</w:t>
      </w:r>
      <w:r w:rsidRPr="008A3930">
        <w:rPr>
          <w:lang w:val="en-US"/>
        </w:rPr>
        <w:t xml:space="preserve">. </w:t>
      </w:r>
      <w:r>
        <w:rPr>
          <w:lang w:val="en-US"/>
        </w:rPr>
        <w:t xml:space="preserve">In Rel-18 MIMO evo, </w:t>
      </w:r>
      <w:r w:rsidRPr="008A3930">
        <w:rPr>
          <w:lang w:val="en-US"/>
        </w:rPr>
        <w:t>RAN4 has defined downlink as well as uplink TCI state</w:t>
      </w:r>
      <w:r>
        <w:rPr>
          <w:lang w:val="en-US"/>
        </w:rPr>
        <w:t xml:space="preserve"> </w:t>
      </w:r>
      <w:r w:rsidRPr="008A3930">
        <w:rPr>
          <w:lang w:val="en-US"/>
        </w:rPr>
        <w:t>switching delay</w:t>
      </w:r>
      <w:r>
        <w:rPr>
          <w:lang w:val="en-US"/>
        </w:rPr>
        <w:t xml:space="preserve"> </w:t>
      </w:r>
      <w:r w:rsidRPr="008A3930">
        <w:rPr>
          <w:lang w:val="en-US"/>
        </w:rPr>
        <w:t xml:space="preserve">for unified TCI </w:t>
      </w:r>
      <w:r>
        <w:rPr>
          <w:lang w:val="en-US"/>
        </w:rPr>
        <w:t xml:space="preserve">state switch </w:t>
      </w:r>
      <w:r w:rsidRPr="008A3930">
        <w:rPr>
          <w:lang w:val="en-US"/>
        </w:rPr>
        <w:t xml:space="preserve">for single-DCI </w:t>
      </w:r>
      <w:proofErr w:type="spellStart"/>
      <w:r w:rsidRPr="008A3930">
        <w:rPr>
          <w:lang w:val="en-US"/>
        </w:rPr>
        <w:t>mTRP</w:t>
      </w:r>
      <w:proofErr w:type="spellEnd"/>
      <w:r>
        <w:rPr>
          <w:lang w:val="en-US"/>
        </w:rPr>
        <w:t xml:space="preserve">. </w:t>
      </w:r>
    </w:p>
    <w:p w14:paraId="210A3761" w14:textId="77777777" w:rsidR="00381608" w:rsidRPr="00624F53" w:rsidRDefault="00381608" w:rsidP="00381608">
      <w:pPr>
        <w:rPr>
          <w:lang w:val="en-US"/>
        </w:rPr>
      </w:pPr>
      <w:r>
        <w:rPr>
          <w:lang w:val="en-US"/>
        </w:rPr>
        <w:t xml:space="preserve">In case of downlink TCI state switching delay requirements, we see no difference in the downlink TCI state switching </w:t>
      </w:r>
      <w:r w:rsidRPr="00624F53">
        <w:rPr>
          <w:lang w:val="en-US"/>
        </w:rPr>
        <w:t>behavior and hence see no need to define new set of downlink TCI state switch delay requirements.</w:t>
      </w:r>
    </w:p>
    <w:p w14:paraId="1FFB4654" w14:textId="77777777" w:rsidR="00381608" w:rsidRPr="00D83E84" w:rsidRDefault="00381608" w:rsidP="00381608">
      <w:pPr>
        <w:rPr>
          <w:lang w:val="en-US"/>
        </w:rPr>
      </w:pPr>
      <w:proofErr w:type="gramStart"/>
      <w:r w:rsidRPr="00832ED2">
        <w:rPr>
          <w:lang w:val="en-US"/>
        </w:rPr>
        <w:t>Similar to</w:t>
      </w:r>
      <w:proofErr w:type="gramEnd"/>
      <w:r w:rsidRPr="00832ED2">
        <w:rPr>
          <w:lang w:val="en-US"/>
        </w:rPr>
        <w:t xml:space="preserve"> the downlink TCI state switching delay requirements, there is no difference in the uplink TCI state switching behavior </w:t>
      </w:r>
      <w:r>
        <w:rPr>
          <w:lang w:val="en-US"/>
        </w:rPr>
        <w:t>either</w:t>
      </w:r>
      <w:r w:rsidRPr="00D83E84">
        <w:rPr>
          <w:lang w:val="en-US"/>
        </w:rPr>
        <w:t xml:space="preserve"> when the UE is indicated to switch to a target uplink TCI state associated to the uplink only TRP. Hence, the legacy RAN4 unified TCI state switching delay requirements for UL TCI state can be reused. </w:t>
      </w:r>
    </w:p>
    <w:p w14:paraId="05C5BFF0" w14:textId="77777777" w:rsidR="00381608" w:rsidRDefault="00381608" w:rsidP="00381608">
      <w:pPr>
        <w:pStyle w:val="RAN4observation0"/>
        <w:rPr>
          <w:lang w:val="en-US"/>
        </w:rPr>
      </w:pPr>
      <w:bookmarkStart w:id="20" w:name="_Toc189862124"/>
      <w:r>
        <w:rPr>
          <w:lang w:val="en-US"/>
        </w:rPr>
        <w:t>Since existing R</w:t>
      </w:r>
      <w:r w:rsidRPr="006F535A">
        <w:rPr>
          <w:lang w:val="en-US"/>
        </w:rPr>
        <w:t xml:space="preserve">el-17 unified TCI/ICBM and </w:t>
      </w:r>
      <w:r>
        <w:rPr>
          <w:lang w:val="en-US"/>
        </w:rPr>
        <w:t>R</w:t>
      </w:r>
      <w:r w:rsidRPr="006F535A">
        <w:rPr>
          <w:lang w:val="en-US"/>
        </w:rPr>
        <w:t>el-18 unified TCI framework</w:t>
      </w:r>
      <w:r>
        <w:rPr>
          <w:lang w:val="en-US"/>
        </w:rPr>
        <w:t xml:space="preserve"> is to be reused for a</w:t>
      </w:r>
      <w:r w:rsidRPr="008A3930">
        <w:rPr>
          <w:lang w:val="en-US"/>
        </w:rPr>
        <w:t xml:space="preserve">symmetric DL </w:t>
      </w:r>
      <w:proofErr w:type="spellStart"/>
      <w:r w:rsidRPr="008A3930">
        <w:rPr>
          <w:lang w:val="en-US"/>
        </w:rPr>
        <w:t>sTRP</w:t>
      </w:r>
      <w:proofErr w:type="spellEnd"/>
      <w:r w:rsidRPr="008A3930">
        <w:rPr>
          <w:lang w:val="en-US"/>
        </w:rPr>
        <w:t xml:space="preserve">/UL </w:t>
      </w:r>
      <w:proofErr w:type="spellStart"/>
      <w:r w:rsidRPr="008A3930">
        <w:rPr>
          <w:lang w:val="en-US"/>
        </w:rPr>
        <w:t>mTRP</w:t>
      </w:r>
      <w:proofErr w:type="spellEnd"/>
      <w:r>
        <w:rPr>
          <w:lang w:val="en-US"/>
        </w:rPr>
        <w:t>, there is no change in DL and UL TCI state switch delay requirements.</w:t>
      </w:r>
      <w:bookmarkEnd w:id="20"/>
      <w:r>
        <w:rPr>
          <w:lang w:val="en-US"/>
        </w:rPr>
        <w:t xml:space="preserve"> </w:t>
      </w:r>
    </w:p>
    <w:p w14:paraId="0E610F3D" w14:textId="77777777" w:rsidR="00381608" w:rsidRPr="008A3930" w:rsidRDefault="00381608" w:rsidP="00381608">
      <w:pPr>
        <w:pStyle w:val="RAN4proposal"/>
        <w:rPr>
          <w:lang w:val="en-US"/>
        </w:rPr>
      </w:pPr>
      <w:bookmarkStart w:id="21" w:name="_Toc189862125"/>
      <w:r>
        <w:rPr>
          <w:lang w:val="en-US"/>
        </w:rPr>
        <w:t xml:space="preserve">For the asymmetric DL/UL scenario, reuse Rel-17 and Rel-18 unified TCI single-DCI </w:t>
      </w:r>
      <w:proofErr w:type="spellStart"/>
      <w:r>
        <w:rPr>
          <w:lang w:val="en-US"/>
        </w:rPr>
        <w:t>mTRP</w:t>
      </w:r>
      <w:proofErr w:type="spellEnd"/>
      <w:r>
        <w:rPr>
          <w:lang w:val="en-US"/>
        </w:rPr>
        <w:t xml:space="preserve"> TCI state switching delay requirements for DL and UL TCI state switch.</w:t>
      </w:r>
      <w:bookmarkEnd w:id="21"/>
      <w:r>
        <w:rPr>
          <w:lang w:val="en-US"/>
        </w:rPr>
        <w:t xml:space="preserve"> </w:t>
      </w:r>
    </w:p>
    <w:p w14:paraId="3C9261B7" w14:textId="77777777" w:rsidR="00381608" w:rsidRDefault="00381608" w:rsidP="00381608">
      <w:pPr>
        <w:rPr>
          <w:lang w:val="en-US"/>
        </w:rPr>
      </w:pPr>
      <w:r>
        <w:rPr>
          <w:lang w:val="en-US"/>
        </w:rPr>
        <w:t xml:space="preserve">Although the delay for UL TCI state switch does not need to be changed from the legacy, the requirements still need some updates for the UL-only TRP TCI state switch case. </w:t>
      </w:r>
    </w:p>
    <w:p w14:paraId="56BB790E" w14:textId="77777777" w:rsidR="00381608" w:rsidRPr="005F7886" w:rsidRDefault="00381608" w:rsidP="00381608">
      <w:pPr>
        <w:rPr>
          <w:lang w:val="en-US"/>
        </w:rPr>
      </w:pPr>
      <w:r>
        <w:rPr>
          <w:lang w:val="en-US"/>
        </w:rPr>
        <w:t xml:space="preserve">The legacy TCI state switch delay requirements </w:t>
      </w:r>
      <w:r w:rsidRPr="005F7886">
        <w:rPr>
          <w:lang w:val="en-US"/>
        </w:rPr>
        <w:t xml:space="preserve">have been defined based on a TCI state being known or unknown. For a TCI state to be considered as known there are set of conditions defined which are primarily centered around a downlink reference signal being transmitted by the TRP. </w:t>
      </w:r>
      <w:r>
        <w:rPr>
          <w:lang w:val="en-US"/>
        </w:rPr>
        <w:t xml:space="preserve">The known/unknown conditions are used to determine if the UE has reported a valid recent measurement from the target TCI state before making the switch. In case the target TCI state is unknown the UE is expected to perform measurements on the target TCI state, </w:t>
      </w:r>
      <w:proofErr w:type="gramStart"/>
      <w:r>
        <w:rPr>
          <w:lang w:val="en-US"/>
        </w:rPr>
        <w:t>in order to</w:t>
      </w:r>
      <w:proofErr w:type="gramEnd"/>
      <w:r>
        <w:rPr>
          <w:lang w:val="en-US"/>
        </w:rPr>
        <w:t xml:space="preserve"> determine transmission parameters such as spatial filter of the target TCI state. </w:t>
      </w:r>
    </w:p>
    <w:p w14:paraId="711FE42D" w14:textId="25A1175E" w:rsidR="00381608" w:rsidRPr="005F7886" w:rsidRDefault="00381608" w:rsidP="00381608">
      <w:pPr>
        <w:rPr>
          <w:lang w:val="en-US"/>
        </w:rPr>
      </w:pPr>
      <w:r w:rsidRPr="005F7886">
        <w:rPr>
          <w:lang w:val="en-US"/>
        </w:rPr>
        <w:t xml:space="preserve">However, in </w:t>
      </w:r>
      <w:r>
        <w:rPr>
          <w:lang w:val="en-US"/>
        </w:rPr>
        <w:t xml:space="preserve">the </w:t>
      </w:r>
      <w:r w:rsidRPr="005F7886">
        <w:rPr>
          <w:lang w:val="en-US"/>
        </w:rPr>
        <w:t xml:space="preserve">case of an asymmetric </w:t>
      </w:r>
      <w:r w:rsidRPr="008A3930">
        <w:rPr>
          <w:lang w:val="en-US"/>
        </w:rPr>
        <w:t xml:space="preserve">DL </w:t>
      </w:r>
      <w:proofErr w:type="spellStart"/>
      <w:r w:rsidRPr="008A3930">
        <w:rPr>
          <w:lang w:val="en-US"/>
        </w:rPr>
        <w:t>sTRP</w:t>
      </w:r>
      <w:proofErr w:type="spellEnd"/>
      <w:r w:rsidRPr="008A3930">
        <w:rPr>
          <w:lang w:val="en-US"/>
        </w:rPr>
        <w:t xml:space="preserve">/UL </w:t>
      </w:r>
      <w:proofErr w:type="spellStart"/>
      <w:r w:rsidRPr="008A3930">
        <w:rPr>
          <w:lang w:val="en-US"/>
        </w:rPr>
        <w:t>mTRP</w:t>
      </w:r>
      <w:proofErr w:type="spellEnd"/>
      <w:r w:rsidRPr="005F7886">
        <w:rPr>
          <w:lang w:val="en-US"/>
        </w:rPr>
        <w:t>, since the uplink</w:t>
      </w:r>
      <w:r>
        <w:rPr>
          <w:lang w:val="en-US"/>
        </w:rPr>
        <w:t>-</w:t>
      </w:r>
      <w:r w:rsidRPr="005F7886">
        <w:rPr>
          <w:lang w:val="en-US"/>
        </w:rPr>
        <w:t>only TRP does not transmit any reference signal</w:t>
      </w:r>
      <w:r w:rsidR="007B0ABB">
        <w:rPr>
          <w:lang w:val="en-US"/>
        </w:rPr>
        <w:t xml:space="preserve"> when PL offset is configured for the UE</w:t>
      </w:r>
      <w:r w:rsidRPr="3C4C2475">
        <w:rPr>
          <w:lang w:val="en-US"/>
        </w:rPr>
        <w:t>, this</w:t>
      </w:r>
      <w:r w:rsidRPr="005F7886">
        <w:rPr>
          <w:lang w:val="en-US"/>
        </w:rPr>
        <w:t xml:space="preserve"> implies that the conditions defined up to Rel-18 for an uplink TCI state to be known cannot be used in the context of an asymmetric </w:t>
      </w:r>
      <w:r w:rsidRPr="008A3930">
        <w:rPr>
          <w:lang w:val="en-US"/>
        </w:rPr>
        <w:t xml:space="preserve">DL </w:t>
      </w:r>
      <w:proofErr w:type="spellStart"/>
      <w:r w:rsidRPr="008A3930">
        <w:rPr>
          <w:lang w:val="en-US"/>
        </w:rPr>
        <w:t>sTRP</w:t>
      </w:r>
      <w:proofErr w:type="spellEnd"/>
      <w:r w:rsidRPr="008A3930">
        <w:rPr>
          <w:lang w:val="en-US"/>
        </w:rPr>
        <w:t xml:space="preserve">/UL </w:t>
      </w:r>
      <w:proofErr w:type="spellStart"/>
      <w:r w:rsidRPr="008A3930">
        <w:rPr>
          <w:lang w:val="en-US"/>
        </w:rPr>
        <w:t>mTRP</w:t>
      </w:r>
      <w:proofErr w:type="spellEnd"/>
      <w:r w:rsidRPr="005F7886">
        <w:rPr>
          <w:lang w:val="en-US"/>
        </w:rPr>
        <w:t>.</w:t>
      </w:r>
    </w:p>
    <w:p w14:paraId="6F81873C" w14:textId="77777777" w:rsidR="00381608" w:rsidRDefault="00381608" w:rsidP="00381608">
      <w:pPr>
        <w:pStyle w:val="RAN4observation0"/>
        <w:rPr>
          <w:lang w:val="en-US"/>
        </w:rPr>
      </w:pPr>
      <w:bookmarkStart w:id="22" w:name="_Toc189862126"/>
      <w:r>
        <w:rPr>
          <w:lang w:val="en-US"/>
        </w:rPr>
        <w:t>Legacy uplink TCI state switching delay requirements are based on a TCI state switch being known or unknown.</w:t>
      </w:r>
      <w:bookmarkEnd w:id="22"/>
    </w:p>
    <w:p w14:paraId="572DF06C" w14:textId="77777777" w:rsidR="00381608" w:rsidRDefault="00381608" w:rsidP="00381608">
      <w:pPr>
        <w:pStyle w:val="RAN4observation0"/>
        <w:rPr>
          <w:lang w:val="en-US"/>
        </w:rPr>
      </w:pPr>
      <w:bookmarkStart w:id="23" w:name="_Toc189862127"/>
      <w:r>
        <w:rPr>
          <w:lang w:val="en-US"/>
        </w:rPr>
        <w:t>Conditions defined for a TCI state to be considered as known or unknown are based on a recent measurement of a downlink reference signal.</w:t>
      </w:r>
      <w:bookmarkEnd w:id="23"/>
    </w:p>
    <w:p w14:paraId="186D412B" w14:textId="2B9087D8" w:rsidR="00381608" w:rsidRDefault="00381608" w:rsidP="00381608">
      <w:pPr>
        <w:pStyle w:val="RAN4observation0"/>
        <w:rPr>
          <w:lang w:val="en-US"/>
        </w:rPr>
      </w:pPr>
      <w:bookmarkStart w:id="24" w:name="_Toc189862128"/>
      <w:r>
        <w:rPr>
          <w:lang w:val="en-US"/>
        </w:rPr>
        <w:t>For an uplink-only TRP, since there is no downlink reference signal being transmitted</w:t>
      </w:r>
      <w:r w:rsidR="007B0ABB">
        <w:rPr>
          <w:lang w:val="en-US"/>
        </w:rPr>
        <w:t xml:space="preserve"> when PL offset is configured for the UE</w:t>
      </w:r>
      <w:r>
        <w:rPr>
          <w:lang w:val="en-US"/>
        </w:rPr>
        <w:t>, the legacy known/unknown conditions cannot be reused.</w:t>
      </w:r>
      <w:bookmarkEnd w:id="24"/>
    </w:p>
    <w:p w14:paraId="3269D19C" w14:textId="77777777" w:rsidR="00381608" w:rsidRDefault="00381608" w:rsidP="00381608">
      <w:pPr>
        <w:pStyle w:val="RAN4proposal"/>
        <w:rPr>
          <w:lang w:val="en-US"/>
        </w:rPr>
      </w:pPr>
      <w:bookmarkStart w:id="25" w:name="_Toc189862129"/>
      <w:r>
        <w:rPr>
          <w:lang w:val="en-US"/>
        </w:rPr>
        <w:t>RAN4 to define UL TCI state switch delay requirements for an uplink-only TRP with no distinction between known and unknown TCI states.</w:t>
      </w:r>
      <w:bookmarkEnd w:id="25"/>
      <w:r>
        <w:rPr>
          <w:lang w:val="en-US"/>
        </w:rPr>
        <w:t xml:space="preserve"> </w:t>
      </w:r>
    </w:p>
    <w:p w14:paraId="3FAD5ED7" w14:textId="77777777" w:rsidR="00DF6595" w:rsidRPr="00DF6595" w:rsidRDefault="00DF6595" w:rsidP="00DF6595">
      <w:pPr>
        <w:rPr>
          <w:lang w:val="en-US"/>
        </w:rPr>
      </w:pPr>
    </w:p>
    <w:p w14:paraId="791C38C4" w14:textId="3094C0A3" w:rsidR="00DF6595" w:rsidRPr="00B00C29" w:rsidRDefault="00DF6595" w:rsidP="00DF6595">
      <w:pPr>
        <w:pStyle w:val="RAN4H1"/>
        <w:rPr>
          <w:lang w:val="en-US"/>
        </w:rPr>
      </w:pPr>
      <w:r w:rsidRPr="00B00C29">
        <w:rPr>
          <w:lang w:val="en-US"/>
        </w:rPr>
        <w:lastRenderedPageBreak/>
        <w:t xml:space="preserve">Reporting for CJT </w:t>
      </w:r>
      <w:r w:rsidR="00FF5C1C" w:rsidRPr="00B00C29">
        <w:rPr>
          <w:lang w:val="en-US"/>
        </w:rPr>
        <w:t>calibration</w:t>
      </w:r>
    </w:p>
    <w:p w14:paraId="3A1685F5" w14:textId="77777777" w:rsidR="00381608" w:rsidRDefault="00381608" w:rsidP="00381608">
      <w:pPr>
        <w:rPr>
          <w:lang w:val="en-US"/>
        </w:rPr>
      </w:pPr>
    </w:p>
    <w:p w14:paraId="3391AB8E" w14:textId="103E7FAB" w:rsidR="00020CD3" w:rsidRDefault="002A4710" w:rsidP="00B42987">
      <w:pPr>
        <w:pStyle w:val="RAN4H2"/>
        <w:rPr>
          <w:lang w:val="en-US"/>
        </w:rPr>
      </w:pPr>
      <w:r>
        <w:rPr>
          <w:lang w:val="en-US"/>
        </w:rPr>
        <w:t>General</w:t>
      </w:r>
      <w:r w:rsidR="001F7F76">
        <w:rPr>
          <w:lang w:val="en-US"/>
        </w:rPr>
        <w:t xml:space="preserve"> simulation setup discussion</w:t>
      </w:r>
    </w:p>
    <w:p w14:paraId="44D9FC11" w14:textId="77777777" w:rsidR="001F7F76" w:rsidRDefault="001F7F76" w:rsidP="001F7F76">
      <w:pPr>
        <w:rPr>
          <w:lang w:val="en-US"/>
        </w:rPr>
      </w:pPr>
    </w:p>
    <w:p w14:paraId="60140C8B" w14:textId="0BACB7E4" w:rsidR="001F7F76" w:rsidRDefault="00C61C8E" w:rsidP="001F7F76">
      <w:pPr>
        <w:rPr>
          <w:lang w:val="en-US"/>
        </w:rPr>
      </w:pPr>
      <w:r>
        <w:rPr>
          <w:lang w:val="en-US"/>
        </w:rPr>
        <w:t xml:space="preserve">The simulation setup for CJT calibration was agreed on </w:t>
      </w:r>
      <w:r>
        <w:rPr>
          <w:lang w:val="en-US"/>
        </w:rPr>
        <w:fldChar w:fldCharType="begin"/>
      </w:r>
      <w:r>
        <w:rPr>
          <w:lang w:val="en-US"/>
        </w:rPr>
        <w:instrText xml:space="preserve"> REF _Ref189728710 \r \h </w:instrText>
      </w:r>
      <w:r>
        <w:rPr>
          <w:lang w:val="en-US"/>
        </w:rPr>
      </w:r>
      <w:r>
        <w:rPr>
          <w:lang w:val="en-US"/>
        </w:rPr>
        <w:fldChar w:fldCharType="separate"/>
      </w:r>
      <w:r>
        <w:rPr>
          <w:lang w:val="en-US"/>
        </w:rPr>
        <w:t>[2]</w:t>
      </w:r>
      <w:r>
        <w:rPr>
          <w:lang w:val="en-US"/>
        </w:rPr>
        <w:fldChar w:fldCharType="end"/>
      </w:r>
      <w:r>
        <w:rPr>
          <w:lang w:val="en-US"/>
        </w:rPr>
        <w:t xml:space="preserve">, however some points need to be clarified for the simulation alignment. Firstly, the </w:t>
      </w:r>
      <w:r w:rsidR="00985F71">
        <w:rPr>
          <w:lang w:val="en-US"/>
        </w:rPr>
        <w:t>model for the signal generator for the TRP1 and TRP2 need to be clarified. Regarding that, 3 scenarios can be considered:</w:t>
      </w:r>
    </w:p>
    <w:p w14:paraId="1C75679A" w14:textId="5A133245" w:rsidR="00985F71" w:rsidRDefault="00985F71" w:rsidP="00B42987">
      <w:pPr>
        <w:pStyle w:val="ListParagraph"/>
        <w:numPr>
          <w:ilvl w:val="0"/>
          <w:numId w:val="42"/>
        </w:numPr>
        <w:rPr>
          <w:lang w:val="en-US"/>
        </w:rPr>
      </w:pPr>
      <w:r>
        <w:rPr>
          <w:lang w:val="en-US"/>
        </w:rPr>
        <w:t xml:space="preserve">Scenario 1: TRP1 and TRP2 </w:t>
      </w:r>
      <w:r w:rsidR="009D55B4">
        <w:rPr>
          <w:lang w:val="en-US"/>
        </w:rPr>
        <w:t>transmitting</w:t>
      </w:r>
      <w:r>
        <w:rPr>
          <w:lang w:val="en-US"/>
        </w:rPr>
        <w:t xml:space="preserve"> only </w:t>
      </w:r>
      <w:r w:rsidR="002E44C2">
        <w:rPr>
          <w:lang w:val="en-US"/>
        </w:rPr>
        <w:t>TRS</w:t>
      </w:r>
    </w:p>
    <w:p w14:paraId="1C2F1077" w14:textId="3D3643D9" w:rsidR="002E44C2" w:rsidRDefault="002E44C2" w:rsidP="00B42987">
      <w:pPr>
        <w:pStyle w:val="ListParagraph"/>
        <w:numPr>
          <w:ilvl w:val="0"/>
          <w:numId w:val="42"/>
        </w:numPr>
        <w:rPr>
          <w:lang w:val="en-US"/>
        </w:rPr>
      </w:pPr>
      <w:r>
        <w:rPr>
          <w:lang w:val="en-US"/>
        </w:rPr>
        <w:t xml:space="preserve">Scenario 2: Data on all the OFDM symbols, except for the </w:t>
      </w:r>
      <w:r w:rsidR="00F93D7F">
        <w:rPr>
          <w:lang w:val="en-US"/>
        </w:rPr>
        <w:t>subcarriers carrying</w:t>
      </w:r>
      <w:r>
        <w:rPr>
          <w:lang w:val="en-US"/>
        </w:rPr>
        <w:t xml:space="preserve"> TRS symbol</w:t>
      </w:r>
      <w:r w:rsidR="00F93D7F">
        <w:rPr>
          <w:lang w:val="en-US"/>
        </w:rPr>
        <w:t>s.</w:t>
      </w:r>
    </w:p>
    <w:p w14:paraId="4919431C" w14:textId="725E1A85" w:rsidR="002E44C2" w:rsidRDefault="002E44C2" w:rsidP="00B42987">
      <w:pPr>
        <w:pStyle w:val="ListParagraph"/>
        <w:numPr>
          <w:ilvl w:val="0"/>
          <w:numId w:val="42"/>
        </w:numPr>
        <w:rPr>
          <w:lang w:val="en-US"/>
        </w:rPr>
      </w:pPr>
      <w:r>
        <w:rPr>
          <w:lang w:val="en-US"/>
        </w:rPr>
        <w:t>Scenario 3: Data on all the OFDM symbols</w:t>
      </w:r>
      <w:r w:rsidR="00F34EAB">
        <w:rPr>
          <w:lang w:val="en-US"/>
        </w:rPr>
        <w:t>; except for the TRS symbols.</w:t>
      </w:r>
    </w:p>
    <w:p w14:paraId="7EA1688D" w14:textId="194B3A1A" w:rsidR="00F34EAB" w:rsidRDefault="00F34EAB" w:rsidP="00F34EAB">
      <w:pPr>
        <w:rPr>
          <w:lang w:val="en-US"/>
        </w:rPr>
      </w:pPr>
      <w:r>
        <w:rPr>
          <w:lang w:val="en-US"/>
        </w:rPr>
        <w:t>There can be perfo</w:t>
      </w:r>
      <w:r w:rsidR="009D55B4">
        <w:rPr>
          <w:lang w:val="en-US"/>
        </w:rPr>
        <w:t>r</w:t>
      </w:r>
      <w:r>
        <w:rPr>
          <w:lang w:val="en-US"/>
        </w:rPr>
        <w:t xml:space="preserve">mance differences between the 3 scenarios. For example, on scenario 3 the </w:t>
      </w:r>
      <w:r w:rsidR="00DF77F1">
        <w:rPr>
          <w:lang w:val="en-US"/>
        </w:rPr>
        <w:t>ICI can affect frequency offset estimation. On Scenario 2 and 3</w:t>
      </w:r>
      <w:r w:rsidR="00F873D9">
        <w:rPr>
          <w:lang w:val="en-US"/>
        </w:rPr>
        <w:t xml:space="preserve">, the timing offset estimation can be affected by ISI when the timing offset is close to CP length. </w:t>
      </w:r>
      <w:r w:rsidR="00F00266">
        <w:rPr>
          <w:lang w:val="en-US"/>
        </w:rPr>
        <w:t xml:space="preserve">On the other hand, Scenario 1 might not be realistic enough, since </w:t>
      </w:r>
      <w:r w:rsidR="00787250">
        <w:rPr>
          <w:lang w:val="en-US"/>
        </w:rPr>
        <w:t xml:space="preserve">the symbols not carrying TRS are </w:t>
      </w:r>
      <w:r w:rsidR="00F93D7F">
        <w:rPr>
          <w:lang w:val="en-US"/>
        </w:rPr>
        <w:t>typically</w:t>
      </w:r>
      <w:r w:rsidR="00787250">
        <w:rPr>
          <w:lang w:val="en-US"/>
        </w:rPr>
        <w:t xml:space="preserve"> also used for PDSCH/PDCCH.</w:t>
      </w:r>
    </w:p>
    <w:p w14:paraId="521D0B52" w14:textId="77777777" w:rsidR="00787250" w:rsidRDefault="00787250" w:rsidP="00F34EAB">
      <w:pPr>
        <w:rPr>
          <w:lang w:val="en-US"/>
        </w:rPr>
      </w:pPr>
    </w:p>
    <w:p w14:paraId="20587CEC" w14:textId="318EA99B" w:rsidR="00787250" w:rsidRPr="00F34EAB" w:rsidRDefault="00787250" w:rsidP="00FF1416">
      <w:pPr>
        <w:pStyle w:val="RAN4proposal"/>
        <w:rPr>
          <w:lang w:val="en-US"/>
        </w:rPr>
      </w:pPr>
      <w:bookmarkStart w:id="26" w:name="_Toc189862130"/>
      <w:r>
        <w:rPr>
          <w:lang w:val="en-US"/>
        </w:rPr>
        <w:t xml:space="preserve">RAN4 to consider </w:t>
      </w:r>
      <w:r w:rsidR="00D05CB1">
        <w:rPr>
          <w:lang w:val="en-US"/>
        </w:rPr>
        <w:t>CJT simulation setup with TRP1/TRP2 car</w:t>
      </w:r>
      <w:r w:rsidR="009C5874">
        <w:rPr>
          <w:lang w:val="en-US"/>
        </w:rPr>
        <w:t>r</w:t>
      </w:r>
      <w:r w:rsidR="00D05CB1">
        <w:rPr>
          <w:lang w:val="en-US"/>
        </w:rPr>
        <w:t>ying random data on OFDM symbols not</w:t>
      </w:r>
      <w:r w:rsidR="000E3F2C">
        <w:rPr>
          <w:lang w:val="en-US"/>
        </w:rPr>
        <w:t xml:space="preserve"> carrying TRS.</w:t>
      </w:r>
      <w:bookmarkEnd w:id="26"/>
      <w:r w:rsidR="000E3F2C">
        <w:rPr>
          <w:lang w:val="en-US"/>
        </w:rPr>
        <w:t xml:space="preserve"> </w:t>
      </w:r>
      <w:r w:rsidR="00D05CB1">
        <w:rPr>
          <w:lang w:val="en-US"/>
        </w:rPr>
        <w:t xml:space="preserve"> </w:t>
      </w:r>
    </w:p>
    <w:p w14:paraId="6DC53BDF" w14:textId="08DB4754" w:rsidR="00020CD3" w:rsidRDefault="000E3F2C" w:rsidP="00381608">
      <w:pPr>
        <w:rPr>
          <w:lang w:val="en-US"/>
        </w:rPr>
      </w:pPr>
      <w:r>
        <w:rPr>
          <w:lang w:val="en-US"/>
        </w:rPr>
        <w:t xml:space="preserve">Another point is how to consider the TRS configuration for TRP1 and TRP 2. Below we show one example of TRS configuration </w:t>
      </w:r>
      <w:r w:rsidR="0088119A">
        <w:rPr>
          <w:lang w:val="en-US"/>
        </w:rPr>
        <w:t xml:space="preserve">using in legacy test setup in 3.8.133. </w:t>
      </w:r>
      <w:r w:rsidR="00F02065">
        <w:rPr>
          <w:lang w:val="en-US"/>
        </w:rPr>
        <w:t>We need to clarify what is the configuration for TRP1 and TRP2</w:t>
      </w:r>
      <w:r w:rsidR="00D41F5E">
        <w:rPr>
          <w:lang w:val="en-US"/>
        </w:rPr>
        <w:t xml:space="preserve">. Is reusing the configuration of this table, the TRS Res for the two TRPs would be overlapping. But there is also an option of using different k0 for TRP1 and TRP2. </w:t>
      </w:r>
    </w:p>
    <w:p w14:paraId="0792CB96" w14:textId="77777777" w:rsidR="000E3F2C" w:rsidRDefault="000E3F2C" w:rsidP="00381608">
      <w:pPr>
        <w:rPr>
          <w:lang w:val="en-US"/>
        </w:rPr>
      </w:pPr>
    </w:p>
    <w:p w14:paraId="193E024A" w14:textId="2E0A25AF" w:rsidR="00020CD3" w:rsidRDefault="00020CD3" w:rsidP="00020CD3">
      <w:r>
        <w:rPr>
          <w:noProof/>
        </w:rPr>
        <w:drawing>
          <wp:inline distT="0" distB="0" distL="0" distR="0" wp14:anchorId="57274990" wp14:editId="6A8A3289">
            <wp:extent cx="6113145" cy="3224530"/>
            <wp:effectExtent l="0" t="0" r="1905" b="0"/>
            <wp:docPr id="1859186017"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186017" name="Picture 1" descr="A screenshot of a documen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3145" cy="3224530"/>
                    </a:xfrm>
                    <a:prstGeom prst="rect">
                      <a:avLst/>
                    </a:prstGeom>
                    <a:noFill/>
                    <a:ln>
                      <a:noFill/>
                    </a:ln>
                  </pic:spPr>
                </pic:pic>
              </a:graphicData>
            </a:graphic>
          </wp:inline>
        </w:drawing>
      </w:r>
    </w:p>
    <w:p w14:paraId="77C702B9" w14:textId="77777777" w:rsidR="00020CD3" w:rsidRDefault="00020CD3" w:rsidP="00381608">
      <w:pPr>
        <w:rPr>
          <w:lang w:val="en-US"/>
        </w:rPr>
      </w:pPr>
    </w:p>
    <w:p w14:paraId="387804EE" w14:textId="6A301762" w:rsidR="00D70EAA" w:rsidRPr="00B37B8E" w:rsidRDefault="00D70EAA" w:rsidP="00D70EAA">
      <w:pPr>
        <w:pStyle w:val="RAN4proposal"/>
        <w:rPr>
          <w:lang w:val="en-US"/>
        </w:rPr>
      </w:pPr>
      <w:bookmarkStart w:id="27" w:name="_Toc189862131"/>
      <w:r>
        <w:rPr>
          <w:lang w:val="en-US"/>
        </w:rPr>
        <w:t xml:space="preserve">For CJT calibration simulations </w:t>
      </w:r>
      <w:r w:rsidR="00D41F5E">
        <w:rPr>
          <w:lang w:val="en-US"/>
        </w:rPr>
        <w:t>adopt</w:t>
      </w:r>
      <w:r>
        <w:rPr>
          <w:lang w:val="en-US"/>
        </w:rPr>
        <w:t xml:space="preserve"> the </w:t>
      </w:r>
      <w:r w:rsidR="00D41F5E">
        <w:rPr>
          <w:lang w:val="en-US"/>
        </w:rPr>
        <w:t xml:space="preserve">following </w:t>
      </w:r>
      <w:r>
        <w:rPr>
          <w:lang w:val="en-US"/>
        </w:rPr>
        <w:t xml:space="preserve">TRS </w:t>
      </w:r>
      <w:r w:rsidR="00020CD3">
        <w:rPr>
          <w:lang w:val="en-US"/>
        </w:rPr>
        <w:t>configuration</w:t>
      </w:r>
      <w:r w:rsidR="00D41F5E">
        <w:rPr>
          <w:lang w:val="en-US"/>
        </w:rPr>
        <w:t>:</w:t>
      </w:r>
      <w:bookmarkEnd w:id="27"/>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567"/>
        <w:gridCol w:w="2977"/>
        <w:gridCol w:w="2976"/>
      </w:tblGrid>
      <w:tr w:rsidR="00E17D29" w:rsidRPr="00495D84" w14:paraId="6228DCE8" w14:textId="2BC55E02" w:rsidTr="00FF1416">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7C68AB8" w14:textId="77777777" w:rsidR="00E17D29" w:rsidRPr="00495D84" w:rsidRDefault="00E17D29" w:rsidP="0032149F">
            <w:pPr>
              <w:pStyle w:val="TAH"/>
            </w:pPr>
            <w:r w:rsidRPr="00495D84">
              <w:lastRenderedPageBreak/>
              <w:t>Parameter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C4B336" w14:textId="77777777" w:rsidR="00E17D29" w:rsidRPr="00495D84" w:rsidRDefault="00E17D29" w:rsidP="0032149F">
            <w:pPr>
              <w:pStyle w:val="TAH"/>
            </w:pPr>
            <w:r w:rsidRPr="00495D84">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1BF23E" w14:textId="2E67E882" w:rsidR="00E17D29" w:rsidRPr="00495D84" w:rsidRDefault="009E31B0" w:rsidP="0032149F">
            <w:pPr>
              <w:pStyle w:val="TAH"/>
            </w:pPr>
            <w:r>
              <w:t>Configuration 1</w:t>
            </w:r>
          </w:p>
        </w:tc>
        <w:tc>
          <w:tcPr>
            <w:tcW w:w="2976" w:type="dxa"/>
            <w:tcBorders>
              <w:top w:val="single" w:sz="4" w:space="0" w:color="auto"/>
              <w:left w:val="single" w:sz="4" w:space="0" w:color="auto"/>
              <w:bottom w:val="single" w:sz="4" w:space="0" w:color="auto"/>
              <w:right w:val="single" w:sz="4" w:space="0" w:color="auto"/>
            </w:tcBorders>
          </w:tcPr>
          <w:p w14:paraId="4DB43DA8" w14:textId="30FD3921" w:rsidR="000C4228" w:rsidRPr="00495D84" w:rsidRDefault="009E31B0" w:rsidP="0032149F">
            <w:pPr>
              <w:pStyle w:val="TAH"/>
            </w:pPr>
            <w:r>
              <w:t>Configuration 2</w:t>
            </w:r>
          </w:p>
        </w:tc>
      </w:tr>
      <w:tr w:rsidR="009E31B0" w:rsidRPr="00495D84" w14:paraId="4202AB5B" w14:textId="2A05A12C" w:rsidTr="00FF1416">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EF808B0" w14:textId="77777777" w:rsidR="009E31B0" w:rsidRPr="00495D84" w:rsidRDefault="009E31B0" w:rsidP="009E31B0">
            <w:pPr>
              <w:pStyle w:val="TAL"/>
            </w:pPr>
            <w:r w:rsidRPr="00495D84">
              <w:t>SCS</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7231E3" w14:textId="77777777" w:rsidR="009E31B0" w:rsidRPr="00495D84" w:rsidRDefault="009E31B0" w:rsidP="009E31B0">
            <w:pPr>
              <w:pStyle w:val="TAL"/>
            </w:pPr>
            <w:r w:rsidRPr="00495D84">
              <w:t>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F0A550" w14:textId="77777777" w:rsidR="009E31B0" w:rsidRPr="00495D84" w:rsidRDefault="009E31B0" w:rsidP="009E31B0">
            <w:pPr>
              <w:pStyle w:val="TAL"/>
            </w:pPr>
            <w:r w:rsidRPr="00495D84">
              <w:t>15</w:t>
            </w:r>
          </w:p>
        </w:tc>
        <w:tc>
          <w:tcPr>
            <w:tcW w:w="2976" w:type="dxa"/>
            <w:tcBorders>
              <w:top w:val="single" w:sz="4" w:space="0" w:color="auto"/>
              <w:left w:val="single" w:sz="4" w:space="0" w:color="auto"/>
              <w:bottom w:val="single" w:sz="4" w:space="0" w:color="auto"/>
              <w:right w:val="single" w:sz="4" w:space="0" w:color="auto"/>
            </w:tcBorders>
            <w:vAlign w:val="center"/>
          </w:tcPr>
          <w:p w14:paraId="3504E934" w14:textId="1CA35EB7" w:rsidR="009E31B0" w:rsidRPr="00495D84" w:rsidRDefault="009E31B0" w:rsidP="009E31B0">
            <w:pPr>
              <w:pStyle w:val="TAL"/>
            </w:pPr>
            <w:r>
              <w:t>30</w:t>
            </w:r>
          </w:p>
        </w:tc>
      </w:tr>
      <w:tr w:rsidR="001825EA" w:rsidRPr="009E31B0" w14:paraId="11152856" w14:textId="77777777" w:rsidTr="00BF12F3">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32CA3170" w14:textId="0F08D64A" w:rsidR="001825EA" w:rsidRPr="00495D84" w:rsidRDefault="001825EA" w:rsidP="009E31B0">
            <w:pPr>
              <w:pStyle w:val="TAL"/>
            </w:pPr>
            <w:r>
              <w:t>TRP</w:t>
            </w:r>
            <w:r w:rsidRPr="001E5680">
              <w:rPr>
                <w:vertAlign w:val="subscript"/>
              </w:rPr>
              <w:t>1</w:t>
            </w:r>
            <w:r>
              <w:t xml:space="preserve"> configures as NZP</w:t>
            </w:r>
          </w:p>
        </w:tc>
        <w:tc>
          <w:tcPr>
            <w:tcW w:w="567" w:type="dxa"/>
            <w:tcBorders>
              <w:top w:val="single" w:sz="4" w:space="0" w:color="auto"/>
              <w:left w:val="single" w:sz="4" w:space="0" w:color="auto"/>
              <w:bottom w:val="single" w:sz="4" w:space="0" w:color="auto"/>
              <w:right w:val="single" w:sz="4" w:space="0" w:color="auto"/>
            </w:tcBorders>
            <w:vAlign w:val="center"/>
          </w:tcPr>
          <w:p w14:paraId="11D76231" w14:textId="77777777" w:rsidR="001825EA" w:rsidRPr="00495D84" w:rsidRDefault="001825EA" w:rsidP="009E31B0">
            <w:pPr>
              <w:pStyle w:val="TAL"/>
            </w:pP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0EDEB6BD" w14:textId="032C5A66" w:rsidR="001825EA" w:rsidRPr="00495D84" w:rsidRDefault="001825EA" w:rsidP="004635A0">
            <w:pPr>
              <w:pStyle w:val="TAL"/>
              <w:jc w:val="center"/>
            </w:pPr>
            <w:r>
              <w:t>TRS resources 1,2,3,4</w:t>
            </w:r>
          </w:p>
        </w:tc>
      </w:tr>
      <w:tr w:rsidR="001825EA" w:rsidRPr="009E31B0" w14:paraId="4A04DB12" w14:textId="77777777" w:rsidTr="00BF12F3">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530EA69F" w14:textId="45976C4C" w:rsidR="001825EA" w:rsidRDefault="001825EA" w:rsidP="001825EA">
            <w:pPr>
              <w:pStyle w:val="TAL"/>
            </w:pPr>
            <w:r>
              <w:t>TRP</w:t>
            </w:r>
            <w:r w:rsidRPr="001E5680">
              <w:rPr>
                <w:vertAlign w:val="subscript"/>
              </w:rPr>
              <w:t>1</w:t>
            </w:r>
            <w:r>
              <w:t xml:space="preserve"> configures as ZP</w:t>
            </w:r>
          </w:p>
        </w:tc>
        <w:tc>
          <w:tcPr>
            <w:tcW w:w="567" w:type="dxa"/>
            <w:tcBorders>
              <w:top w:val="single" w:sz="4" w:space="0" w:color="auto"/>
              <w:left w:val="single" w:sz="4" w:space="0" w:color="auto"/>
              <w:bottom w:val="single" w:sz="4" w:space="0" w:color="auto"/>
              <w:right w:val="single" w:sz="4" w:space="0" w:color="auto"/>
            </w:tcBorders>
            <w:vAlign w:val="center"/>
          </w:tcPr>
          <w:p w14:paraId="741AFE25" w14:textId="77777777" w:rsidR="001825EA" w:rsidRPr="00495D84" w:rsidRDefault="001825EA" w:rsidP="001825EA">
            <w:pPr>
              <w:pStyle w:val="TAL"/>
            </w:pP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4A94D038" w14:textId="5DB43CC0" w:rsidR="001825EA" w:rsidRDefault="001825EA" w:rsidP="004635A0">
            <w:pPr>
              <w:pStyle w:val="TAL"/>
              <w:jc w:val="center"/>
            </w:pPr>
            <w:r>
              <w:t>TRS resources 5,6,7,8</w:t>
            </w:r>
          </w:p>
        </w:tc>
      </w:tr>
      <w:tr w:rsidR="001825EA" w:rsidRPr="009E31B0" w14:paraId="4777D26C" w14:textId="77777777" w:rsidTr="00BF12F3">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6064C07B" w14:textId="1EFFD88F" w:rsidR="001825EA" w:rsidRDefault="001825EA" w:rsidP="001825EA">
            <w:pPr>
              <w:pStyle w:val="TAL"/>
            </w:pPr>
            <w:r>
              <w:t>TRP</w:t>
            </w:r>
            <w:r w:rsidRPr="001E5680">
              <w:rPr>
                <w:vertAlign w:val="subscript"/>
              </w:rPr>
              <w:t>2</w:t>
            </w:r>
            <w:r>
              <w:t xml:space="preserve"> configures as NZP</w:t>
            </w:r>
          </w:p>
        </w:tc>
        <w:tc>
          <w:tcPr>
            <w:tcW w:w="567" w:type="dxa"/>
            <w:tcBorders>
              <w:top w:val="single" w:sz="4" w:space="0" w:color="auto"/>
              <w:left w:val="single" w:sz="4" w:space="0" w:color="auto"/>
              <w:bottom w:val="single" w:sz="4" w:space="0" w:color="auto"/>
              <w:right w:val="single" w:sz="4" w:space="0" w:color="auto"/>
            </w:tcBorders>
            <w:vAlign w:val="center"/>
          </w:tcPr>
          <w:p w14:paraId="14391B7C" w14:textId="77777777" w:rsidR="001825EA" w:rsidRPr="00495D84" w:rsidRDefault="001825EA" w:rsidP="001825EA">
            <w:pPr>
              <w:pStyle w:val="TAL"/>
            </w:pP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6DE00DA1" w14:textId="3FFC7723" w:rsidR="001825EA" w:rsidRDefault="001825EA" w:rsidP="004635A0">
            <w:pPr>
              <w:pStyle w:val="TAL"/>
              <w:jc w:val="center"/>
            </w:pPr>
            <w:r>
              <w:t>TRS resources 5,6,7,8</w:t>
            </w:r>
          </w:p>
        </w:tc>
      </w:tr>
      <w:tr w:rsidR="001825EA" w:rsidRPr="009E31B0" w14:paraId="7B4E73B2" w14:textId="77777777" w:rsidTr="00BF12F3">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3C28B40B" w14:textId="1CB01529" w:rsidR="001825EA" w:rsidRDefault="001825EA" w:rsidP="001825EA">
            <w:pPr>
              <w:pStyle w:val="TAL"/>
            </w:pPr>
            <w:r>
              <w:t>TRP</w:t>
            </w:r>
            <w:r w:rsidRPr="00BE7F81">
              <w:rPr>
                <w:vertAlign w:val="subscript"/>
              </w:rPr>
              <w:t>2</w:t>
            </w:r>
            <w:r>
              <w:t xml:space="preserve"> configures as ZP</w:t>
            </w:r>
          </w:p>
        </w:tc>
        <w:tc>
          <w:tcPr>
            <w:tcW w:w="567" w:type="dxa"/>
            <w:tcBorders>
              <w:top w:val="single" w:sz="4" w:space="0" w:color="auto"/>
              <w:left w:val="single" w:sz="4" w:space="0" w:color="auto"/>
              <w:bottom w:val="single" w:sz="4" w:space="0" w:color="auto"/>
              <w:right w:val="single" w:sz="4" w:space="0" w:color="auto"/>
            </w:tcBorders>
            <w:vAlign w:val="center"/>
          </w:tcPr>
          <w:p w14:paraId="008FE975" w14:textId="77777777" w:rsidR="001825EA" w:rsidRPr="00495D84" w:rsidRDefault="001825EA" w:rsidP="001825EA">
            <w:pPr>
              <w:pStyle w:val="TAL"/>
            </w:pP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2BFBF0B7" w14:textId="6C4756F0" w:rsidR="001825EA" w:rsidRDefault="001825EA" w:rsidP="004635A0">
            <w:pPr>
              <w:pStyle w:val="TAL"/>
              <w:jc w:val="center"/>
            </w:pPr>
            <w:r>
              <w:t>TRS resources 1,2,3,4</w:t>
            </w:r>
          </w:p>
        </w:tc>
      </w:tr>
      <w:tr w:rsidR="009E31B0" w:rsidRPr="009E31B0" w14:paraId="5E06EBB3" w14:textId="7E683E83" w:rsidTr="00BF12F3">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B748BDC" w14:textId="77777777" w:rsidR="009E31B0" w:rsidRPr="00495D84" w:rsidRDefault="009E31B0" w:rsidP="009E31B0">
            <w:pPr>
              <w:pStyle w:val="TAL"/>
            </w:pPr>
            <w:r w:rsidRPr="00495D84">
              <w:t>First</w:t>
            </w:r>
            <w:r>
              <w:t xml:space="preserve"> </w:t>
            </w:r>
            <w:r w:rsidRPr="00495D84">
              <w:t>subcarrier</w:t>
            </w:r>
            <w:r>
              <w:t xml:space="preserve"> </w:t>
            </w:r>
            <w:r w:rsidRPr="00495D84">
              <w:t>index</w:t>
            </w:r>
            <w:r>
              <w:t xml:space="preserve"> </w:t>
            </w:r>
            <w:r w:rsidRPr="00495D84">
              <w:t>in</w:t>
            </w:r>
            <w:r>
              <w:t xml:space="preserve"> </w:t>
            </w:r>
            <w:r w:rsidRPr="00495D84">
              <w:t>the</w:t>
            </w:r>
            <w:r>
              <w:t xml:space="preserve"> </w:t>
            </w:r>
            <w:r w:rsidRPr="00495D84">
              <w:t>PRB</w:t>
            </w:r>
            <w:r>
              <w:t xml:space="preserve"> </w:t>
            </w:r>
            <w:r w:rsidRPr="00495D84">
              <w:t>used</w:t>
            </w:r>
            <w:r>
              <w:t xml:space="preserve"> </w:t>
            </w:r>
            <w:r w:rsidRPr="00495D84">
              <w:t>for</w:t>
            </w:r>
            <w:r>
              <w:t xml:space="preserve"> </w:t>
            </w:r>
            <w:r w:rsidRPr="00495D84">
              <w:t>CSI-RS</w:t>
            </w:r>
            <w: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412673E7" w14:textId="77777777" w:rsidR="009E31B0" w:rsidRPr="00495D84" w:rsidRDefault="009E31B0" w:rsidP="009E31B0">
            <w:pPr>
              <w:pStyle w:val="TAL"/>
            </w:pPr>
          </w:p>
        </w:tc>
        <w:tc>
          <w:tcPr>
            <w:tcW w:w="5953" w:type="dxa"/>
            <w:gridSpan w:val="2"/>
            <w:tcBorders>
              <w:top w:val="single" w:sz="4" w:space="0" w:color="auto"/>
              <w:left w:val="single" w:sz="4" w:space="0" w:color="auto"/>
              <w:bottom w:val="single" w:sz="4" w:space="0" w:color="auto"/>
              <w:right w:val="single" w:sz="4" w:space="0" w:color="auto"/>
            </w:tcBorders>
            <w:vAlign w:val="center"/>
            <w:hideMark/>
          </w:tcPr>
          <w:p w14:paraId="00C18F3D" w14:textId="58045109" w:rsidR="001825EA" w:rsidRDefault="001825EA" w:rsidP="00D271CA">
            <w:pPr>
              <w:pStyle w:val="TAL"/>
              <w:jc w:val="center"/>
            </w:pPr>
            <w:r w:rsidRPr="00495D84">
              <w:t>k</w:t>
            </w:r>
            <w:r w:rsidRPr="00495D84">
              <w:rPr>
                <w:vertAlign w:val="subscript"/>
              </w:rPr>
              <w:t>0</w:t>
            </w:r>
            <w:r w:rsidRPr="00495D84">
              <w:t>=0</w:t>
            </w:r>
            <w:r>
              <w:t xml:space="preserve"> for TRS resources 1,2,3,4</w:t>
            </w:r>
          </w:p>
          <w:p w14:paraId="0033154A" w14:textId="1FCE6480" w:rsidR="009E31B0" w:rsidRPr="00495D84" w:rsidRDefault="001825EA" w:rsidP="00D271CA">
            <w:pPr>
              <w:pStyle w:val="TAL"/>
              <w:jc w:val="center"/>
            </w:pPr>
            <w:r w:rsidRPr="00495D84">
              <w:t>k</w:t>
            </w:r>
            <w:r w:rsidRPr="00495D84">
              <w:rPr>
                <w:vertAlign w:val="subscript"/>
              </w:rPr>
              <w:t>0</w:t>
            </w:r>
            <w:r w:rsidRPr="00495D84">
              <w:t>=</w:t>
            </w:r>
            <w:r>
              <w:t>1 for TRS resources 5,6,7,8</w:t>
            </w:r>
          </w:p>
        </w:tc>
      </w:tr>
      <w:tr w:rsidR="009E31B0" w:rsidRPr="00495D84" w14:paraId="327A7614" w14:textId="6FF346DE" w:rsidTr="00BF12F3">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A8D16A8" w14:textId="77777777" w:rsidR="009E31B0" w:rsidRPr="00495D84" w:rsidRDefault="009E31B0" w:rsidP="009E31B0">
            <w:pPr>
              <w:pStyle w:val="TAL"/>
            </w:pPr>
            <w:r w:rsidRPr="00495D84">
              <w:t>First</w:t>
            </w:r>
            <w:r>
              <w:t xml:space="preserve"> </w:t>
            </w:r>
            <w:r w:rsidRPr="00495D84">
              <w:t>OFDM</w:t>
            </w:r>
            <w:r>
              <w:t xml:space="preserve"> </w:t>
            </w:r>
            <w:r w:rsidRPr="00495D84">
              <w:t>symbol</w:t>
            </w:r>
            <w:r>
              <w:t xml:space="preserve"> </w:t>
            </w:r>
            <w:r w:rsidRPr="00495D84">
              <w:t>in</w:t>
            </w:r>
            <w:r>
              <w:t xml:space="preserve"> </w:t>
            </w:r>
            <w:r w:rsidRPr="00495D84">
              <w:t>the</w:t>
            </w:r>
            <w:r>
              <w:t xml:space="preserve"> </w:t>
            </w:r>
            <w:r w:rsidRPr="00495D84">
              <w:t>slot</w:t>
            </w:r>
            <w:r>
              <w:t xml:space="preserve"> </w:t>
            </w:r>
            <w:r w:rsidRPr="00495D84">
              <w:t>used</w:t>
            </w:r>
            <w:r>
              <w:t xml:space="preserve"> </w:t>
            </w:r>
            <w:r w:rsidRPr="00495D84">
              <w:t>for</w:t>
            </w:r>
            <w:r>
              <w:t xml:space="preserve"> </w:t>
            </w:r>
            <w:r w:rsidRPr="00495D84">
              <w:t>CSI-RS</w:t>
            </w:r>
            <w: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21AB02B3" w14:textId="77777777" w:rsidR="009E31B0" w:rsidRPr="00495D84" w:rsidRDefault="009E31B0" w:rsidP="009E31B0">
            <w:pPr>
              <w:pStyle w:val="TAL"/>
            </w:pPr>
          </w:p>
        </w:tc>
        <w:tc>
          <w:tcPr>
            <w:tcW w:w="5953" w:type="dxa"/>
            <w:gridSpan w:val="2"/>
            <w:tcBorders>
              <w:top w:val="single" w:sz="4" w:space="0" w:color="auto"/>
              <w:left w:val="single" w:sz="4" w:space="0" w:color="auto"/>
              <w:bottom w:val="single" w:sz="4" w:space="0" w:color="auto"/>
              <w:right w:val="single" w:sz="4" w:space="0" w:color="auto"/>
            </w:tcBorders>
            <w:vAlign w:val="center"/>
            <w:hideMark/>
          </w:tcPr>
          <w:p w14:paraId="62F29374" w14:textId="6FA02E54" w:rsidR="009E31B0" w:rsidRPr="00495D84" w:rsidRDefault="001825EA" w:rsidP="000C5B69">
            <w:pPr>
              <w:pStyle w:val="TAL"/>
              <w:jc w:val="center"/>
            </w:pPr>
            <w:r w:rsidRPr="00495D84">
              <w:t>l</w:t>
            </w:r>
            <w:r w:rsidRPr="00495D84">
              <w:rPr>
                <w:vertAlign w:val="subscript"/>
              </w:rPr>
              <w:t>0</w:t>
            </w:r>
            <w:r>
              <w:t xml:space="preserve"> </w:t>
            </w:r>
            <w:r w:rsidRPr="00495D84">
              <w:t>=</w:t>
            </w:r>
            <w:r>
              <w:t xml:space="preserve"> </w:t>
            </w:r>
            <w:r w:rsidR="00A92EE6" w:rsidRPr="00E90F2A">
              <w:rPr>
                <w:b/>
              </w:rPr>
              <w:t>FFS</w:t>
            </w:r>
            <w:r w:rsidR="00A92EE6">
              <w:t xml:space="preserve"> </w:t>
            </w:r>
            <w:r>
              <w:t>for TRS resources 1,3,5,7</w:t>
            </w:r>
            <w:r>
              <w:br/>
            </w:r>
            <w:r w:rsidRPr="00495D84">
              <w:t>l</w:t>
            </w:r>
            <w:r w:rsidRPr="00495D84">
              <w:rPr>
                <w:vertAlign w:val="subscript"/>
              </w:rPr>
              <w:t>0</w:t>
            </w:r>
            <w:r>
              <w:t xml:space="preserve"> </w:t>
            </w:r>
            <w:r w:rsidRPr="00495D84">
              <w:t>=</w:t>
            </w:r>
            <w:r>
              <w:t xml:space="preserve"> </w:t>
            </w:r>
            <w:r w:rsidR="00A92EE6" w:rsidRPr="00E90F2A">
              <w:rPr>
                <w:b/>
              </w:rPr>
              <w:t>FFS</w:t>
            </w:r>
            <w:r w:rsidR="00A92EE6">
              <w:t xml:space="preserve"> </w:t>
            </w:r>
            <w:r>
              <w:t>for TRS resources 2,4,6,8</w:t>
            </w:r>
          </w:p>
        </w:tc>
      </w:tr>
      <w:tr w:rsidR="009E31B0" w:rsidRPr="00495D84" w14:paraId="4D5EAFB8" w14:textId="25FCA5D5" w:rsidTr="00BF12F3">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46FA764" w14:textId="16FE89CA" w:rsidR="009E31B0" w:rsidRPr="00F80E10" w:rsidRDefault="001825EA" w:rsidP="009E31B0">
            <w:pPr>
              <w:pStyle w:val="TAL"/>
              <w:rPr>
                <w:vertAlign w:val="superscript"/>
                <w:lang w:val="en-DK"/>
              </w:rPr>
            </w:pPr>
            <w:proofErr w:type="spellStart"/>
            <w:r>
              <w:t>row</w:t>
            </w:r>
            <w:r>
              <w:rPr>
                <w:vertAlign w:val="superscript"/>
              </w:rPr>
              <w:t>Note</w:t>
            </w:r>
            <w:proofErr w:type="spellEnd"/>
            <w:r>
              <w:rPr>
                <w:vertAlign w:val="superscript"/>
              </w:rPr>
              <w:t xml:space="preserve"> </w:t>
            </w:r>
            <w:r w:rsidR="00C44045">
              <w:rPr>
                <w:vertAlign w:val="superscript"/>
                <w:lang w:val="en-DK"/>
              </w:rPr>
              <w:t>1</w:t>
            </w:r>
          </w:p>
        </w:tc>
        <w:tc>
          <w:tcPr>
            <w:tcW w:w="567" w:type="dxa"/>
            <w:tcBorders>
              <w:top w:val="single" w:sz="4" w:space="0" w:color="auto"/>
              <w:left w:val="single" w:sz="4" w:space="0" w:color="auto"/>
              <w:bottom w:val="single" w:sz="4" w:space="0" w:color="auto"/>
              <w:right w:val="single" w:sz="4" w:space="0" w:color="auto"/>
            </w:tcBorders>
            <w:vAlign w:val="center"/>
          </w:tcPr>
          <w:p w14:paraId="6A756D3C" w14:textId="77777777" w:rsidR="009E31B0" w:rsidRPr="00495D84" w:rsidRDefault="009E31B0" w:rsidP="009E31B0">
            <w:pPr>
              <w:pStyle w:val="TAL"/>
            </w:pPr>
          </w:p>
        </w:tc>
        <w:tc>
          <w:tcPr>
            <w:tcW w:w="5953" w:type="dxa"/>
            <w:gridSpan w:val="2"/>
            <w:tcBorders>
              <w:top w:val="single" w:sz="4" w:space="0" w:color="auto"/>
              <w:left w:val="single" w:sz="4" w:space="0" w:color="auto"/>
              <w:bottom w:val="single" w:sz="4" w:space="0" w:color="auto"/>
              <w:right w:val="single" w:sz="4" w:space="0" w:color="auto"/>
            </w:tcBorders>
            <w:vAlign w:val="center"/>
            <w:hideMark/>
          </w:tcPr>
          <w:p w14:paraId="68729D31" w14:textId="59696D19" w:rsidR="009E31B0" w:rsidRPr="00495D84" w:rsidRDefault="001825EA" w:rsidP="00546341">
            <w:pPr>
              <w:pStyle w:val="TAL"/>
              <w:jc w:val="center"/>
            </w:pPr>
            <w:r>
              <w:t>1</w:t>
            </w:r>
          </w:p>
        </w:tc>
      </w:tr>
      <w:tr w:rsidR="009E31B0" w:rsidRPr="00495D84" w14:paraId="0606EC5D" w14:textId="015DE6F9" w:rsidTr="00403DF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4880381" w14:textId="77777777" w:rsidR="009E31B0" w:rsidRPr="00495D84" w:rsidRDefault="009E31B0" w:rsidP="009E31B0">
            <w:pPr>
              <w:pStyle w:val="TAL"/>
            </w:pPr>
            <w:r w:rsidRPr="00495D84">
              <w:t>CSI-RS</w:t>
            </w:r>
            <w:r>
              <w:t xml:space="preserve"> </w:t>
            </w:r>
            <w:r w:rsidRPr="00495D84">
              <w:t>periodicity</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FB47A7" w14:textId="77777777" w:rsidR="009E31B0" w:rsidRPr="00495D84" w:rsidRDefault="009E31B0" w:rsidP="009E31B0">
            <w:pPr>
              <w:pStyle w:val="TAL"/>
            </w:pPr>
            <w:r w:rsidRPr="00495D84">
              <w:t>slots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F898B3" w14:textId="4DDBE53E" w:rsidR="009E31B0" w:rsidRPr="00495D84" w:rsidRDefault="009E31B0" w:rsidP="009E31B0">
            <w:pPr>
              <w:pStyle w:val="TAL"/>
            </w:pPr>
            <w:r w:rsidRPr="00495D84">
              <w:t>20</w:t>
            </w:r>
            <w:r>
              <w:t xml:space="preserve"> </w:t>
            </w:r>
          </w:p>
        </w:tc>
        <w:tc>
          <w:tcPr>
            <w:tcW w:w="2976" w:type="dxa"/>
            <w:tcBorders>
              <w:top w:val="single" w:sz="4" w:space="0" w:color="auto"/>
              <w:left w:val="single" w:sz="4" w:space="0" w:color="auto"/>
              <w:bottom w:val="single" w:sz="4" w:space="0" w:color="auto"/>
              <w:right w:val="single" w:sz="4" w:space="0" w:color="auto"/>
            </w:tcBorders>
            <w:vAlign w:val="center"/>
          </w:tcPr>
          <w:p w14:paraId="0A729D2D" w14:textId="159D605A" w:rsidR="009E31B0" w:rsidRPr="00495D84" w:rsidRDefault="002D6A1F" w:rsidP="009E31B0">
            <w:pPr>
              <w:pStyle w:val="TAL"/>
            </w:pPr>
            <w:r>
              <w:t>4</w:t>
            </w:r>
            <w:r w:rsidR="009E31B0" w:rsidRPr="00495D84">
              <w:t>0</w:t>
            </w:r>
            <w:r w:rsidR="009E31B0">
              <w:t xml:space="preserve"> </w:t>
            </w:r>
          </w:p>
        </w:tc>
      </w:tr>
      <w:tr w:rsidR="009E31B0" w:rsidRPr="00495D84" w14:paraId="36A7012C" w14:textId="78DA07DE" w:rsidTr="00403DF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2A65D63" w14:textId="77777777" w:rsidR="009E31B0" w:rsidRPr="00495D84" w:rsidRDefault="009E31B0" w:rsidP="009E31B0">
            <w:pPr>
              <w:pStyle w:val="TAL"/>
            </w:pPr>
            <w:r w:rsidRPr="00495D84">
              <w:t>CSI-RS</w:t>
            </w:r>
            <w:r>
              <w:t xml:space="preserve"> </w:t>
            </w:r>
            <w:r w:rsidRPr="00495D84">
              <w:t>offset</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59823E" w14:textId="77777777" w:rsidR="009E31B0" w:rsidRPr="00495D84" w:rsidRDefault="009E31B0" w:rsidP="009E31B0">
            <w:pPr>
              <w:pStyle w:val="TAL"/>
            </w:pPr>
            <w:r w:rsidRPr="00495D84">
              <w:t>slots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E67837" w14:textId="1EE96DBA" w:rsidR="009E31B0" w:rsidRPr="00495D84" w:rsidRDefault="001825EA" w:rsidP="009E31B0">
            <w:pPr>
              <w:pStyle w:val="TAL"/>
            </w:pPr>
            <w:r w:rsidRPr="00495D84">
              <w:t>10</w:t>
            </w:r>
            <w:r w:rsidR="00C44045">
              <w:rPr>
                <w:lang w:val="en-DK"/>
              </w:rPr>
              <w:t xml:space="preserve"> </w:t>
            </w:r>
            <w:r>
              <w:t>for TRS resources 1,2,5,6</w:t>
            </w:r>
          </w:p>
          <w:p w14:paraId="439E9AD7" w14:textId="483F3E0A" w:rsidR="009E31B0" w:rsidRPr="00495D84" w:rsidRDefault="001825EA" w:rsidP="009E31B0">
            <w:pPr>
              <w:pStyle w:val="TAL"/>
            </w:pPr>
            <w:r w:rsidRPr="00495D84">
              <w:t>11</w:t>
            </w:r>
            <w:r>
              <w:t xml:space="preserve"> for TRS resources 3,4,7,8</w:t>
            </w:r>
          </w:p>
        </w:tc>
        <w:tc>
          <w:tcPr>
            <w:tcW w:w="2976" w:type="dxa"/>
            <w:tcBorders>
              <w:top w:val="single" w:sz="4" w:space="0" w:color="auto"/>
              <w:left w:val="single" w:sz="4" w:space="0" w:color="auto"/>
              <w:bottom w:val="single" w:sz="4" w:space="0" w:color="auto"/>
              <w:right w:val="single" w:sz="4" w:space="0" w:color="auto"/>
            </w:tcBorders>
            <w:vAlign w:val="center"/>
          </w:tcPr>
          <w:p w14:paraId="1F4077AE" w14:textId="01A9259D" w:rsidR="009E31B0" w:rsidRPr="00495D84" w:rsidRDefault="001825EA" w:rsidP="009E31B0">
            <w:pPr>
              <w:pStyle w:val="TAL"/>
            </w:pPr>
            <w:r>
              <w:t>2</w:t>
            </w:r>
            <w:r w:rsidRPr="00495D84">
              <w:t>0</w:t>
            </w:r>
            <w:r>
              <w:t xml:space="preserve"> for TRS resources 1,2,5,6</w:t>
            </w:r>
          </w:p>
          <w:p w14:paraId="5F6CBB52" w14:textId="5EFB08A8" w:rsidR="009E31B0" w:rsidRPr="00495D84" w:rsidRDefault="001825EA" w:rsidP="009E31B0">
            <w:pPr>
              <w:pStyle w:val="TAL"/>
            </w:pPr>
            <w:r>
              <w:t>2</w:t>
            </w:r>
            <w:r w:rsidRPr="00495D84">
              <w:t>1</w:t>
            </w:r>
            <w:r>
              <w:t xml:space="preserve"> for TRS resources 3,4,7,8</w:t>
            </w:r>
          </w:p>
        </w:tc>
      </w:tr>
      <w:tr w:rsidR="001825EA" w:rsidRPr="00495D84" w14:paraId="77D6C8C3" w14:textId="77777777" w:rsidTr="00F130C8">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tcPr>
          <w:p w14:paraId="7A8FC072" w14:textId="31347ED5" w:rsidR="001825EA" w:rsidRPr="001825EA" w:rsidRDefault="001825EA" w:rsidP="001825EA">
            <w:pPr>
              <w:pStyle w:val="TAL"/>
            </w:pPr>
            <w:r>
              <w:t xml:space="preserve">Note 1: row value from TS38.211 </w:t>
            </w:r>
            <w:r w:rsidRPr="001825EA">
              <w:t>Table 7.4.1.5.3-1</w:t>
            </w:r>
            <w:r>
              <w:t xml:space="preserve"> defines density, CDM Type and number of ports, etc.</w:t>
            </w:r>
          </w:p>
        </w:tc>
      </w:tr>
    </w:tbl>
    <w:p w14:paraId="7DEC6984" w14:textId="0BEC21C4" w:rsidR="008503E3" w:rsidRPr="008503E3" w:rsidRDefault="008503E3" w:rsidP="00F130C8">
      <w:pPr>
        <w:rPr>
          <w:lang w:val="en-US"/>
        </w:rPr>
      </w:pPr>
    </w:p>
    <w:p w14:paraId="4959484F" w14:textId="05FFC68F" w:rsidR="00D41F5E" w:rsidRPr="00D41F5E" w:rsidRDefault="00D41F5E" w:rsidP="00F130C8">
      <w:pPr>
        <w:rPr>
          <w:lang w:val="en-US"/>
        </w:rPr>
      </w:pPr>
    </w:p>
    <w:p w14:paraId="09B2B113" w14:textId="53767556" w:rsidR="002C7F2C" w:rsidRDefault="007C42E5" w:rsidP="00381608">
      <w:pPr>
        <w:rPr>
          <w:lang w:val="en-US"/>
        </w:rPr>
      </w:pPr>
      <w:r>
        <w:rPr>
          <w:lang w:val="en-US"/>
        </w:rPr>
        <w:t xml:space="preserve">From the </w:t>
      </w:r>
      <w:r w:rsidR="00707372">
        <w:rPr>
          <w:lang w:val="en-US"/>
        </w:rPr>
        <w:t xml:space="preserve">simulation setup discussed in the previous RAN4 meeting, it is not completely clear whether the offset error to be measured is constant or a </w:t>
      </w:r>
      <w:r w:rsidR="00B37B76">
        <w:rPr>
          <w:lang w:val="en-US"/>
        </w:rPr>
        <w:t xml:space="preserve">random variable from 0 to the </w:t>
      </w:r>
      <w:r w:rsidR="00822705">
        <w:rPr>
          <w:lang w:val="en-US"/>
        </w:rPr>
        <w:t>maximum</w:t>
      </w:r>
      <w:r w:rsidR="00B37B76">
        <w:rPr>
          <w:lang w:val="en-US"/>
        </w:rPr>
        <w:t xml:space="preserve"> offset. </w:t>
      </w:r>
      <w:r w:rsidR="00E6062B">
        <w:rPr>
          <w:lang w:val="en-US"/>
        </w:rPr>
        <w:t xml:space="preserve">For the </w:t>
      </w:r>
      <w:r w:rsidR="00D946C2">
        <w:rPr>
          <w:lang w:val="en-US"/>
        </w:rPr>
        <w:t xml:space="preserve">CFO, TO, and PO </w:t>
      </w:r>
      <w:r w:rsidR="00E6062B">
        <w:rPr>
          <w:lang w:val="en-US"/>
        </w:rPr>
        <w:t>test</w:t>
      </w:r>
      <w:r w:rsidR="00D946C2">
        <w:rPr>
          <w:lang w:val="en-US"/>
        </w:rPr>
        <w:t>s</w:t>
      </w:r>
      <w:r w:rsidR="00E6062B">
        <w:rPr>
          <w:lang w:val="en-US"/>
        </w:rPr>
        <w:t xml:space="preserve"> to be representative across different </w:t>
      </w:r>
      <w:r w:rsidR="00D946C2">
        <w:rPr>
          <w:lang w:val="en-US"/>
        </w:rPr>
        <w:t>value</w:t>
      </w:r>
      <w:r w:rsidR="00DA12A9">
        <w:rPr>
          <w:lang w:val="en-US"/>
        </w:rPr>
        <w:t>s</w:t>
      </w:r>
      <w:r w:rsidR="000A1DAB">
        <w:rPr>
          <w:lang w:val="en-US"/>
        </w:rPr>
        <w:t xml:space="preserve"> of </w:t>
      </w:r>
      <w:r w:rsidR="00E71C1B">
        <w:rPr>
          <w:lang w:val="en-US"/>
        </w:rPr>
        <w:t xml:space="preserve">offset measurements and </w:t>
      </w:r>
      <w:r w:rsidR="00E13486">
        <w:rPr>
          <w:lang w:val="en-US"/>
        </w:rPr>
        <w:t xml:space="preserve">reported </w:t>
      </w:r>
      <w:r w:rsidR="00C40679">
        <w:rPr>
          <w:lang w:val="en-US"/>
        </w:rPr>
        <w:t xml:space="preserve">calibration </w:t>
      </w:r>
      <w:r w:rsidR="00C14244">
        <w:rPr>
          <w:lang w:val="en-US"/>
        </w:rPr>
        <w:t>values</w:t>
      </w:r>
      <w:r w:rsidR="006C18AF">
        <w:rPr>
          <w:lang w:val="en-US"/>
        </w:rPr>
        <w:t xml:space="preserve">, these should be </w:t>
      </w:r>
      <w:r w:rsidR="00822705">
        <w:rPr>
          <w:lang w:val="en-US"/>
        </w:rPr>
        <w:t>randomly</w:t>
      </w:r>
      <w:r w:rsidR="006C18AF">
        <w:rPr>
          <w:lang w:val="en-US"/>
        </w:rPr>
        <w:t xml:space="preserve"> distributed across the </w:t>
      </w:r>
      <w:r w:rsidR="00822705">
        <w:rPr>
          <w:lang w:val="en-US"/>
        </w:rPr>
        <w:t>range of simulated values</w:t>
      </w:r>
      <w:r w:rsidR="002C7F2C">
        <w:rPr>
          <w:lang w:val="en-US"/>
        </w:rPr>
        <w:t>:</w:t>
      </w:r>
    </w:p>
    <w:p w14:paraId="1F377AAF" w14:textId="77777777" w:rsidR="00A11588" w:rsidRPr="00822705" w:rsidRDefault="00A11588" w:rsidP="005239C1">
      <w:pPr>
        <w:rPr>
          <w:lang w:val="en-US"/>
        </w:rPr>
      </w:pPr>
    </w:p>
    <w:p w14:paraId="7BC8A9BD" w14:textId="28B700EC" w:rsidR="002A4710" w:rsidRDefault="00562577" w:rsidP="00A86A29">
      <w:pPr>
        <w:pStyle w:val="RAN4proposal"/>
        <w:rPr>
          <w:lang w:val="en-US"/>
        </w:rPr>
      </w:pPr>
      <w:bookmarkStart w:id="28" w:name="_Toc189862132"/>
      <w:r>
        <w:rPr>
          <w:lang w:val="en-US"/>
        </w:rPr>
        <w:t>Clarify CFO, TO, and PO in the simulation assumption, and define it as:</w:t>
      </w:r>
      <w:bookmarkEnd w:id="28"/>
    </w:p>
    <w:p w14:paraId="2D3A6F8A" w14:textId="342A34CB" w:rsidR="00562577" w:rsidRDefault="00562577" w:rsidP="00822705">
      <w:pPr>
        <w:pStyle w:val="RAN4proposal"/>
        <w:numPr>
          <w:ilvl w:val="1"/>
          <w:numId w:val="3"/>
        </w:numPr>
        <w:rPr>
          <w:lang w:val="en-US"/>
        </w:rPr>
      </w:pPr>
      <w:bookmarkStart w:id="29" w:name="_Toc189862133"/>
      <w:r>
        <w:rPr>
          <w:lang w:val="en-US"/>
        </w:rPr>
        <w:t xml:space="preserve">CFO error per TRP </w:t>
      </w:r>
      <w:r w:rsidR="00C53394">
        <w:rPr>
          <w:lang w:val="en-US"/>
        </w:rPr>
        <w:t>(CFO</w:t>
      </w:r>
      <w:r w:rsidR="00C53394" w:rsidRPr="00822705">
        <w:rPr>
          <w:vertAlign w:val="subscript"/>
          <w:lang w:val="en-US"/>
        </w:rPr>
        <w:t>1</w:t>
      </w:r>
      <w:r w:rsidR="00C53394">
        <w:rPr>
          <w:lang w:val="en-US"/>
        </w:rPr>
        <w:t xml:space="preserve"> and </w:t>
      </w:r>
      <w:r w:rsidR="000F482B">
        <w:rPr>
          <w:lang w:val="en-US"/>
        </w:rPr>
        <w:t>CFO</w:t>
      </w:r>
      <w:r w:rsidR="000F482B" w:rsidRPr="00822705">
        <w:rPr>
          <w:vertAlign w:val="subscript"/>
          <w:lang w:val="en-US"/>
        </w:rPr>
        <w:t>2</w:t>
      </w:r>
      <w:r w:rsidR="00C53394">
        <w:rPr>
          <w:lang w:val="en-US"/>
        </w:rPr>
        <w:t>)</w:t>
      </w:r>
      <w:r>
        <w:rPr>
          <w:lang w:val="en-US"/>
        </w:rPr>
        <w:t xml:space="preserve"> </w:t>
      </w:r>
      <w:r>
        <w:rPr>
          <w:lang w:val="en-US"/>
        </w:rPr>
        <w:t>should be randomly chosen from the range [-0.5A ppm; 0.5A ppm]</w:t>
      </w:r>
      <w:r w:rsidR="00FE34A0">
        <w:rPr>
          <w:lang w:val="en-US"/>
        </w:rPr>
        <w:t xml:space="preserve"> </w:t>
      </w:r>
      <w:r w:rsidR="000F482B">
        <w:rPr>
          <w:lang w:val="en-US"/>
        </w:rPr>
        <w:t xml:space="preserve">such that </w:t>
      </w:r>
      <w:r w:rsidR="00336830">
        <w:rPr>
          <w:lang w:val="en-US"/>
        </w:rPr>
        <w:t>|CFO</w:t>
      </w:r>
      <w:r w:rsidR="00336830" w:rsidRPr="005C7E60">
        <w:rPr>
          <w:vertAlign w:val="subscript"/>
          <w:lang w:val="en-US"/>
        </w:rPr>
        <w:t>1</w:t>
      </w:r>
      <w:r w:rsidR="00336830">
        <w:rPr>
          <w:lang w:val="en-US"/>
        </w:rPr>
        <w:t xml:space="preserve"> - CFO</w:t>
      </w:r>
      <w:r w:rsidR="00336830" w:rsidRPr="005C7E60">
        <w:rPr>
          <w:vertAlign w:val="subscript"/>
          <w:lang w:val="en-US"/>
        </w:rPr>
        <w:t>2</w:t>
      </w:r>
      <w:r w:rsidR="00336830">
        <w:rPr>
          <w:lang w:val="en-US"/>
        </w:rPr>
        <w:t>|</w:t>
      </w:r>
      <w:r w:rsidR="00904427">
        <w:rPr>
          <w:lang w:val="en-US"/>
        </w:rPr>
        <w:t xml:space="preserve"> </w:t>
      </w:r>
      <w:r w:rsidR="004A162C">
        <w:rPr>
          <w:lang w:val="en-US"/>
        </w:rPr>
        <w:t xml:space="preserve">is </w:t>
      </w:r>
      <w:r w:rsidR="000D11B9">
        <w:rPr>
          <w:lang w:val="en-US"/>
        </w:rPr>
        <w:t>uniformly</w:t>
      </w:r>
      <w:r w:rsidR="000D11B9">
        <w:rPr>
          <w:lang w:val="en-US"/>
        </w:rPr>
        <w:t xml:space="preserve"> </w:t>
      </w:r>
      <w:r w:rsidR="004A162C">
        <w:rPr>
          <w:lang w:val="en-US"/>
        </w:rPr>
        <w:t xml:space="preserve">distributed </w:t>
      </w:r>
      <w:r w:rsidR="00544E71">
        <w:rPr>
          <w:lang w:val="en-US"/>
        </w:rPr>
        <w:t>in [0; A ppm]</w:t>
      </w:r>
      <w:bookmarkEnd w:id="29"/>
    </w:p>
    <w:p w14:paraId="35D5DC79" w14:textId="7031A2B9" w:rsidR="00562577" w:rsidRDefault="002177AD" w:rsidP="00A86A29">
      <w:pPr>
        <w:pStyle w:val="RAN4proposal"/>
        <w:numPr>
          <w:ilvl w:val="1"/>
          <w:numId w:val="3"/>
        </w:numPr>
        <w:rPr>
          <w:lang w:val="en-US"/>
        </w:rPr>
      </w:pPr>
      <w:bookmarkStart w:id="30" w:name="_Toc189862134"/>
      <w:r>
        <w:rPr>
          <w:lang w:val="en-US"/>
        </w:rPr>
        <w:t xml:space="preserve">TO error per TRP </w:t>
      </w:r>
      <w:r w:rsidR="00544E71">
        <w:rPr>
          <w:lang w:val="en-US"/>
        </w:rPr>
        <w:t>(TO</w:t>
      </w:r>
      <w:r w:rsidR="00544E71" w:rsidRPr="005C7E60">
        <w:rPr>
          <w:vertAlign w:val="subscript"/>
          <w:lang w:val="en-US"/>
        </w:rPr>
        <w:t>1</w:t>
      </w:r>
      <w:r w:rsidR="00544E71">
        <w:rPr>
          <w:lang w:val="en-US"/>
        </w:rPr>
        <w:t xml:space="preserve"> and TO</w:t>
      </w:r>
      <w:r w:rsidR="00544E71" w:rsidRPr="005C7E60">
        <w:rPr>
          <w:vertAlign w:val="subscript"/>
          <w:lang w:val="en-US"/>
        </w:rPr>
        <w:t>2</w:t>
      </w:r>
      <w:r w:rsidR="00544E71">
        <w:rPr>
          <w:lang w:val="en-US"/>
        </w:rPr>
        <w:t xml:space="preserve">) </w:t>
      </w:r>
      <w:r>
        <w:rPr>
          <w:lang w:val="en-US"/>
        </w:rPr>
        <w:t xml:space="preserve">should be </w:t>
      </w:r>
      <w:r>
        <w:rPr>
          <w:lang w:val="en-US"/>
        </w:rPr>
        <w:t>randomly chosen from the range</w:t>
      </w:r>
      <w:r w:rsidR="00562577">
        <w:rPr>
          <w:lang w:val="en-US"/>
        </w:rPr>
        <w:t xml:space="preserve"> [</w:t>
      </w:r>
      <w:r w:rsidR="0062543E">
        <w:rPr>
          <w:lang w:val="en-US"/>
        </w:rPr>
        <w:t>-0,5 B CP</w:t>
      </w:r>
      <w:r w:rsidR="00562577">
        <w:rPr>
          <w:lang w:val="en-US"/>
        </w:rPr>
        <w:t>;</w:t>
      </w:r>
      <w:r w:rsidR="00E27E8F">
        <w:rPr>
          <w:lang w:val="en-US"/>
        </w:rPr>
        <w:t xml:space="preserve"> 0</w:t>
      </w:r>
      <w:r w:rsidR="00F76D64">
        <w:rPr>
          <w:lang w:val="en-US"/>
        </w:rPr>
        <w:t>,5</w:t>
      </w:r>
      <w:r w:rsidR="00B05762">
        <w:rPr>
          <w:lang w:val="en-US"/>
        </w:rPr>
        <w:t xml:space="preserve"> </w:t>
      </w:r>
      <w:r w:rsidR="0062543E">
        <w:rPr>
          <w:lang w:val="en-US"/>
        </w:rPr>
        <w:t xml:space="preserve">B </w:t>
      </w:r>
      <w:r w:rsidR="00B05762">
        <w:rPr>
          <w:lang w:val="en-US"/>
        </w:rPr>
        <w:t>CP</w:t>
      </w:r>
      <w:r w:rsidR="00562577">
        <w:rPr>
          <w:lang w:val="en-US"/>
        </w:rPr>
        <w:t>]</w:t>
      </w:r>
      <w:r w:rsidR="00F83256">
        <w:rPr>
          <w:lang w:val="en-US"/>
        </w:rPr>
        <w:t xml:space="preserve"> such that |TO</w:t>
      </w:r>
      <w:r w:rsidR="00F83256" w:rsidRPr="005C7E60">
        <w:rPr>
          <w:vertAlign w:val="subscript"/>
          <w:lang w:val="en-US"/>
        </w:rPr>
        <w:t>1</w:t>
      </w:r>
      <w:r w:rsidR="00F83256">
        <w:rPr>
          <w:lang w:val="en-US"/>
        </w:rPr>
        <w:t xml:space="preserve"> - TO</w:t>
      </w:r>
      <w:r w:rsidR="00F83256" w:rsidRPr="005C7E60">
        <w:rPr>
          <w:vertAlign w:val="subscript"/>
          <w:lang w:val="en-US"/>
        </w:rPr>
        <w:t>2</w:t>
      </w:r>
      <w:r w:rsidR="00F83256">
        <w:rPr>
          <w:lang w:val="en-US"/>
        </w:rPr>
        <w:t xml:space="preserve">| is </w:t>
      </w:r>
      <w:r w:rsidR="000D11B9">
        <w:rPr>
          <w:lang w:val="en-US"/>
        </w:rPr>
        <w:t>uniformly</w:t>
      </w:r>
      <w:r w:rsidR="000D11B9" w:rsidDel="000D11B9">
        <w:rPr>
          <w:lang w:val="en-US"/>
        </w:rPr>
        <w:t xml:space="preserve"> </w:t>
      </w:r>
      <w:r w:rsidR="00F83256">
        <w:rPr>
          <w:lang w:val="en-US"/>
        </w:rPr>
        <w:t xml:space="preserve">distributed in [0; </w:t>
      </w:r>
      <w:r w:rsidR="0062543E">
        <w:rPr>
          <w:lang w:val="en-US"/>
        </w:rPr>
        <w:t xml:space="preserve">B </w:t>
      </w:r>
      <w:r w:rsidR="00B05762">
        <w:rPr>
          <w:lang w:val="en-US"/>
        </w:rPr>
        <w:t>CP</w:t>
      </w:r>
      <w:r w:rsidR="00F83256">
        <w:rPr>
          <w:lang w:val="en-US"/>
        </w:rPr>
        <w:t>]</w:t>
      </w:r>
      <w:bookmarkEnd w:id="30"/>
      <w:r w:rsidR="00B05762">
        <w:rPr>
          <w:lang w:val="en-US"/>
        </w:rPr>
        <w:t xml:space="preserve"> </w:t>
      </w:r>
    </w:p>
    <w:p w14:paraId="49E38DE9" w14:textId="7CB862C7" w:rsidR="002177AD" w:rsidRPr="00FC2015" w:rsidRDefault="004564E1" w:rsidP="0062543E">
      <w:pPr>
        <w:pStyle w:val="RAN4proposal"/>
        <w:numPr>
          <w:ilvl w:val="1"/>
          <w:numId w:val="3"/>
        </w:numPr>
        <w:rPr>
          <w:lang w:val="en-US"/>
        </w:rPr>
      </w:pPr>
      <w:bookmarkStart w:id="31" w:name="_Toc189862135"/>
      <w:r>
        <w:rPr>
          <w:lang w:val="en-US"/>
        </w:rPr>
        <w:t>P</w:t>
      </w:r>
      <w:r w:rsidR="002177AD">
        <w:rPr>
          <w:lang w:val="en-US"/>
        </w:rPr>
        <w:t xml:space="preserve">O error per TRP </w:t>
      </w:r>
      <w:r w:rsidR="00F83256" w:rsidRPr="00F83256">
        <w:rPr>
          <w:lang w:val="en-US"/>
        </w:rPr>
        <w:t>(PO</w:t>
      </w:r>
      <w:r w:rsidR="00F83256" w:rsidRPr="00F83256">
        <w:rPr>
          <w:vertAlign w:val="subscript"/>
          <w:lang w:val="en-US"/>
        </w:rPr>
        <w:t>1</w:t>
      </w:r>
      <w:r w:rsidR="00F83256" w:rsidRPr="00F83256">
        <w:rPr>
          <w:lang w:val="en-US"/>
        </w:rPr>
        <w:t xml:space="preserve"> and PO</w:t>
      </w:r>
      <w:r w:rsidR="00F83256" w:rsidRPr="00F83256">
        <w:rPr>
          <w:vertAlign w:val="subscript"/>
          <w:lang w:val="en-US"/>
        </w:rPr>
        <w:t>2</w:t>
      </w:r>
      <w:r w:rsidR="00F83256" w:rsidRPr="00F83256">
        <w:rPr>
          <w:lang w:val="en-US"/>
        </w:rPr>
        <w:t>)</w:t>
      </w:r>
      <w:r w:rsidR="002177AD" w:rsidRPr="00F83256">
        <w:rPr>
          <w:lang w:val="en-US"/>
        </w:rPr>
        <w:t xml:space="preserve"> </w:t>
      </w:r>
      <w:r w:rsidR="002177AD">
        <w:rPr>
          <w:lang w:val="en-US"/>
        </w:rPr>
        <w:t>should be randomly chosen from the range [</w:t>
      </w:r>
      <w:r w:rsidR="009E1AC9">
        <w:rPr>
          <w:lang w:val="en-US"/>
        </w:rPr>
        <w:t>-</w:t>
      </w:r>
      <w:proofErr w:type="gramStart"/>
      <w:r w:rsidR="005F6675">
        <w:rPr>
          <w:lang w:val="en-US"/>
        </w:rPr>
        <w:t>π</w:t>
      </w:r>
      <w:r w:rsidR="002177AD">
        <w:rPr>
          <w:lang w:val="en-US"/>
        </w:rPr>
        <w:t xml:space="preserve">; </w:t>
      </w:r>
      <w:r w:rsidR="00D55C82" w:rsidRPr="00D55C82">
        <w:rPr>
          <w:lang w:val="en-US"/>
        </w:rPr>
        <w:t xml:space="preserve"> </w:t>
      </w:r>
      <w:r w:rsidR="00D55C82">
        <w:rPr>
          <w:lang w:val="en-US"/>
        </w:rPr>
        <w:t>π</w:t>
      </w:r>
      <w:proofErr w:type="gramEnd"/>
      <w:r w:rsidR="002177AD">
        <w:rPr>
          <w:lang w:val="en-US"/>
        </w:rPr>
        <w:t>]</w:t>
      </w:r>
      <w:r w:rsidR="00F83256" w:rsidRPr="00F83256">
        <w:rPr>
          <w:lang w:val="en-US"/>
        </w:rPr>
        <w:t xml:space="preserve"> such that |PO</w:t>
      </w:r>
      <w:r w:rsidR="00F83256" w:rsidRPr="00F83256">
        <w:rPr>
          <w:vertAlign w:val="subscript"/>
          <w:lang w:val="en-US"/>
        </w:rPr>
        <w:t>1</w:t>
      </w:r>
      <w:r w:rsidR="00F83256" w:rsidRPr="00F83256">
        <w:rPr>
          <w:lang w:val="en-US"/>
        </w:rPr>
        <w:t xml:space="preserve"> - PO</w:t>
      </w:r>
      <w:r w:rsidR="00F83256" w:rsidRPr="00F83256">
        <w:rPr>
          <w:vertAlign w:val="subscript"/>
          <w:lang w:val="en-US"/>
        </w:rPr>
        <w:t>2</w:t>
      </w:r>
      <w:r w:rsidR="00F83256" w:rsidRPr="00F83256">
        <w:rPr>
          <w:lang w:val="en-US"/>
        </w:rPr>
        <w:t xml:space="preserve">| is </w:t>
      </w:r>
      <w:r w:rsidR="000D11B9">
        <w:rPr>
          <w:lang w:val="en-US"/>
        </w:rPr>
        <w:t>uniformly</w:t>
      </w:r>
      <w:r w:rsidR="000D11B9" w:rsidDel="000D11B9">
        <w:rPr>
          <w:lang w:val="en-US"/>
        </w:rPr>
        <w:t xml:space="preserve"> </w:t>
      </w:r>
      <w:r w:rsidR="00F83256" w:rsidRPr="00F83256">
        <w:rPr>
          <w:lang w:val="en-US"/>
        </w:rPr>
        <w:t>distributed in [-π;  π]</w:t>
      </w:r>
      <w:bookmarkEnd w:id="31"/>
    </w:p>
    <w:p w14:paraId="4FE39663" w14:textId="77777777" w:rsidR="00562577" w:rsidRPr="00562577" w:rsidRDefault="00562577" w:rsidP="002B0598">
      <w:pPr>
        <w:rPr>
          <w:lang w:val="en-US"/>
        </w:rPr>
      </w:pPr>
    </w:p>
    <w:p w14:paraId="2459D947" w14:textId="77777777" w:rsidR="00562577" w:rsidRPr="00562577" w:rsidRDefault="00562577" w:rsidP="00562577">
      <w:pPr>
        <w:rPr>
          <w:lang w:val="en-US"/>
        </w:rPr>
      </w:pPr>
    </w:p>
    <w:p w14:paraId="638895B5" w14:textId="77777777" w:rsidR="0052210F" w:rsidRDefault="0052210F" w:rsidP="002A4710">
      <w:pPr>
        <w:rPr>
          <w:lang w:val="en-US"/>
        </w:rPr>
      </w:pPr>
    </w:p>
    <w:p w14:paraId="016DBB23" w14:textId="0E391721" w:rsidR="002A4710" w:rsidRDefault="002A4710" w:rsidP="00007E73">
      <w:pPr>
        <w:pStyle w:val="RAN4H2"/>
        <w:rPr>
          <w:lang w:val="en-US"/>
        </w:rPr>
      </w:pPr>
      <w:r>
        <w:rPr>
          <w:lang w:val="en-US"/>
        </w:rPr>
        <w:t>Phase requirements</w:t>
      </w:r>
    </w:p>
    <w:p w14:paraId="7399D963" w14:textId="77777777" w:rsidR="00965658" w:rsidRPr="00742781" w:rsidRDefault="00965658" w:rsidP="00965658"/>
    <w:p w14:paraId="6AEAA4E1" w14:textId="77777777" w:rsidR="007F25C9" w:rsidRPr="007F25C9" w:rsidRDefault="007F25C9" w:rsidP="007F25C9">
      <w:pPr>
        <w:spacing w:after="160" w:line="259" w:lineRule="auto"/>
        <w:jc w:val="both"/>
        <w:rPr>
          <w:rFonts w:eastAsia="SimSun"/>
          <w:sz w:val="20"/>
          <w:szCs w:val="20"/>
          <w:lang w:eastAsia="en-US"/>
        </w:rPr>
      </w:pPr>
      <w:r w:rsidRPr="007F25C9">
        <w:rPr>
          <w:rFonts w:eastAsia="SimSun"/>
          <w:sz w:val="20"/>
          <w:szCs w:val="20"/>
          <w:lang w:eastAsia="en-US"/>
        </w:rPr>
        <w:t>For phase offset reporting, time-averaging phase offset measurements over multiple transmission occasions may improve robustness against measurement noise and can be used to test performance requirements in RAN4. In a network implementation where a one-port CSI-RS resource for CSI is not MRT-</w:t>
      </w:r>
      <w:proofErr w:type="spellStart"/>
      <w:r w:rsidRPr="007F25C9">
        <w:rPr>
          <w:rFonts w:eastAsia="SimSun"/>
          <w:sz w:val="20"/>
          <w:szCs w:val="20"/>
          <w:lang w:eastAsia="en-US"/>
        </w:rPr>
        <w:t>precoded</w:t>
      </w:r>
      <w:proofErr w:type="spellEnd"/>
      <w:r w:rsidRPr="007F25C9">
        <w:rPr>
          <w:rFonts w:eastAsia="SimSun"/>
          <w:sz w:val="20"/>
          <w:szCs w:val="20"/>
          <w:lang w:eastAsia="en-US"/>
        </w:rPr>
        <w:t xml:space="preserve">, the </w:t>
      </w:r>
      <w:proofErr w:type="spellStart"/>
      <w:r w:rsidRPr="007F25C9">
        <w:rPr>
          <w:rFonts w:eastAsia="SimSun"/>
          <w:sz w:val="20"/>
          <w:szCs w:val="20"/>
          <w:lang w:eastAsia="en-US"/>
        </w:rPr>
        <w:t>gNB</w:t>
      </w:r>
      <w:proofErr w:type="spellEnd"/>
      <w:r w:rsidRPr="007F25C9">
        <w:rPr>
          <w:rFonts w:eastAsia="SimSun"/>
          <w:sz w:val="20"/>
          <w:szCs w:val="20"/>
          <w:lang w:eastAsia="en-US"/>
        </w:rPr>
        <w:t xml:space="preserve"> may need to align its phase offset measurement on SRS with the phase offset reported by a UE. In case of time-averaging, the CSI-RS transmission occasions need to be paired with corresponding SRS transmissions and the number of measurements included in the time-averaging performed by a UE needs to correspond to the number of measurements averaged by the </w:t>
      </w:r>
      <w:proofErr w:type="spellStart"/>
      <w:r w:rsidRPr="007F25C9">
        <w:rPr>
          <w:rFonts w:eastAsia="SimSun"/>
          <w:sz w:val="20"/>
          <w:szCs w:val="20"/>
          <w:lang w:eastAsia="en-US"/>
        </w:rPr>
        <w:t>gNB</w:t>
      </w:r>
      <w:proofErr w:type="spellEnd"/>
      <w:r w:rsidRPr="007F25C9">
        <w:rPr>
          <w:rFonts w:eastAsia="SimSun"/>
          <w:sz w:val="20"/>
          <w:szCs w:val="20"/>
          <w:lang w:eastAsia="en-US"/>
        </w:rPr>
        <w:t xml:space="preserve">. </w:t>
      </w:r>
    </w:p>
    <w:p w14:paraId="46C43C48" w14:textId="369CF294" w:rsidR="007F25C9" w:rsidRPr="007F25C9" w:rsidRDefault="007F25C9" w:rsidP="007F25C9">
      <w:pPr>
        <w:spacing w:after="160" w:line="259" w:lineRule="auto"/>
        <w:jc w:val="both"/>
        <w:rPr>
          <w:rFonts w:eastAsia="SimSun"/>
          <w:sz w:val="20"/>
          <w:szCs w:val="20"/>
          <w:lang w:val="en-US" w:eastAsia="en-US"/>
        </w:rPr>
      </w:pPr>
      <w:r w:rsidRPr="007F25C9">
        <w:rPr>
          <w:rFonts w:eastAsia="SimSun"/>
          <w:sz w:val="20"/>
          <w:szCs w:val="20"/>
          <w:lang w:val="en-US" w:eastAsia="en-US"/>
        </w:rPr>
        <w:t xml:space="preserve">Different mechanisms of time-averaging at the UE and NW side can take place. For instance, one question would be: may we have several PO measurements in time being UE </w:t>
      </w:r>
      <w:proofErr w:type="gramStart"/>
      <w:r w:rsidRPr="007F25C9">
        <w:rPr>
          <w:rFonts w:eastAsia="SimSun"/>
          <w:sz w:val="20"/>
          <w:szCs w:val="20"/>
          <w:lang w:val="en-US" w:eastAsia="en-US"/>
        </w:rPr>
        <w:t>reported</w:t>
      </w:r>
      <w:proofErr w:type="gramEnd"/>
      <w:r w:rsidRPr="007F25C9">
        <w:rPr>
          <w:rFonts w:eastAsia="SimSun"/>
          <w:sz w:val="20"/>
          <w:szCs w:val="20"/>
          <w:lang w:val="en-US" w:eastAsia="en-US"/>
        </w:rPr>
        <w:t xml:space="preserve"> and the time-averaging takes place only in the NW side? In that case, the number of estimations to be sent must be determined and configured in the UE </w:t>
      </w:r>
      <w:proofErr w:type="gramStart"/>
      <w:r w:rsidRPr="007F25C9">
        <w:rPr>
          <w:rFonts w:eastAsia="SimSun"/>
          <w:sz w:val="20"/>
          <w:szCs w:val="20"/>
          <w:lang w:val="en-US" w:eastAsia="en-US"/>
        </w:rPr>
        <w:t>in order to</w:t>
      </w:r>
      <w:proofErr w:type="gramEnd"/>
      <w:r w:rsidRPr="007F25C9">
        <w:rPr>
          <w:rFonts w:eastAsia="SimSun"/>
          <w:sz w:val="20"/>
          <w:szCs w:val="20"/>
          <w:lang w:val="en-US" w:eastAsia="en-US"/>
        </w:rPr>
        <w:t xml:space="preserve"> send these PO estimates toward the NW. However, one disadvantage of this option is the fact that quantization could introduce some </w:t>
      </w:r>
      <w:proofErr w:type="gramStart"/>
      <w:r w:rsidRPr="007F25C9">
        <w:rPr>
          <w:rFonts w:eastAsia="SimSun"/>
          <w:sz w:val="20"/>
          <w:szCs w:val="20"/>
          <w:lang w:val="en-US" w:eastAsia="en-US"/>
        </w:rPr>
        <w:t>error</w:t>
      </w:r>
      <w:proofErr w:type="gramEnd"/>
      <w:r w:rsidRPr="007F25C9">
        <w:rPr>
          <w:rFonts w:eastAsia="SimSun"/>
          <w:sz w:val="20"/>
          <w:szCs w:val="20"/>
          <w:lang w:val="en-US" w:eastAsia="en-US"/>
        </w:rPr>
        <w:t xml:space="preserve"> and it requires more bit overhead than a single time CJT calibration report. Alternatively, these measurements could be instead buffered in the UE and the NW for respective DL and UL estimates </w:t>
      </w:r>
      <w:proofErr w:type="gramStart"/>
      <w:r w:rsidRPr="007F25C9">
        <w:rPr>
          <w:rFonts w:eastAsia="SimSun"/>
          <w:sz w:val="20"/>
          <w:szCs w:val="20"/>
          <w:lang w:val="en-US" w:eastAsia="en-US"/>
        </w:rPr>
        <w:t>in order to</w:t>
      </w:r>
      <w:proofErr w:type="gramEnd"/>
      <w:r w:rsidRPr="007F25C9">
        <w:rPr>
          <w:rFonts w:eastAsia="SimSun"/>
          <w:sz w:val="20"/>
          <w:szCs w:val="20"/>
          <w:lang w:val="en-US" w:eastAsia="en-US"/>
        </w:rPr>
        <w:t xml:space="preserve"> exchange a single CJT PO estimate of an averaged value in the UE. As depicted in</w:t>
      </w:r>
      <w:r w:rsidR="00195D47">
        <w:rPr>
          <w:rFonts w:eastAsia="SimSun"/>
          <w:sz w:val="20"/>
          <w:szCs w:val="20"/>
          <w:lang w:val="en-US" w:eastAsia="en-US"/>
        </w:rPr>
        <w:t xml:space="preserve"> </w:t>
      </w:r>
      <w:r w:rsidR="00195D47">
        <w:rPr>
          <w:rFonts w:eastAsia="SimSun"/>
          <w:sz w:val="20"/>
          <w:szCs w:val="20"/>
          <w:lang w:val="en-US" w:eastAsia="en-US"/>
        </w:rPr>
        <w:fldChar w:fldCharType="begin"/>
      </w:r>
      <w:r w:rsidR="00195D47">
        <w:rPr>
          <w:rFonts w:eastAsia="SimSun"/>
          <w:sz w:val="20"/>
          <w:szCs w:val="20"/>
          <w:lang w:val="en-US" w:eastAsia="en-US"/>
        </w:rPr>
        <w:instrText xml:space="preserve"> REF _Ref189691808 \h </w:instrText>
      </w:r>
      <w:r w:rsidR="00195D47">
        <w:rPr>
          <w:rFonts w:eastAsia="SimSun"/>
          <w:sz w:val="20"/>
          <w:szCs w:val="20"/>
          <w:lang w:val="en-US" w:eastAsia="en-US"/>
        </w:rPr>
      </w:r>
      <w:r w:rsidR="00195D47">
        <w:rPr>
          <w:rFonts w:eastAsia="SimSun"/>
          <w:sz w:val="20"/>
          <w:szCs w:val="20"/>
          <w:lang w:val="en-US" w:eastAsia="en-US"/>
        </w:rPr>
        <w:fldChar w:fldCharType="separate"/>
      </w:r>
      <w:r w:rsidR="00195D47" w:rsidRPr="00965658">
        <w:rPr>
          <w:rFonts w:eastAsia="SimSun"/>
          <w:b/>
          <w:sz w:val="20"/>
          <w:szCs w:val="20"/>
          <w:lang w:eastAsia="en-US"/>
        </w:rPr>
        <w:t xml:space="preserve">Figure </w:t>
      </w:r>
      <w:r w:rsidR="00195D47">
        <w:rPr>
          <w:rFonts w:eastAsia="SimSun"/>
          <w:b/>
          <w:noProof/>
          <w:sz w:val="20"/>
          <w:szCs w:val="20"/>
          <w:lang w:eastAsia="en-US"/>
        </w:rPr>
        <w:t>2</w:t>
      </w:r>
      <w:r w:rsidR="00195D47">
        <w:rPr>
          <w:rFonts w:eastAsia="SimSun"/>
          <w:sz w:val="20"/>
          <w:szCs w:val="20"/>
          <w:lang w:val="en-US" w:eastAsia="en-US"/>
        </w:rPr>
        <w:fldChar w:fldCharType="end"/>
      </w:r>
      <w:r w:rsidRPr="007F25C9">
        <w:rPr>
          <w:rFonts w:eastAsia="SimSun"/>
          <w:sz w:val="20"/>
          <w:szCs w:val="20"/>
          <w:lang w:val="en-US" w:eastAsia="en-US"/>
        </w:rPr>
        <w:t xml:space="preserve">, the buffering could happen after the CJT calibration triggering and thus the UE and NW sends SRS and CSI-RS respectively by means of periodic/semi-persistent schemes to enable </w:t>
      </w:r>
      <w:proofErr w:type="gramStart"/>
      <w:r w:rsidRPr="007F25C9">
        <w:rPr>
          <w:rFonts w:eastAsia="SimSun"/>
          <w:sz w:val="20"/>
          <w:szCs w:val="20"/>
          <w:lang w:val="en-US" w:eastAsia="en-US"/>
        </w:rPr>
        <w:t>a number of</w:t>
      </w:r>
      <w:proofErr w:type="gramEnd"/>
      <w:r w:rsidRPr="007F25C9">
        <w:rPr>
          <w:rFonts w:eastAsia="SimSun"/>
          <w:sz w:val="20"/>
          <w:szCs w:val="20"/>
          <w:lang w:val="en-US" w:eastAsia="en-US"/>
        </w:rPr>
        <w:t xml:space="preserve"> measurements for UL and DL estimations. The number of measurements to take at each side and other averaging related parameters might be needed to be signaled to the UE and sent from the NW. Otherwise the buffering could start </w:t>
      </w:r>
      <w:proofErr w:type="gramStart"/>
      <w:r w:rsidRPr="007F25C9">
        <w:rPr>
          <w:rFonts w:eastAsia="SimSun"/>
          <w:sz w:val="20"/>
          <w:szCs w:val="20"/>
          <w:lang w:val="en-US" w:eastAsia="en-US"/>
        </w:rPr>
        <w:t>before</w:t>
      </w:r>
      <w:proofErr w:type="gramEnd"/>
      <w:r w:rsidRPr="007F25C9">
        <w:rPr>
          <w:rFonts w:eastAsia="SimSun"/>
          <w:sz w:val="20"/>
          <w:szCs w:val="20"/>
          <w:lang w:val="en-US" w:eastAsia="en-US"/>
        </w:rPr>
        <w:t xml:space="preserve"> and the CSI-RS and SRS might have been preconfigured before the triggering. </w:t>
      </w:r>
      <w:proofErr w:type="gramStart"/>
      <w:r w:rsidRPr="007F25C9">
        <w:rPr>
          <w:rFonts w:eastAsia="SimSun"/>
          <w:sz w:val="20"/>
          <w:szCs w:val="20"/>
          <w:lang w:val="en-US" w:eastAsia="en-US"/>
        </w:rPr>
        <w:t>Also</w:t>
      </w:r>
      <w:proofErr w:type="gramEnd"/>
      <w:r w:rsidRPr="007F25C9">
        <w:rPr>
          <w:rFonts w:eastAsia="SimSun"/>
          <w:sz w:val="20"/>
          <w:szCs w:val="20"/>
          <w:lang w:val="en-US" w:eastAsia="en-US"/>
        </w:rPr>
        <w:t xml:space="preserve"> in this </w:t>
      </w:r>
      <w:r w:rsidRPr="007F25C9">
        <w:rPr>
          <w:rFonts w:eastAsia="SimSun"/>
          <w:sz w:val="20"/>
          <w:szCs w:val="20"/>
          <w:lang w:val="en-US" w:eastAsia="en-US"/>
        </w:rPr>
        <w:lastRenderedPageBreak/>
        <w:t xml:space="preserve">case the NW must indicate the number of measurements to include in the time-averaging and any other related parameters. Notice that in any of the previously mentioned possible implementations, a pairing/linkage in time domain is required between pairs of CSI-RS/SRS transmission occasions </w:t>
      </w:r>
      <w:proofErr w:type="gramStart"/>
      <w:r w:rsidRPr="007F25C9">
        <w:rPr>
          <w:rFonts w:eastAsia="SimSun"/>
          <w:sz w:val="20"/>
          <w:szCs w:val="20"/>
          <w:lang w:val="en-US" w:eastAsia="en-US"/>
        </w:rPr>
        <w:t>in order to</w:t>
      </w:r>
      <w:proofErr w:type="gramEnd"/>
      <w:r w:rsidRPr="007F25C9">
        <w:rPr>
          <w:rFonts w:eastAsia="SimSun"/>
          <w:sz w:val="20"/>
          <w:szCs w:val="20"/>
          <w:lang w:val="en-US" w:eastAsia="en-US"/>
        </w:rPr>
        <w:t xml:space="preserve"> have a consistent final PO estimate from the averaged UL and DL measurements. This also means that each pair of CSI-RS/SRS transmission occasions must be located the closest possible to each other. </w:t>
      </w:r>
    </w:p>
    <w:p w14:paraId="743B0562" w14:textId="77777777" w:rsidR="00965658" w:rsidRPr="00965658" w:rsidRDefault="00965658" w:rsidP="00965658">
      <w:pPr>
        <w:spacing w:after="160" w:line="259" w:lineRule="auto"/>
        <w:jc w:val="center"/>
        <w:rPr>
          <w:rFonts w:eastAsia="SimSun"/>
          <w:sz w:val="20"/>
          <w:szCs w:val="20"/>
          <w:lang w:eastAsia="en-US"/>
        </w:rPr>
      </w:pPr>
      <w:r w:rsidRPr="00965658">
        <w:rPr>
          <w:rFonts w:eastAsia="SimSun"/>
          <w:noProof/>
          <w:sz w:val="20"/>
          <w:szCs w:val="20"/>
          <w:lang w:eastAsia="en-US"/>
        </w:rPr>
        <w:drawing>
          <wp:inline distT="0" distB="0" distL="0" distR="0" wp14:anchorId="504EB1B0" wp14:editId="556ED83A">
            <wp:extent cx="4064000" cy="2242003"/>
            <wp:effectExtent l="0" t="0" r="0" b="0"/>
            <wp:docPr id="57059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53114" cy="2291165"/>
                    </a:xfrm>
                    <a:prstGeom prst="rect">
                      <a:avLst/>
                    </a:prstGeom>
                    <a:noFill/>
                    <a:ln>
                      <a:noFill/>
                    </a:ln>
                  </pic:spPr>
                </pic:pic>
              </a:graphicData>
            </a:graphic>
          </wp:inline>
        </w:drawing>
      </w:r>
    </w:p>
    <w:p w14:paraId="174A7DA9" w14:textId="16287A35" w:rsidR="00965658" w:rsidRPr="00965658" w:rsidRDefault="00965658" w:rsidP="00965658">
      <w:pPr>
        <w:spacing w:before="120" w:after="120" w:line="259" w:lineRule="auto"/>
        <w:jc w:val="both"/>
        <w:rPr>
          <w:rFonts w:eastAsia="SimSun"/>
          <w:b/>
          <w:bCs/>
          <w:sz w:val="20"/>
          <w:szCs w:val="20"/>
          <w:lang w:eastAsia="en-US"/>
        </w:rPr>
      </w:pPr>
      <w:bookmarkStart w:id="32" w:name="_Ref189691808"/>
      <w:r w:rsidRPr="00965658">
        <w:rPr>
          <w:rFonts w:eastAsia="SimSun"/>
          <w:b/>
          <w:sz w:val="20"/>
          <w:szCs w:val="20"/>
          <w:lang w:eastAsia="en-US"/>
        </w:rPr>
        <w:t xml:space="preserve">Figure </w:t>
      </w:r>
      <w:r w:rsidRPr="00965658">
        <w:rPr>
          <w:rFonts w:eastAsia="SimSun"/>
          <w:b/>
          <w:sz w:val="20"/>
          <w:szCs w:val="20"/>
          <w:lang w:eastAsia="en-US"/>
        </w:rPr>
        <w:fldChar w:fldCharType="begin"/>
      </w:r>
      <w:r w:rsidRPr="00965658">
        <w:rPr>
          <w:rFonts w:eastAsia="SimSun"/>
          <w:b/>
          <w:sz w:val="20"/>
          <w:szCs w:val="20"/>
          <w:lang w:eastAsia="en-US"/>
        </w:rPr>
        <w:instrText xml:space="preserve"> SEQ Figure \* ARABIC </w:instrText>
      </w:r>
      <w:r w:rsidRPr="00965658">
        <w:rPr>
          <w:rFonts w:eastAsia="SimSun"/>
          <w:b/>
          <w:sz w:val="20"/>
          <w:szCs w:val="20"/>
          <w:lang w:eastAsia="en-US"/>
        </w:rPr>
        <w:fldChar w:fldCharType="separate"/>
      </w:r>
      <w:r>
        <w:rPr>
          <w:rFonts w:eastAsia="SimSun"/>
          <w:b/>
          <w:noProof/>
          <w:sz w:val="20"/>
          <w:szCs w:val="20"/>
          <w:lang w:eastAsia="en-US"/>
        </w:rPr>
        <w:t>2</w:t>
      </w:r>
      <w:r w:rsidRPr="00965658">
        <w:rPr>
          <w:rFonts w:eastAsia="SimSun"/>
          <w:b/>
          <w:sz w:val="20"/>
          <w:szCs w:val="20"/>
          <w:lang w:eastAsia="en-US"/>
        </w:rPr>
        <w:fldChar w:fldCharType="end"/>
      </w:r>
      <w:bookmarkEnd w:id="32"/>
      <w:r w:rsidRPr="00965658">
        <w:rPr>
          <w:rFonts w:eastAsia="SimSun"/>
          <w:b/>
          <w:sz w:val="20"/>
          <w:szCs w:val="20"/>
          <w:lang w:eastAsia="en-US"/>
        </w:rPr>
        <w:t xml:space="preserve">. </w:t>
      </w:r>
      <w:r w:rsidRPr="00965658">
        <w:rPr>
          <w:rFonts w:eastAsia="Calibri" w:cs="Arial"/>
          <w:b/>
          <w:bCs/>
          <w:sz w:val="20"/>
          <w:szCs w:val="22"/>
          <w:lang w:eastAsia="en-US"/>
        </w:rPr>
        <w:t>Illustration of CSI-RS and SRS transmissions for (a) when the measurements are collected and averaged after the triggering and (b) when the measurements are collected and averaged before the triggering</w:t>
      </w:r>
    </w:p>
    <w:p w14:paraId="16A61497" w14:textId="64FD9129" w:rsidR="00404E6A" w:rsidRPr="00404E6A" w:rsidRDefault="00404E6A" w:rsidP="00404E6A">
      <w:pPr>
        <w:spacing w:after="160" w:line="259" w:lineRule="auto"/>
        <w:jc w:val="both"/>
        <w:rPr>
          <w:rFonts w:eastAsia="SimSun"/>
          <w:sz w:val="20"/>
          <w:szCs w:val="20"/>
          <w:lang w:eastAsia="en-US"/>
        </w:rPr>
      </w:pPr>
      <w:r w:rsidRPr="00404E6A">
        <w:rPr>
          <w:rFonts w:eastAsia="SimSun"/>
          <w:sz w:val="20"/>
          <w:szCs w:val="20"/>
          <w:lang w:eastAsia="en-US"/>
        </w:rPr>
        <w:t xml:space="preserve">Some initial simulations were carried out with 200m ISD to understand the consequences of averaging for the PO estimates calculated at the </w:t>
      </w:r>
      <w:proofErr w:type="spellStart"/>
      <w:r w:rsidRPr="00404E6A">
        <w:rPr>
          <w:rFonts w:eastAsia="SimSun"/>
          <w:sz w:val="20"/>
          <w:szCs w:val="20"/>
          <w:lang w:eastAsia="en-US"/>
        </w:rPr>
        <w:t>gNB</w:t>
      </w:r>
      <w:proofErr w:type="spellEnd"/>
      <w:r w:rsidRPr="00404E6A">
        <w:rPr>
          <w:rFonts w:eastAsia="SimSun"/>
          <w:sz w:val="20"/>
          <w:szCs w:val="20"/>
          <w:lang w:eastAsia="en-US"/>
        </w:rPr>
        <w:t xml:space="preserve"> and UE sides with different number of samples. As illustrated in</w:t>
      </w:r>
      <w:r w:rsidR="00672310">
        <w:rPr>
          <w:rFonts w:eastAsia="SimSun"/>
          <w:sz w:val="20"/>
          <w:szCs w:val="20"/>
          <w:lang w:eastAsia="en-US"/>
        </w:rPr>
        <w:t xml:space="preserve"> </w:t>
      </w:r>
      <w:r w:rsidR="00672310">
        <w:rPr>
          <w:rFonts w:eastAsia="SimSun"/>
          <w:sz w:val="20"/>
          <w:szCs w:val="20"/>
          <w:lang w:eastAsia="en-US"/>
        </w:rPr>
        <w:fldChar w:fldCharType="begin"/>
      </w:r>
      <w:r w:rsidR="00672310">
        <w:rPr>
          <w:rFonts w:eastAsia="SimSun"/>
          <w:sz w:val="20"/>
          <w:szCs w:val="20"/>
          <w:lang w:eastAsia="en-US"/>
        </w:rPr>
        <w:instrText xml:space="preserve"> REF _Ref189693136 \h </w:instrText>
      </w:r>
      <w:r w:rsidR="00672310">
        <w:rPr>
          <w:rFonts w:eastAsia="SimSun"/>
          <w:sz w:val="20"/>
          <w:szCs w:val="20"/>
          <w:lang w:eastAsia="en-US"/>
        </w:rPr>
      </w:r>
      <w:r w:rsidR="00672310">
        <w:rPr>
          <w:rFonts w:eastAsia="SimSun"/>
          <w:sz w:val="20"/>
          <w:szCs w:val="20"/>
          <w:lang w:eastAsia="en-US"/>
        </w:rPr>
        <w:fldChar w:fldCharType="separate"/>
      </w:r>
      <w:r w:rsidR="00672310" w:rsidRPr="00965658">
        <w:rPr>
          <w:rFonts w:eastAsia="SimSun"/>
          <w:b/>
          <w:sz w:val="20"/>
          <w:szCs w:val="20"/>
          <w:lang w:eastAsia="en-US"/>
        </w:rPr>
        <w:t xml:space="preserve">Figure </w:t>
      </w:r>
      <w:r w:rsidR="00672310">
        <w:rPr>
          <w:rFonts w:eastAsia="SimSun"/>
          <w:b/>
          <w:noProof/>
          <w:sz w:val="20"/>
          <w:szCs w:val="20"/>
          <w:lang w:eastAsia="en-US"/>
        </w:rPr>
        <w:t>3</w:t>
      </w:r>
      <w:r w:rsidR="00672310">
        <w:rPr>
          <w:rFonts w:eastAsia="SimSun"/>
          <w:sz w:val="20"/>
          <w:szCs w:val="20"/>
          <w:lang w:eastAsia="en-US"/>
        </w:rPr>
        <w:fldChar w:fldCharType="end"/>
      </w:r>
      <w:r w:rsidRPr="00404E6A">
        <w:rPr>
          <w:rFonts w:eastAsia="SimSun"/>
          <w:sz w:val="20"/>
          <w:szCs w:val="20"/>
          <w:lang w:eastAsia="en-US"/>
        </w:rPr>
        <w:t xml:space="preserve"> </w:t>
      </w:r>
      <w:r w:rsidRPr="00404E6A">
        <w:rPr>
          <w:rFonts w:eastAsia="SimSun"/>
          <w:sz w:val="20"/>
          <w:szCs w:val="20"/>
          <w:lang w:eastAsia="en-US"/>
        </w:rPr>
        <w:fldChar w:fldCharType="begin"/>
      </w:r>
      <w:r w:rsidRPr="00404E6A">
        <w:rPr>
          <w:rFonts w:eastAsia="SimSun"/>
          <w:sz w:val="20"/>
          <w:szCs w:val="20"/>
          <w:lang w:eastAsia="en-US"/>
        </w:rPr>
        <w:instrText xml:space="preserve"> REF _Ref189693136 \h </w:instrText>
      </w:r>
      <w:r w:rsidRPr="00404E6A">
        <w:rPr>
          <w:rFonts w:eastAsia="SimSun"/>
          <w:sz w:val="20"/>
          <w:szCs w:val="20"/>
          <w:lang w:eastAsia="en-US"/>
        </w:rPr>
      </w:r>
      <w:r w:rsidRPr="00404E6A">
        <w:rPr>
          <w:rFonts w:eastAsia="SimSun"/>
          <w:sz w:val="20"/>
          <w:szCs w:val="20"/>
          <w:lang w:eastAsia="en-US"/>
        </w:rPr>
        <w:fldChar w:fldCharType="separate"/>
      </w:r>
      <w:r w:rsidRPr="00404E6A">
        <w:rPr>
          <w:rFonts w:eastAsia="SimSun"/>
          <w:sz w:val="20"/>
          <w:szCs w:val="20"/>
          <w:lang w:eastAsia="en-US"/>
        </w:rPr>
        <w:fldChar w:fldCharType="end"/>
      </w:r>
      <w:r w:rsidRPr="00404E6A">
        <w:rPr>
          <w:rFonts w:eastAsia="SimSun"/>
          <w:sz w:val="20"/>
          <w:szCs w:val="20"/>
          <w:lang w:eastAsia="en-US"/>
        </w:rPr>
        <w:t xml:space="preserve"> it is possible to obtain already an accurate PO estimation with a single measurement, i.e., no time averaging neither at the UE or the </w:t>
      </w:r>
      <w:proofErr w:type="spellStart"/>
      <w:r w:rsidRPr="00404E6A">
        <w:rPr>
          <w:rFonts w:eastAsia="SimSun"/>
          <w:sz w:val="20"/>
          <w:szCs w:val="20"/>
          <w:lang w:eastAsia="en-US"/>
        </w:rPr>
        <w:t>gNB</w:t>
      </w:r>
      <w:proofErr w:type="spellEnd"/>
      <w:r w:rsidRPr="00404E6A">
        <w:rPr>
          <w:rFonts w:eastAsia="SimSun"/>
          <w:sz w:val="20"/>
          <w:szCs w:val="20"/>
          <w:lang w:eastAsia="en-US"/>
        </w:rPr>
        <w:t xml:space="preserve"> side, for the scenario analysed. A similar result can be obtained by averaging the same number of measurements for UL and DL, 10 buffered measurements each, while ensuring that the UL/DL measurements are close to each other when transmitted. However, we may also observe that by asymmetrically setting the time-averaging at </w:t>
      </w:r>
      <w:proofErr w:type="spellStart"/>
      <w:r w:rsidRPr="00404E6A">
        <w:rPr>
          <w:rFonts w:eastAsia="SimSun"/>
          <w:sz w:val="20"/>
          <w:szCs w:val="20"/>
          <w:lang w:eastAsia="en-US"/>
        </w:rPr>
        <w:t>gNB</w:t>
      </w:r>
      <w:proofErr w:type="spellEnd"/>
      <w:r w:rsidRPr="00404E6A">
        <w:rPr>
          <w:rFonts w:eastAsia="SimSun"/>
          <w:sz w:val="20"/>
          <w:szCs w:val="20"/>
          <w:lang w:eastAsia="en-US"/>
        </w:rPr>
        <w:t xml:space="preserve"> and no time averaging at the UE, it might give as a result some error in the PO estimate and as a result performance </w:t>
      </w:r>
      <w:proofErr w:type="gramStart"/>
      <w:r w:rsidRPr="00404E6A">
        <w:rPr>
          <w:rFonts w:eastAsia="SimSun"/>
          <w:sz w:val="20"/>
          <w:szCs w:val="20"/>
          <w:lang w:eastAsia="en-US"/>
        </w:rPr>
        <w:t>losses</w:t>
      </w:r>
      <w:proofErr w:type="gramEnd"/>
      <w:r w:rsidRPr="00404E6A">
        <w:rPr>
          <w:rFonts w:eastAsia="SimSun"/>
          <w:sz w:val="20"/>
          <w:szCs w:val="20"/>
          <w:lang w:eastAsia="en-US"/>
        </w:rPr>
        <w:t xml:space="preserve">. This </w:t>
      </w:r>
      <w:proofErr w:type="gramStart"/>
      <w:r w:rsidRPr="00404E6A">
        <w:rPr>
          <w:rFonts w:eastAsia="SimSun"/>
          <w:sz w:val="20"/>
          <w:szCs w:val="20"/>
          <w:lang w:eastAsia="en-US"/>
        </w:rPr>
        <w:t>lead</w:t>
      </w:r>
      <w:proofErr w:type="gramEnd"/>
      <w:r w:rsidRPr="00404E6A">
        <w:rPr>
          <w:rFonts w:eastAsia="SimSun"/>
          <w:sz w:val="20"/>
          <w:szCs w:val="20"/>
          <w:lang w:eastAsia="en-US"/>
        </w:rPr>
        <w:t xml:space="preserve"> us to think that pairing the time occasions of the time-averaging measurements happening at the UE with those measurements happening at the </w:t>
      </w:r>
      <w:proofErr w:type="spellStart"/>
      <w:r w:rsidRPr="00404E6A">
        <w:rPr>
          <w:rFonts w:eastAsia="SimSun"/>
          <w:sz w:val="20"/>
          <w:szCs w:val="20"/>
          <w:lang w:eastAsia="en-US"/>
        </w:rPr>
        <w:t>gNB</w:t>
      </w:r>
      <w:proofErr w:type="spellEnd"/>
      <w:r w:rsidRPr="00404E6A">
        <w:rPr>
          <w:rFonts w:eastAsia="SimSun"/>
          <w:sz w:val="20"/>
          <w:szCs w:val="20"/>
          <w:lang w:eastAsia="en-US"/>
        </w:rPr>
        <w:t xml:space="preserve"> is significantly important to obtain a good PO estimate.  </w:t>
      </w:r>
    </w:p>
    <w:p w14:paraId="34CDF100" w14:textId="3625C9B1" w:rsidR="00965658" w:rsidRPr="00965658" w:rsidRDefault="00893B61" w:rsidP="00965658">
      <w:pPr>
        <w:spacing w:after="160" w:line="259" w:lineRule="auto"/>
        <w:jc w:val="both"/>
        <w:rPr>
          <w:rFonts w:eastAsia="SimSun"/>
          <w:sz w:val="20"/>
          <w:szCs w:val="20"/>
          <w:lang w:eastAsia="en-US"/>
        </w:rPr>
      </w:pPr>
      <w:proofErr w:type="gramStart"/>
      <w:r w:rsidRPr="00893B61">
        <w:rPr>
          <w:rFonts w:eastAsia="SimSun"/>
          <w:sz w:val="20"/>
          <w:szCs w:val="20"/>
          <w:lang w:eastAsia="en-US"/>
        </w:rPr>
        <w:t>Taking into account</w:t>
      </w:r>
      <w:proofErr w:type="gramEnd"/>
      <w:r w:rsidRPr="00893B61">
        <w:rPr>
          <w:rFonts w:eastAsia="SimSun"/>
          <w:sz w:val="20"/>
          <w:szCs w:val="20"/>
          <w:lang w:eastAsia="en-US"/>
        </w:rPr>
        <w:t xml:space="preserve"> the simulation results obtained we consider that a deeper study might be required on how the time averaging might benefit the calculation of the PO estimates. For that, other scenarios in which the SRS or CSI-RS may be further stressed, need to be considered. For example, increasing the ISD might be a way, however other potential scenario conditions may be also studied. Regarding the impact on the specification, the need for alignment between </w:t>
      </w:r>
      <w:proofErr w:type="spellStart"/>
      <w:r w:rsidRPr="00893B61">
        <w:rPr>
          <w:rFonts w:eastAsia="SimSun"/>
          <w:sz w:val="20"/>
          <w:szCs w:val="20"/>
          <w:lang w:eastAsia="en-US"/>
        </w:rPr>
        <w:t>gNB</w:t>
      </w:r>
      <w:proofErr w:type="spellEnd"/>
      <w:r w:rsidRPr="00893B61">
        <w:rPr>
          <w:rFonts w:eastAsia="SimSun"/>
          <w:sz w:val="20"/>
          <w:szCs w:val="20"/>
          <w:lang w:eastAsia="en-US"/>
        </w:rPr>
        <w:t xml:space="preserve"> and UE in time-averaging PO estimates may require additional signalling to ensure this as already mentioned before</w:t>
      </w:r>
      <w:r>
        <w:rPr>
          <w:rFonts w:eastAsia="SimSun"/>
          <w:sz w:val="20"/>
          <w:szCs w:val="20"/>
          <w:lang w:eastAsia="en-US"/>
        </w:rPr>
        <w:t xml:space="preserve">. </w:t>
      </w:r>
      <w:r w:rsidR="00005529">
        <w:rPr>
          <w:rFonts w:eastAsia="SimSun"/>
          <w:sz w:val="20"/>
          <w:szCs w:val="20"/>
          <w:lang w:eastAsia="en-US"/>
        </w:rPr>
        <w:t xml:space="preserve">This is currently </w:t>
      </w:r>
      <w:r w:rsidR="0093769C">
        <w:rPr>
          <w:rFonts w:eastAsia="SimSun"/>
          <w:sz w:val="20"/>
          <w:szCs w:val="20"/>
          <w:lang w:eastAsia="en-US"/>
        </w:rPr>
        <w:t xml:space="preserve">being </w:t>
      </w:r>
      <w:r w:rsidR="00005529">
        <w:rPr>
          <w:rFonts w:eastAsia="SimSun"/>
          <w:sz w:val="20"/>
          <w:szCs w:val="20"/>
          <w:lang w:eastAsia="en-US"/>
        </w:rPr>
        <w:t>proposed in the RAN 1 discussion.</w:t>
      </w:r>
    </w:p>
    <w:p w14:paraId="23CA5904" w14:textId="77777777" w:rsidR="00965658" w:rsidRPr="00965658" w:rsidRDefault="00965658" w:rsidP="00965658">
      <w:pPr>
        <w:spacing w:after="160" w:line="259" w:lineRule="auto"/>
        <w:jc w:val="both"/>
        <w:rPr>
          <w:rFonts w:eastAsia="SimSun"/>
          <w:sz w:val="20"/>
          <w:szCs w:val="20"/>
          <w:lang w:eastAsia="en-US"/>
        </w:rPr>
      </w:pPr>
      <w:r w:rsidRPr="00965658">
        <w:rPr>
          <w:rFonts w:eastAsia="SimSun"/>
          <w:noProof/>
          <w:sz w:val="20"/>
          <w:szCs w:val="20"/>
          <w:lang w:eastAsia="en-US"/>
        </w:rPr>
        <w:drawing>
          <wp:inline distT="0" distB="0" distL="0" distR="0" wp14:anchorId="01A0E319" wp14:editId="7678BC21">
            <wp:extent cx="6191250" cy="1859915"/>
            <wp:effectExtent l="0" t="0" r="0" b="6985"/>
            <wp:docPr id="158372043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720434"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244597" cy="1875941"/>
                    </a:xfrm>
                    <a:prstGeom prst="rect">
                      <a:avLst/>
                    </a:prstGeom>
                  </pic:spPr>
                </pic:pic>
              </a:graphicData>
            </a:graphic>
          </wp:inline>
        </w:drawing>
      </w:r>
    </w:p>
    <w:p w14:paraId="24C5B8C9" w14:textId="057C5EE1" w:rsidR="00965658" w:rsidRDefault="00965658" w:rsidP="00965658">
      <w:pPr>
        <w:spacing w:before="120" w:after="120" w:line="259" w:lineRule="auto"/>
        <w:jc w:val="center"/>
        <w:rPr>
          <w:rFonts w:eastAsia="SimSun"/>
          <w:b/>
          <w:sz w:val="20"/>
          <w:szCs w:val="20"/>
          <w:lang w:eastAsia="en-US"/>
        </w:rPr>
      </w:pPr>
      <w:bookmarkStart w:id="33" w:name="_Ref189693136"/>
      <w:r w:rsidRPr="00965658">
        <w:rPr>
          <w:rFonts w:eastAsia="SimSun"/>
          <w:b/>
          <w:sz w:val="20"/>
          <w:szCs w:val="20"/>
          <w:lang w:eastAsia="en-US"/>
        </w:rPr>
        <w:t xml:space="preserve">Figure </w:t>
      </w:r>
      <w:r w:rsidRPr="00965658">
        <w:rPr>
          <w:rFonts w:eastAsia="SimSun"/>
          <w:b/>
          <w:sz w:val="20"/>
          <w:szCs w:val="20"/>
          <w:lang w:eastAsia="en-US"/>
        </w:rPr>
        <w:fldChar w:fldCharType="begin"/>
      </w:r>
      <w:r w:rsidRPr="00965658">
        <w:rPr>
          <w:rFonts w:eastAsia="SimSun"/>
          <w:b/>
          <w:sz w:val="20"/>
          <w:szCs w:val="20"/>
          <w:lang w:eastAsia="en-US"/>
        </w:rPr>
        <w:instrText xml:space="preserve"> SEQ Figure \* ARABIC </w:instrText>
      </w:r>
      <w:r w:rsidRPr="00965658">
        <w:rPr>
          <w:rFonts w:eastAsia="SimSun"/>
          <w:b/>
          <w:sz w:val="20"/>
          <w:szCs w:val="20"/>
          <w:lang w:eastAsia="en-US"/>
        </w:rPr>
        <w:fldChar w:fldCharType="separate"/>
      </w:r>
      <w:r w:rsidR="009A5FE6">
        <w:rPr>
          <w:rFonts w:eastAsia="SimSun"/>
          <w:b/>
          <w:noProof/>
          <w:sz w:val="20"/>
          <w:szCs w:val="20"/>
          <w:lang w:eastAsia="en-US"/>
        </w:rPr>
        <w:t>3</w:t>
      </w:r>
      <w:r w:rsidRPr="00965658">
        <w:rPr>
          <w:rFonts w:eastAsia="SimSun"/>
          <w:b/>
          <w:sz w:val="20"/>
          <w:szCs w:val="20"/>
          <w:lang w:eastAsia="en-US"/>
        </w:rPr>
        <w:fldChar w:fldCharType="end"/>
      </w:r>
      <w:bookmarkEnd w:id="33"/>
      <w:r w:rsidRPr="00965658">
        <w:rPr>
          <w:rFonts w:eastAsia="SimSun"/>
          <w:b/>
          <w:sz w:val="20"/>
          <w:szCs w:val="20"/>
          <w:lang w:eastAsia="en-US"/>
        </w:rPr>
        <w:t>. Normalized throughput results for different CJT setups with/without UL/DL PO Calibration.</w:t>
      </w:r>
    </w:p>
    <w:p w14:paraId="25EF948F" w14:textId="7F31B551" w:rsidR="00005529" w:rsidRPr="00065A44" w:rsidRDefault="00005529" w:rsidP="00742781">
      <w:pPr>
        <w:spacing w:before="120" w:after="120" w:line="259" w:lineRule="auto"/>
        <w:jc w:val="both"/>
        <w:rPr>
          <w:rFonts w:eastAsia="SimSun"/>
          <w:bCs/>
          <w:sz w:val="20"/>
          <w:szCs w:val="20"/>
          <w:lang w:eastAsia="en-US"/>
        </w:rPr>
      </w:pPr>
      <w:r>
        <w:rPr>
          <w:rFonts w:eastAsia="SimSun"/>
          <w:bCs/>
          <w:sz w:val="20"/>
          <w:szCs w:val="20"/>
          <w:lang w:eastAsia="en-US"/>
        </w:rPr>
        <w:t>Therefore, i</w:t>
      </w:r>
      <w:r w:rsidRPr="00742781">
        <w:rPr>
          <w:rFonts w:eastAsia="SimSun"/>
          <w:bCs/>
          <w:sz w:val="20"/>
          <w:szCs w:val="20"/>
          <w:lang w:eastAsia="en-US"/>
        </w:rPr>
        <w:t>n the case</w:t>
      </w:r>
      <w:r>
        <w:rPr>
          <w:rFonts w:eastAsia="SimSun"/>
          <w:bCs/>
          <w:sz w:val="20"/>
          <w:szCs w:val="20"/>
          <w:lang w:eastAsia="en-US"/>
        </w:rPr>
        <w:t xml:space="preserve"> that averaging is carried out at </w:t>
      </w:r>
      <w:proofErr w:type="spellStart"/>
      <w:r>
        <w:rPr>
          <w:rFonts w:eastAsia="SimSun"/>
          <w:bCs/>
          <w:sz w:val="20"/>
          <w:szCs w:val="20"/>
          <w:lang w:eastAsia="en-US"/>
        </w:rPr>
        <w:t>gNB</w:t>
      </w:r>
      <w:proofErr w:type="spellEnd"/>
      <w:r>
        <w:rPr>
          <w:rFonts w:eastAsia="SimSun"/>
          <w:bCs/>
          <w:sz w:val="20"/>
          <w:szCs w:val="20"/>
          <w:lang w:eastAsia="en-US"/>
        </w:rPr>
        <w:t xml:space="preserve"> for UL measurement</w:t>
      </w:r>
      <w:r w:rsidR="007957D9">
        <w:rPr>
          <w:rFonts w:eastAsia="SimSun"/>
          <w:bCs/>
          <w:sz w:val="20"/>
          <w:szCs w:val="20"/>
          <w:lang w:eastAsia="en-US"/>
        </w:rPr>
        <w:t>s</w:t>
      </w:r>
      <w:r w:rsidR="00AF549F">
        <w:rPr>
          <w:rFonts w:eastAsia="SimSun"/>
          <w:bCs/>
          <w:sz w:val="20"/>
          <w:szCs w:val="20"/>
          <w:lang w:eastAsia="en-US"/>
        </w:rPr>
        <w:t>,</w:t>
      </w:r>
      <w:r>
        <w:rPr>
          <w:rFonts w:eastAsia="SimSun"/>
          <w:bCs/>
          <w:sz w:val="20"/>
          <w:szCs w:val="20"/>
          <w:lang w:eastAsia="en-US"/>
        </w:rPr>
        <w:t xml:space="preserve"> a symmetrical averaged estimation is needed at the UE side with same number of buffer</w:t>
      </w:r>
      <w:r w:rsidR="00240A8D">
        <w:rPr>
          <w:rFonts w:eastAsia="SimSun"/>
          <w:bCs/>
          <w:sz w:val="20"/>
          <w:szCs w:val="20"/>
          <w:lang w:eastAsia="en-US"/>
        </w:rPr>
        <w:t>ed</w:t>
      </w:r>
      <w:r>
        <w:rPr>
          <w:rFonts w:eastAsia="SimSun"/>
          <w:bCs/>
          <w:sz w:val="20"/>
          <w:szCs w:val="20"/>
          <w:lang w:eastAsia="en-US"/>
        </w:rPr>
        <w:t xml:space="preserve"> measurements</w:t>
      </w:r>
      <w:r w:rsidR="000A484D">
        <w:rPr>
          <w:rFonts w:eastAsia="SimSun"/>
          <w:bCs/>
          <w:sz w:val="20"/>
          <w:szCs w:val="20"/>
          <w:lang w:eastAsia="en-US"/>
        </w:rPr>
        <w:t xml:space="preserve">, or </w:t>
      </w:r>
      <w:proofErr w:type="spellStart"/>
      <w:r w:rsidR="000A484D">
        <w:rPr>
          <w:rFonts w:eastAsia="SimSun"/>
          <w:bCs/>
          <w:sz w:val="20"/>
          <w:szCs w:val="20"/>
          <w:lang w:eastAsia="en-US"/>
        </w:rPr>
        <w:t>viceversa</w:t>
      </w:r>
      <w:proofErr w:type="spellEnd"/>
      <w:r>
        <w:rPr>
          <w:rFonts w:eastAsia="SimSun"/>
          <w:bCs/>
          <w:sz w:val="20"/>
          <w:szCs w:val="20"/>
          <w:lang w:eastAsia="en-US"/>
        </w:rPr>
        <w:t xml:space="preserve">. For the scope of RAN 4 RRM studies, </w:t>
      </w:r>
      <w:r w:rsidR="00173DF2">
        <w:rPr>
          <w:rFonts w:eastAsia="SimSun"/>
          <w:bCs/>
          <w:sz w:val="20"/>
          <w:szCs w:val="20"/>
          <w:lang w:eastAsia="en-US"/>
        </w:rPr>
        <w:t>if we perform a test with</w:t>
      </w:r>
      <w:r w:rsidR="00710A17">
        <w:rPr>
          <w:rFonts w:eastAsia="SimSun"/>
          <w:bCs/>
          <w:sz w:val="20"/>
          <w:szCs w:val="20"/>
          <w:lang w:eastAsia="en-US"/>
        </w:rPr>
        <w:t xml:space="preserve"> </w:t>
      </w:r>
      <w:r w:rsidR="000454E9">
        <w:rPr>
          <w:rFonts w:eastAsia="SimSun"/>
          <w:bCs/>
          <w:sz w:val="20"/>
          <w:szCs w:val="20"/>
          <w:lang w:eastAsia="en-US"/>
        </w:rPr>
        <w:t>n</w:t>
      </w:r>
      <w:r w:rsidR="00710A17">
        <w:rPr>
          <w:rFonts w:eastAsia="SimSun"/>
          <w:bCs/>
          <w:sz w:val="20"/>
          <w:szCs w:val="20"/>
          <w:lang w:eastAsia="en-US"/>
        </w:rPr>
        <w:t>o</w:t>
      </w:r>
      <w:r w:rsidR="00240A8D">
        <w:rPr>
          <w:rFonts w:eastAsia="SimSun"/>
          <w:bCs/>
          <w:sz w:val="20"/>
          <w:szCs w:val="20"/>
          <w:lang w:eastAsia="en-US"/>
        </w:rPr>
        <w:t xml:space="preserve">t </w:t>
      </w:r>
      <w:r w:rsidR="00710A17">
        <w:rPr>
          <w:rFonts w:eastAsia="SimSun"/>
          <w:bCs/>
          <w:sz w:val="20"/>
          <w:szCs w:val="20"/>
          <w:lang w:eastAsia="en-US"/>
        </w:rPr>
        <w:t>MRT</w:t>
      </w:r>
      <w:r w:rsidR="00240A8D">
        <w:rPr>
          <w:rFonts w:eastAsia="SimSun"/>
          <w:bCs/>
          <w:sz w:val="20"/>
          <w:szCs w:val="20"/>
          <w:lang w:eastAsia="en-US"/>
        </w:rPr>
        <w:t>-</w:t>
      </w:r>
      <w:proofErr w:type="spellStart"/>
      <w:r w:rsidR="00710A17">
        <w:rPr>
          <w:rFonts w:eastAsia="SimSun"/>
          <w:bCs/>
          <w:sz w:val="20"/>
          <w:szCs w:val="20"/>
          <w:lang w:eastAsia="en-US"/>
        </w:rPr>
        <w:t>precode</w:t>
      </w:r>
      <w:r w:rsidR="000454E9">
        <w:rPr>
          <w:rFonts w:eastAsia="SimSun"/>
          <w:bCs/>
          <w:sz w:val="20"/>
          <w:szCs w:val="20"/>
          <w:lang w:eastAsia="en-US"/>
        </w:rPr>
        <w:t>d</w:t>
      </w:r>
      <w:proofErr w:type="spellEnd"/>
      <w:r w:rsidR="002C7778">
        <w:rPr>
          <w:rFonts w:eastAsia="SimSun"/>
          <w:bCs/>
          <w:sz w:val="20"/>
          <w:szCs w:val="20"/>
          <w:lang w:eastAsia="en-US"/>
        </w:rPr>
        <w:t xml:space="preserve"> </w:t>
      </w:r>
      <w:r w:rsidR="000454E9">
        <w:rPr>
          <w:rFonts w:eastAsia="SimSun"/>
          <w:bCs/>
          <w:sz w:val="20"/>
          <w:szCs w:val="20"/>
          <w:lang w:eastAsia="en-US"/>
        </w:rPr>
        <w:t>CSI-RS</w:t>
      </w:r>
      <w:r w:rsidR="00FA2D46">
        <w:rPr>
          <w:rFonts w:eastAsia="SimSun"/>
          <w:bCs/>
          <w:sz w:val="20"/>
          <w:szCs w:val="20"/>
          <w:lang w:eastAsia="en-US"/>
        </w:rPr>
        <w:t xml:space="preserve"> is</w:t>
      </w:r>
      <w:r w:rsidR="008747AC">
        <w:rPr>
          <w:rFonts w:eastAsia="SimSun"/>
          <w:bCs/>
          <w:sz w:val="20"/>
          <w:szCs w:val="20"/>
          <w:lang w:eastAsia="en-US"/>
        </w:rPr>
        <w:t xml:space="preserve"> maybe simpler because</w:t>
      </w:r>
      <w:r w:rsidR="00173DF2">
        <w:rPr>
          <w:rFonts w:eastAsia="SimSun"/>
          <w:bCs/>
          <w:sz w:val="20"/>
          <w:szCs w:val="20"/>
          <w:lang w:eastAsia="en-US"/>
        </w:rPr>
        <w:t xml:space="preserve"> </w:t>
      </w:r>
      <w:r>
        <w:rPr>
          <w:rFonts w:eastAsia="SimSun"/>
          <w:bCs/>
          <w:sz w:val="20"/>
          <w:szCs w:val="20"/>
          <w:lang w:eastAsia="en-US"/>
        </w:rPr>
        <w:t xml:space="preserve">we may not </w:t>
      </w:r>
      <w:r w:rsidR="00DF0CB7">
        <w:rPr>
          <w:rFonts w:eastAsia="SimSun"/>
          <w:bCs/>
          <w:sz w:val="20"/>
          <w:szCs w:val="20"/>
          <w:lang w:eastAsia="en-US"/>
        </w:rPr>
        <w:t xml:space="preserve">need to </w:t>
      </w:r>
      <w:r w:rsidR="00C11552">
        <w:rPr>
          <w:rFonts w:eastAsia="SimSun"/>
          <w:bCs/>
          <w:sz w:val="20"/>
          <w:szCs w:val="20"/>
          <w:lang w:eastAsia="en-US"/>
        </w:rPr>
        <w:t>care a</w:t>
      </w:r>
      <w:r w:rsidR="006A3F47">
        <w:rPr>
          <w:rFonts w:eastAsia="SimSun"/>
          <w:bCs/>
          <w:sz w:val="20"/>
          <w:szCs w:val="20"/>
          <w:lang w:eastAsia="en-US"/>
        </w:rPr>
        <w:t>bout</w:t>
      </w:r>
      <w:r>
        <w:rPr>
          <w:rFonts w:eastAsia="SimSun"/>
          <w:bCs/>
          <w:sz w:val="20"/>
          <w:szCs w:val="20"/>
          <w:lang w:eastAsia="en-US"/>
        </w:rPr>
        <w:t xml:space="preserve"> the things happening at </w:t>
      </w:r>
      <w:proofErr w:type="spellStart"/>
      <w:r>
        <w:rPr>
          <w:rFonts w:eastAsia="SimSun"/>
          <w:bCs/>
          <w:sz w:val="20"/>
          <w:szCs w:val="20"/>
          <w:lang w:eastAsia="en-US"/>
        </w:rPr>
        <w:t>gNB</w:t>
      </w:r>
      <w:proofErr w:type="spellEnd"/>
      <w:r>
        <w:rPr>
          <w:rFonts w:eastAsia="SimSun"/>
          <w:bCs/>
          <w:sz w:val="20"/>
          <w:szCs w:val="20"/>
          <w:lang w:eastAsia="en-US"/>
        </w:rPr>
        <w:t xml:space="preserve"> side </w:t>
      </w:r>
      <w:r w:rsidR="001B54DD">
        <w:rPr>
          <w:rFonts w:eastAsia="SimSun"/>
          <w:bCs/>
          <w:sz w:val="20"/>
          <w:szCs w:val="20"/>
          <w:lang w:eastAsia="en-US"/>
        </w:rPr>
        <w:t>neither</w:t>
      </w:r>
      <w:r>
        <w:rPr>
          <w:rFonts w:eastAsia="SimSun"/>
          <w:bCs/>
          <w:sz w:val="20"/>
          <w:szCs w:val="20"/>
          <w:lang w:eastAsia="en-US"/>
        </w:rPr>
        <w:t xml:space="preserve"> the accuracy of the UL PO estimate</w:t>
      </w:r>
      <w:r w:rsidR="005B6904">
        <w:rPr>
          <w:rFonts w:eastAsia="SimSun"/>
          <w:bCs/>
          <w:sz w:val="20"/>
          <w:szCs w:val="20"/>
          <w:lang w:eastAsia="en-US"/>
        </w:rPr>
        <w:t>. Our test</w:t>
      </w:r>
      <w:r w:rsidR="00943707">
        <w:rPr>
          <w:rFonts w:eastAsia="SimSun"/>
          <w:bCs/>
          <w:sz w:val="20"/>
          <w:szCs w:val="20"/>
          <w:lang w:eastAsia="en-US"/>
        </w:rPr>
        <w:t xml:space="preserve"> may only</w:t>
      </w:r>
      <w:r w:rsidR="005B6904">
        <w:rPr>
          <w:rFonts w:eastAsia="SimSun"/>
          <w:bCs/>
          <w:sz w:val="20"/>
          <w:szCs w:val="20"/>
          <w:lang w:eastAsia="en-US"/>
        </w:rPr>
        <w:t xml:space="preserve"> focus on </w:t>
      </w:r>
      <w:r w:rsidR="00E537EF">
        <w:rPr>
          <w:rFonts w:eastAsia="SimSun"/>
          <w:bCs/>
          <w:sz w:val="20"/>
          <w:szCs w:val="20"/>
          <w:lang w:eastAsia="en-US"/>
        </w:rPr>
        <w:t xml:space="preserve">the accuracy of the UE </w:t>
      </w:r>
      <w:r w:rsidR="00E537EF">
        <w:rPr>
          <w:rFonts w:eastAsia="SimSun"/>
          <w:bCs/>
          <w:sz w:val="20"/>
          <w:szCs w:val="20"/>
          <w:lang w:eastAsia="en-US"/>
        </w:rPr>
        <w:lastRenderedPageBreak/>
        <w:t>reported phase offset</w:t>
      </w:r>
      <w:r>
        <w:rPr>
          <w:rFonts w:eastAsia="SimSun"/>
          <w:bCs/>
          <w:sz w:val="20"/>
          <w:szCs w:val="20"/>
          <w:lang w:eastAsia="en-US"/>
        </w:rPr>
        <w:t>.</w:t>
      </w:r>
      <w:r w:rsidR="009F6780">
        <w:rPr>
          <w:rFonts w:eastAsia="SimSun"/>
          <w:bCs/>
          <w:sz w:val="20"/>
          <w:szCs w:val="20"/>
          <w:lang w:eastAsia="en-US"/>
        </w:rPr>
        <w:t xml:space="preserve"> </w:t>
      </w:r>
      <w:r w:rsidR="00DF1C2E">
        <w:rPr>
          <w:rFonts w:eastAsia="SimSun"/>
          <w:bCs/>
          <w:sz w:val="20"/>
          <w:szCs w:val="20"/>
          <w:lang w:eastAsia="en-US"/>
        </w:rPr>
        <w:t>On the other hand, m</w:t>
      </w:r>
      <w:r w:rsidR="0085418F">
        <w:rPr>
          <w:rFonts w:eastAsia="SimSun"/>
          <w:bCs/>
          <w:sz w:val="20"/>
          <w:szCs w:val="20"/>
          <w:lang w:eastAsia="en-US"/>
        </w:rPr>
        <w:t xml:space="preserve">aking the test with </w:t>
      </w:r>
      <w:proofErr w:type="gramStart"/>
      <w:r w:rsidR="0085418F">
        <w:rPr>
          <w:rFonts w:eastAsia="SimSun"/>
          <w:bCs/>
          <w:sz w:val="20"/>
          <w:szCs w:val="20"/>
          <w:lang w:eastAsia="en-US"/>
        </w:rPr>
        <w:t>a</w:t>
      </w:r>
      <w:proofErr w:type="gramEnd"/>
      <w:r w:rsidR="0085418F">
        <w:rPr>
          <w:rFonts w:eastAsia="SimSun"/>
          <w:bCs/>
          <w:sz w:val="20"/>
          <w:szCs w:val="20"/>
          <w:lang w:eastAsia="en-US"/>
        </w:rPr>
        <w:t xml:space="preserve"> MRT</w:t>
      </w:r>
      <w:r w:rsidR="007E398F">
        <w:rPr>
          <w:rFonts w:eastAsia="SimSun"/>
          <w:bCs/>
          <w:sz w:val="20"/>
          <w:szCs w:val="20"/>
          <w:lang w:eastAsia="en-US"/>
        </w:rPr>
        <w:t>-</w:t>
      </w:r>
      <w:proofErr w:type="spellStart"/>
      <w:r w:rsidR="0085418F">
        <w:rPr>
          <w:rFonts w:eastAsia="SimSun"/>
          <w:bCs/>
          <w:sz w:val="20"/>
          <w:szCs w:val="20"/>
          <w:lang w:eastAsia="en-US"/>
        </w:rPr>
        <w:t>precoded</w:t>
      </w:r>
      <w:proofErr w:type="spellEnd"/>
      <w:r w:rsidR="0085418F">
        <w:rPr>
          <w:rFonts w:eastAsia="SimSun"/>
          <w:bCs/>
          <w:sz w:val="20"/>
          <w:szCs w:val="20"/>
          <w:lang w:eastAsia="en-US"/>
        </w:rPr>
        <w:t xml:space="preserve"> single port CSI-RS</w:t>
      </w:r>
      <w:r w:rsidR="001A3D9E">
        <w:rPr>
          <w:rFonts w:eastAsia="SimSun"/>
          <w:bCs/>
          <w:sz w:val="20"/>
          <w:szCs w:val="20"/>
          <w:lang w:eastAsia="en-US"/>
        </w:rPr>
        <w:t xml:space="preserve"> may bring some additional questions</w:t>
      </w:r>
      <w:r w:rsidR="005778CE">
        <w:rPr>
          <w:rFonts w:eastAsia="SimSun"/>
          <w:bCs/>
          <w:sz w:val="20"/>
          <w:szCs w:val="20"/>
          <w:lang w:eastAsia="en-US"/>
        </w:rPr>
        <w:t xml:space="preserve"> on how to obtain such a preco</w:t>
      </w:r>
      <w:r w:rsidR="006F433B">
        <w:rPr>
          <w:rFonts w:eastAsia="SimSun"/>
          <w:bCs/>
          <w:sz w:val="20"/>
          <w:szCs w:val="20"/>
          <w:lang w:eastAsia="en-US"/>
        </w:rPr>
        <w:t>der</w:t>
      </w:r>
      <w:r w:rsidR="002E4624">
        <w:rPr>
          <w:rFonts w:eastAsia="SimSun"/>
          <w:bCs/>
          <w:sz w:val="20"/>
          <w:szCs w:val="20"/>
          <w:lang w:eastAsia="en-US"/>
        </w:rPr>
        <w:t xml:space="preserve"> without depending on </w:t>
      </w:r>
      <w:r w:rsidR="00907531">
        <w:rPr>
          <w:rFonts w:eastAsia="SimSun"/>
          <w:bCs/>
          <w:sz w:val="20"/>
          <w:szCs w:val="20"/>
          <w:lang w:eastAsia="en-US"/>
        </w:rPr>
        <w:t>a</w:t>
      </w:r>
      <w:r w:rsidR="002E4624">
        <w:rPr>
          <w:rFonts w:eastAsia="SimSun"/>
          <w:bCs/>
          <w:sz w:val="20"/>
          <w:szCs w:val="20"/>
          <w:lang w:eastAsia="en-US"/>
        </w:rPr>
        <w:t xml:space="preserve"> SRS measurement during the test.</w:t>
      </w:r>
      <w:r>
        <w:rPr>
          <w:rFonts w:eastAsia="SimSun"/>
          <w:bCs/>
          <w:sz w:val="20"/>
          <w:szCs w:val="20"/>
          <w:lang w:eastAsia="en-US"/>
        </w:rPr>
        <w:t xml:space="preserve"> However,</w:t>
      </w:r>
      <w:r w:rsidR="00C967EE">
        <w:rPr>
          <w:rFonts w:eastAsia="SimSun"/>
          <w:bCs/>
          <w:sz w:val="20"/>
          <w:szCs w:val="20"/>
          <w:lang w:eastAsia="en-US"/>
        </w:rPr>
        <w:t xml:space="preserve"> in</w:t>
      </w:r>
      <w:r w:rsidR="00452681">
        <w:rPr>
          <w:rFonts w:eastAsia="SimSun"/>
          <w:bCs/>
          <w:sz w:val="20"/>
          <w:szCs w:val="20"/>
          <w:lang w:eastAsia="en-US"/>
        </w:rPr>
        <w:t xml:space="preserve"> a</w:t>
      </w:r>
      <w:r w:rsidR="00C967EE">
        <w:rPr>
          <w:rFonts w:eastAsia="SimSun"/>
          <w:bCs/>
          <w:sz w:val="20"/>
          <w:szCs w:val="20"/>
          <w:lang w:eastAsia="en-US"/>
        </w:rPr>
        <w:t xml:space="preserve"> no</w:t>
      </w:r>
      <w:r w:rsidR="006F1F99">
        <w:rPr>
          <w:rFonts w:eastAsia="SimSun"/>
          <w:bCs/>
          <w:sz w:val="20"/>
          <w:szCs w:val="20"/>
          <w:lang w:eastAsia="en-US"/>
        </w:rPr>
        <w:t>t</w:t>
      </w:r>
      <w:r w:rsidR="00C967EE">
        <w:rPr>
          <w:rFonts w:eastAsia="SimSun"/>
          <w:bCs/>
          <w:sz w:val="20"/>
          <w:szCs w:val="20"/>
          <w:lang w:eastAsia="en-US"/>
        </w:rPr>
        <w:t xml:space="preserve"> MRT</w:t>
      </w:r>
      <w:r w:rsidR="006F1F99">
        <w:rPr>
          <w:rFonts w:eastAsia="SimSun"/>
          <w:bCs/>
          <w:sz w:val="20"/>
          <w:szCs w:val="20"/>
          <w:lang w:eastAsia="en-US"/>
        </w:rPr>
        <w:t>-</w:t>
      </w:r>
      <w:proofErr w:type="spellStart"/>
      <w:r w:rsidR="00C967EE">
        <w:rPr>
          <w:rFonts w:eastAsia="SimSun"/>
          <w:bCs/>
          <w:sz w:val="20"/>
          <w:szCs w:val="20"/>
          <w:lang w:eastAsia="en-US"/>
        </w:rPr>
        <w:t>precoded</w:t>
      </w:r>
      <w:proofErr w:type="spellEnd"/>
      <w:r w:rsidR="00C967EE">
        <w:rPr>
          <w:rFonts w:eastAsia="SimSun"/>
          <w:bCs/>
          <w:sz w:val="20"/>
          <w:szCs w:val="20"/>
          <w:lang w:eastAsia="en-US"/>
        </w:rPr>
        <w:t xml:space="preserve"> case,</w:t>
      </w:r>
      <w:r>
        <w:rPr>
          <w:rFonts w:eastAsia="SimSun"/>
          <w:bCs/>
          <w:sz w:val="20"/>
          <w:szCs w:val="20"/>
          <w:lang w:eastAsia="en-US"/>
        </w:rPr>
        <w:t xml:space="preserve"> we may </w:t>
      </w:r>
      <w:r w:rsidR="003A706C">
        <w:rPr>
          <w:rFonts w:eastAsia="SimSun"/>
          <w:bCs/>
          <w:sz w:val="20"/>
          <w:szCs w:val="20"/>
          <w:lang w:eastAsia="en-US"/>
        </w:rPr>
        <w:t xml:space="preserve">need to </w:t>
      </w:r>
      <w:r>
        <w:rPr>
          <w:rFonts w:eastAsia="SimSun"/>
          <w:bCs/>
          <w:sz w:val="20"/>
          <w:szCs w:val="20"/>
          <w:lang w:eastAsia="en-US"/>
        </w:rPr>
        <w:t>assume that UE needs to set time averaging with a given number of measurements</w:t>
      </w:r>
      <w:r w:rsidR="00261AE9">
        <w:rPr>
          <w:rFonts w:eastAsia="SimSun"/>
          <w:bCs/>
          <w:sz w:val="20"/>
          <w:szCs w:val="20"/>
          <w:lang w:eastAsia="en-US"/>
        </w:rPr>
        <w:t xml:space="preserve"> to align with the </w:t>
      </w:r>
      <w:proofErr w:type="spellStart"/>
      <w:r w:rsidR="00261AE9">
        <w:rPr>
          <w:rFonts w:eastAsia="SimSun"/>
          <w:bCs/>
          <w:sz w:val="20"/>
          <w:szCs w:val="20"/>
          <w:lang w:eastAsia="en-US"/>
        </w:rPr>
        <w:t>gNodeB</w:t>
      </w:r>
      <w:proofErr w:type="spellEnd"/>
      <w:r w:rsidR="00597DE7">
        <w:rPr>
          <w:rFonts w:eastAsia="SimSun"/>
          <w:bCs/>
          <w:sz w:val="20"/>
          <w:szCs w:val="20"/>
          <w:lang w:eastAsia="en-US"/>
        </w:rPr>
        <w:t>.</w:t>
      </w:r>
      <w:r>
        <w:rPr>
          <w:rFonts w:eastAsia="SimSun"/>
          <w:bCs/>
          <w:sz w:val="20"/>
          <w:szCs w:val="20"/>
          <w:lang w:eastAsia="en-US"/>
        </w:rPr>
        <w:t xml:space="preserve"> </w:t>
      </w:r>
      <w:r w:rsidR="00597DE7">
        <w:rPr>
          <w:rFonts w:eastAsia="SimSun"/>
          <w:bCs/>
          <w:sz w:val="20"/>
          <w:szCs w:val="20"/>
          <w:lang w:eastAsia="en-US"/>
        </w:rPr>
        <w:t>T</w:t>
      </w:r>
      <w:r>
        <w:rPr>
          <w:rFonts w:eastAsia="SimSun"/>
          <w:bCs/>
          <w:sz w:val="20"/>
          <w:szCs w:val="20"/>
          <w:lang w:eastAsia="en-US"/>
        </w:rPr>
        <w:t xml:space="preserve">hat would be a justification to define requirements for PO CJT </w:t>
      </w:r>
      <w:proofErr w:type="gramStart"/>
      <w:r>
        <w:rPr>
          <w:rFonts w:eastAsia="SimSun"/>
          <w:bCs/>
          <w:sz w:val="20"/>
          <w:szCs w:val="20"/>
          <w:lang w:eastAsia="en-US"/>
        </w:rPr>
        <w:t>estimations  also</w:t>
      </w:r>
      <w:proofErr w:type="gramEnd"/>
      <w:r>
        <w:rPr>
          <w:rFonts w:eastAsia="SimSun"/>
          <w:bCs/>
          <w:sz w:val="20"/>
          <w:szCs w:val="20"/>
          <w:lang w:eastAsia="en-US"/>
        </w:rPr>
        <w:t xml:space="preserve"> including the effect of time-averaging with different number of buffered measurements.</w:t>
      </w:r>
      <w:r w:rsidR="007F6D8E">
        <w:rPr>
          <w:rFonts w:eastAsia="SimSun"/>
          <w:bCs/>
          <w:sz w:val="20"/>
          <w:szCs w:val="20"/>
          <w:lang w:eastAsia="en-US"/>
        </w:rPr>
        <w:t xml:space="preserve"> </w:t>
      </w:r>
      <w:r w:rsidR="00C0576E">
        <w:rPr>
          <w:rFonts w:eastAsia="SimSun"/>
          <w:bCs/>
          <w:sz w:val="20"/>
          <w:szCs w:val="20"/>
          <w:lang w:eastAsia="en-US"/>
        </w:rPr>
        <w:t>In th</w:t>
      </w:r>
      <w:r w:rsidR="006F19BE">
        <w:rPr>
          <w:rFonts w:eastAsia="SimSun"/>
          <w:bCs/>
          <w:sz w:val="20"/>
          <w:szCs w:val="20"/>
          <w:lang w:eastAsia="en-US"/>
        </w:rPr>
        <w:t>e rest of this</w:t>
      </w:r>
      <w:r w:rsidR="00C0576E">
        <w:rPr>
          <w:rFonts w:eastAsia="SimSun"/>
          <w:bCs/>
          <w:sz w:val="20"/>
          <w:szCs w:val="20"/>
          <w:lang w:eastAsia="en-US"/>
        </w:rPr>
        <w:t xml:space="preserve"> section, the</w:t>
      </w:r>
      <w:r w:rsidR="00A5794A">
        <w:rPr>
          <w:rFonts w:eastAsia="SimSun"/>
          <w:bCs/>
          <w:sz w:val="20"/>
          <w:szCs w:val="20"/>
          <w:lang w:eastAsia="en-US"/>
        </w:rPr>
        <w:t xml:space="preserve"> LLS</w:t>
      </w:r>
      <w:r w:rsidR="00C0576E">
        <w:rPr>
          <w:rFonts w:eastAsia="SimSun"/>
          <w:bCs/>
          <w:sz w:val="20"/>
          <w:szCs w:val="20"/>
          <w:lang w:eastAsia="en-US"/>
        </w:rPr>
        <w:t xml:space="preserve"> simulations carried out only consider the </w:t>
      </w:r>
      <w:r w:rsidR="00A441C4">
        <w:rPr>
          <w:rFonts w:eastAsia="SimSun"/>
          <w:bCs/>
          <w:sz w:val="20"/>
          <w:szCs w:val="20"/>
          <w:lang w:eastAsia="en-US"/>
        </w:rPr>
        <w:t>UE time-averaging of the PO estimates</w:t>
      </w:r>
      <w:r w:rsidR="0037394A">
        <w:rPr>
          <w:rFonts w:eastAsia="SimSun"/>
          <w:bCs/>
          <w:sz w:val="20"/>
          <w:szCs w:val="20"/>
          <w:lang w:eastAsia="en-US"/>
        </w:rPr>
        <w:t xml:space="preserve"> and the accurac</w:t>
      </w:r>
      <w:r w:rsidR="00CA1E60">
        <w:rPr>
          <w:rFonts w:eastAsia="SimSun"/>
          <w:bCs/>
          <w:sz w:val="20"/>
          <w:szCs w:val="20"/>
          <w:lang w:eastAsia="en-US"/>
        </w:rPr>
        <w:t>y is analysed only for the UE reported estimate</w:t>
      </w:r>
      <w:r w:rsidR="00BC4CFE">
        <w:rPr>
          <w:rFonts w:eastAsia="SimSun"/>
          <w:bCs/>
          <w:sz w:val="20"/>
          <w:szCs w:val="20"/>
          <w:lang w:eastAsia="en-US"/>
        </w:rPr>
        <w:t>s</w:t>
      </w:r>
      <w:r w:rsidR="00512B3F">
        <w:rPr>
          <w:rFonts w:eastAsia="SimSun"/>
          <w:bCs/>
          <w:sz w:val="20"/>
          <w:szCs w:val="20"/>
          <w:lang w:eastAsia="en-US"/>
        </w:rPr>
        <w:t>, i.e. assuming no</w:t>
      </w:r>
      <w:r w:rsidR="000B2343">
        <w:rPr>
          <w:rFonts w:eastAsia="SimSun"/>
          <w:bCs/>
          <w:sz w:val="20"/>
          <w:szCs w:val="20"/>
          <w:lang w:eastAsia="en-US"/>
        </w:rPr>
        <w:t>t</w:t>
      </w:r>
      <w:r w:rsidR="00512B3F">
        <w:rPr>
          <w:rFonts w:eastAsia="SimSun"/>
          <w:bCs/>
          <w:sz w:val="20"/>
          <w:szCs w:val="20"/>
          <w:lang w:eastAsia="en-US"/>
        </w:rPr>
        <w:t xml:space="preserve"> MRT</w:t>
      </w:r>
      <w:r w:rsidR="005161CE">
        <w:rPr>
          <w:rFonts w:eastAsia="SimSun"/>
          <w:bCs/>
          <w:sz w:val="20"/>
          <w:szCs w:val="20"/>
          <w:lang w:eastAsia="en-US"/>
        </w:rPr>
        <w:t>-</w:t>
      </w:r>
      <w:proofErr w:type="spellStart"/>
      <w:r w:rsidR="00512B3F">
        <w:rPr>
          <w:rFonts w:eastAsia="SimSun"/>
          <w:bCs/>
          <w:sz w:val="20"/>
          <w:szCs w:val="20"/>
          <w:lang w:eastAsia="en-US"/>
        </w:rPr>
        <w:t>precoded</w:t>
      </w:r>
      <w:proofErr w:type="spellEnd"/>
      <w:r w:rsidR="0032149F">
        <w:rPr>
          <w:rFonts w:eastAsia="SimSun"/>
          <w:bCs/>
          <w:sz w:val="20"/>
          <w:szCs w:val="20"/>
          <w:lang w:eastAsia="en-US"/>
        </w:rPr>
        <w:t xml:space="preserve"> </w:t>
      </w:r>
      <w:r w:rsidR="00CE2496">
        <w:rPr>
          <w:rFonts w:eastAsia="SimSun"/>
          <w:bCs/>
          <w:sz w:val="20"/>
          <w:szCs w:val="20"/>
          <w:lang w:eastAsia="en-US"/>
        </w:rPr>
        <w:t>PO estimation</w:t>
      </w:r>
      <w:r w:rsidR="0032149F">
        <w:rPr>
          <w:rFonts w:eastAsia="SimSun"/>
          <w:bCs/>
          <w:sz w:val="20"/>
          <w:szCs w:val="20"/>
          <w:lang w:eastAsia="en-US"/>
        </w:rPr>
        <w:t xml:space="preserve"> for CJT calibration</w:t>
      </w:r>
      <w:r w:rsidR="00CA1E60">
        <w:rPr>
          <w:rFonts w:eastAsia="SimSun"/>
          <w:bCs/>
          <w:sz w:val="20"/>
          <w:szCs w:val="20"/>
          <w:lang w:eastAsia="en-US"/>
        </w:rPr>
        <w:t>.</w:t>
      </w:r>
    </w:p>
    <w:p w14:paraId="56F4F8E1" w14:textId="1BCAABC0" w:rsidR="00007E73" w:rsidRPr="00C26D7C" w:rsidRDefault="00FF5303" w:rsidP="00C26D7C">
      <w:pPr>
        <w:pStyle w:val="RAN4observation0"/>
        <w:rPr>
          <w:rFonts w:ascii="Arial" w:hAnsi="Arial"/>
          <w:i/>
          <w:iCs/>
        </w:rPr>
      </w:pPr>
      <w:bookmarkStart w:id="34" w:name="_Toc189862136"/>
      <w:r>
        <w:rPr>
          <w:lang w:val="en-US"/>
        </w:rPr>
        <w:t>Assuming no</w:t>
      </w:r>
      <w:r w:rsidR="005161CE">
        <w:rPr>
          <w:lang w:val="en-US"/>
        </w:rPr>
        <w:t>t</w:t>
      </w:r>
      <w:r>
        <w:rPr>
          <w:lang w:val="en-US"/>
        </w:rPr>
        <w:t xml:space="preserve"> MRT</w:t>
      </w:r>
      <w:r w:rsidR="005161CE">
        <w:rPr>
          <w:lang w:val="en-US"/>
        </w:rPr>
        <w:t>-</w:t>
      </w:r>
      <w:proofErr w:type="spellStart"/>
      <w:r>
        <w:rPr>
          <w:lang w:val="en-US"/>
        </w:rPr>
        <w:t>precoded</w:t>
      </w:r>
      <w:proofErr w:type="spellEnd"/>
      <w:r>
        <w:rPr>
          <w:lang w:val="en-US"/>
        </w:rPr>
        <w:t xml:space="preserve"> single port CSI-RS phase offset estimation may enable the </w:t>
      </w:r>
      <w:r w:rsidR="009A7901">
        <w:rPr>
          <w:lang w:val="en-US"/>
        </w:rPr>
        <w:t xml:space="preserve">accuracy </w:t>
      </w:r>
      <w:r w:rsidR="000C1C0B">
        <w:rPr>
          <w:lang w:val="en-US"/>
        </w:rPr>
        <w:t xml:space="preserve">test </w:t>
      </w:r>
      <w:r w:rsidR="00C93EEA">
        <w:rPr>
          <w:lang w:val="en-US"/>
        </w:rPr>
        <w:t xml:space="preserve">by only </w:t>
      </w:r>
      <w:r w:rsidR="00A07D84">
        <w:rPr>
          <w:lang w:val="en-US"/>
        </w:rPr>
        <w:t xml:space="preserve">estimating the accuracy </w:t>
      </w:r>
      <w:r w:rsidR="0010116B">
        <w:rPr>
          <w:lang w:val="en-US"/>
        </w:rPr>
        <w:t>of the UE reported phase offset quantity.</w:t>
      </w:r>
      <w:bookmarkEnd w:id="34"/>
    </w:p>
    <w:p w14:paraId="63B72154" w14:textId="3056279F" w:rsidR="00054442" w:rsidRPr="00C26D7C" w:rsidRDefault="00EA6D76" w:rsidP="00C26D7C">
      <w:pPr>
        <w:pStyle w:val="RAN4observation0"/>
      </w:pPr>
      <w:bookmarkStart w:id="35" w:name="_Toc189862137"/>
      <w:r w:rsidRPr="00C26D7C">
        <w:rPr>
          <w:lang w:val="en-US"/>
        </w:rPr>
        <w:t>For no</w:t>
      </w:r>
      <w:r w:rsidR="005161CE">
        <w:rPr>
          <w:lang w:val="en-US"/>
        </w:rPr>
        <w:t>t</w:t>
      </w:r>
      <w:r w:rsidRPr="00C26D7C">
        <w:rPr>
          <w:lang w:val="en-US"/>
        </w:rPr>
        <w:t xml:space="preserve"> MRT</w:t>
      </w:r>
      <w:r w:rsidR="005161CE">
        <w:rPr>
          <w:lang w:val="en-US"/>
        </w:rPr>
        <w:t>-</w:t>
      </w:r>
      <w:proofErr w:type="spellStart"/>
      <w:r w:rsidRPr="00C26D7C">
        <w:rPr>
          <w:lang w:val="en-US"/>
        </w:rPr>
        <w:t>precoded</w:t>
      </w:r>
      <w:proofErr w:type="spellEnd"/>
      <w:r w:rsidRPr="00C26D7C">
        <w:rPr>
          <w:lang w:val="en-US"/>
        </w:rPr>
        <w:t xml:space="preserve"> single port CSI-RS</w:t>
      </w:r>
      <w:r w:rsidR="00311BF2">
        <w:rPr>
          <w:lang w:val="en-US"/>
        </w:rPr>
        <w:t xml:space="preserve"> phase offset estimation</w:t>
      </w:r>
      <w:r w:rsidR="001A5ADC" w:rsidRPr="00C26D7C">
        <w:rPr>
          <w:lang w:val="en-US"/>
        </w:rPr>
        <w:t xml:space="preserve"> </w:t>
      </w:r>
      <w:r w:rsidR="00E3170E">
        <w:rPr>
          <w:lang w:val="en-US"/>
        </w:rPr>
        <w:t xml:space="preserve">requires </w:t>
      </w:r>
      <w:r w:rsidR="00BE2DF5" w:rsidRPr="00C26D7C">
        <w:rPr>
          <w:lang w:val="en-US"/>
        </w:rPr>
        <w:t xml:space="preserve">symmetrical averaging at both UE and network sides, otherwise there is a loss in </w:t>
      </w:r>
      <w:r w:rsidR="0073483C" w:rsidRPr="00C26D7C">
        <w:rPr>
          <w:lang w:val="en-US"/>
        </w:rPr>
        <w:t>performance</w:t>
      </w:r>
      <w:r w:rsidR="00A169F1">
        <w:rPr>
          <w:lang w:val="en-US"/>
        </w:rPr>
        <w:t xml:space="preserve"> due </w:t>
      </w:r>
      <w:r w:rsidR="001911AF">
        <w:rPr>
          <w:lang w:val="en-US"/>
        </w:rPr>
        <w:t>to</w:t>
      </w:r>
      <w:r w:rsidR="008A5834">
        <w:rPr>
          <w:lang w:val="en-US"/>
        </w:rPr>
        <w:t xml:space="preserve"> </w:t>
      </w:r>
      <w:r w:rsidR="00F57F44">
        <w:rPr>
          <w:lang w:val="en-US"/>
        </w:rPr>
        <w:t>bad</w:t>
      </w:r>
      <w:r w:rsidR="00762C1C">
        <w:rPr>
          <w:lang w:val="en-US"/>
        </w:rPr>
        <w:t xml:space="preserve"> phase offset</w:t>
      </w:r>
      <w:r w:rsidR="00F57F44">
        <w:rPr>
          <w:lang w:val="en-US"/>
        </w:rPr>
        <w:t xml:space="preserve"> compensation</w:t>
      </w:r>
      <w:r w:rsidR="0073483C" w:rsidRPr="00C26D7C">
        <w:rPr>
          <w:lang w:val="en-US"/>
        </w:rPr>
        <w:t>.</w:t>
      </w:r>
      <w:bookmarkEnd w:id="35"/>
    </w:p>
    <w:p w14:paraId="71AE2CB2" w14:textId="3E65AF32" w:rsidR="006602E8" w:rsidRDefault="009D0AE5" w:rsidP="00D53032">
      <w:pPr>
        <w:pStyle w:val="RAN4proposal"/>
        <w:jc w:val="both"/>
        <w:rPr>
          <w:lang w:val="en-US"/>
        </w:rPr>
      </w:pPr>
      <w:bookmarkStart w:id="36" w:name="_Toc189862138"/>
      <w:r>
        <w:rPr>
          <w:lang w:val="en-US" w:eastAsia="en-US"/>
        </w:rPr>
        <w:t xml:space="preserve">Assume </w:t>
      </w:r>
      <w:r w:rsidR="00BA078F">
        <w:rPr>
          <w:lang w:val="en-US" w:eastAsia="en-US"/>
        </w:rPr>
        <w:t>no</w:t>
      </w:r>
      <w:r w:rsidR="0091354D">
        <w:rPr>
          <w:lang w:val="en-US" w:eastAsia="en-US"/>
        </w:rPr>
        <w:t>t</w:t>
      </w:r>
      <w:r w:rsidR="00BA078F">
        <w:rPr>
          <w:lang w:val="en-US" w:eastAsia="en-US"/>
        </w:rPr>
        <w:t xml:space="preserve"> MRT</w:t>
      </w:r>
      <w:r w:rsidR="0091354D">
        <w:rPr>
          <w:lang w:val="en-US" w:eastAsia="en-US"/>
        </w:rPr>
        <w:t>-</w:t>
      </w:r>
      <w:proofErr w:type="spellStart"/>
      <w:r w:rsidR="00BA078F">
        <w:rPr>
          <w:lang w:val="en-US" w:eastAsia="en-US"/>
        </w:rPr>
        <w:t>precoded</w:t>
      </w:r>
      <w:proofErr w:type="spellEnd"/>
      <w:r w:rsidR="00BA078F">
        <w:rPr>
          <w:lang w:val="en-US" w:eastAsia="en-US"/>
        </w:rPr>
        <w:t xml:space="preserve"> single port CSI-RS for</w:t>
      </w:r>
      <w:r w:rsidR="0015053F">
        <w:rPr>
          <w:lang w:val="en-US" w:eastAsia="en-US"/>
        </w:rPr>
        <w:t xml:space="preserve"> the accuracy test for the</w:t>
      </w:r>
      <w:r w:rsidR="00BA078F">
        <w:rPr>
          <w:lang w:val="en-US" w:eastAsia="en-US"/>
        </w:rPr>
        <w:t xml:space="preserve"> ph</w:t>
      </w:r>
      <w:r w:rsidR="00F84A6B">
        <w:rPr>
          <w:lang w:val="en-US" w:eastAsia="en-US"/>
        </w:rPr>
        <w:t xml:space="preserve">ase offset </w:t>
      </w:r>
      <w:r w:rsidR="00827B6B">
        <w:rPr>
          <w:lang w:val="en-US" w:eastAsia="en-US"/>
        </w:rPr>
        <w:t>estimation CJT reporting</w:t>
      </w:r>
      <w:r w:rsidR="00CB77E0">
        <w:rPr>
          <w:lang w:val="en-US" w:eastAsia="en-US"/>
        </w:rPr>
        <w:t>.</w:t>
      </w:r>
      <w:bookmarkEnd w:id="36"/>
    </w:p>
    <w:p w14:paraId="21073ABB" w14:textId="0DA82BC1" w:rsidR="002A4710" w:rsidRPr="00AE2362" w:rsidRDefault="00BD3D66" w:rsidP="007A7DFF">
      <w:pPr>
        <w:pStyle w:val="RAN4proposal"/>
        <w:jc w:val="both"/>
        <w:rPr>
          <w:lang w:val="en-US"/>
        </w:rPr>
      </w:pPr>
      <w:bookmarkStart w:id="37" w:name="_Toc189862139"/>
      <w:r w:rsidRPr="00C26D7C">
        <w:t>RAN4</w:t>
      </w:r>
      <w:r>
        <w:rPr>
          <w:lang w:val="en-US"/>
        </w:rPr>
        <w:t xml:space="preserve"> to define </w:t>
      </w:r>
      <w:r w:rsidR="001A5ADC">
        <w:rPr>
          <w:lang w:val="en-US"/>
        </w:rPr>
        <w:t>the number of samples that shall be used by the UE for PO CJT</w:t>
      </w:r>
      <w:r>
        <w:rPr>
          <w:lang w:val="en-US"/>
        </w:rPr>
        <w:t xml:space="preserve"> for phase </w:t>
      </w:r>
      <w:r w:rsidR="0038262C">
        <w:rPr>
          <w:lang w:val="en-US"/>
        </w:rPr>
        <w:t>offset report.</w:t>
      </w:r>
      <w:bookmarkEnd w:id="37"/>
      <w:r w:rsidR="0038262C">
        <w:rPr>
          <w:lang w:val="en-US"/>
        </w:rPr>
        <w:t xml:space="preserve"> </w:t>
      </w:r>
    </w:p>
    <w:p w14:paraId="4E51D99D" w14:textId="77777777" w:rsidR="00CD7492" w:rsidRPr="00614DD8" w:rsidRDefault="00CD7492" w:rsidP="00A37002">
      <w:pPr>
        <w:pStyle w:val="RAN4H1"/>
        <w:rPr>
          <w:lang w:val="en-US"/>
        </w:rPr>
      </w:pPr>
      <w:bookmarkStart w:id="38" w:name="_Hlk181870565"/>
      <w:r w:rsidRPr="00614DD8">
        <w:rPr>
          <w:lang w:val="en-US"/>
        </w:rPr>
        <w:t>Conclusion</w:t>
      </w:r>
      <w:bookmarkEnd w:id="4"/>
    </w:p>
    <w:bookmarkEnd w:id="38"/>
    <w:p w14:paraId="6DE21472" w14:textId="28AEF508" w:rsidR="00381F95" w:rsidRDefault="00936782" w:rsidP="00936159">
      <w:pPr>
        <w:rPr>
          <w:lang w:val="en-US"/>
        </w:rPr>
      </w:pPr>
      <w:r>
        <w:rPr>
          <w:lang w:val="en-US"/>
        </w:rPr>
        <w:t>In this paper, 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63A71499" w14:textId="77777777" w:rsidR="00A27512" w:rsidRDefault="00A27512" w:rsidP="00A27512">
      <w:pPr>
        <w:rPr>
          <w:lang w:val="en-US"/>
        </w:rPr>
      </w:pPr>
    </w:p>
    <w:p w14:paraId="070C793E" w14:textId="156876ED" w:rsidR="00A27512" w:rsidRPr="00A27512" w:rsidRDefault="00A27512" w:rsidP="00A27512">
      <w:pPr>
        <w:rPr>
          <w:lang w:val="en-US"/>
        </w:rPr>
      </w:pPr>
      <w:r w:rsidRPr="00A27512">
        <w:rPr>
          <w:lang w:val="en-US"/>
        </w:rPr>
        <w:t>Observation 1: RAN1 LS has clarified that when UE is not configured with PL offset, the UE may expect to receive SSB from the UL-only TRP.</w:t>
      </w:r>
    </w:p>
    <w:p w14:paraId="4DA32740" w14:textId="77777777" w:rsidR="00A27512" w:rsidRDefault="00A27512" w:rsidP="00A27512">
      <w:pPr>
        <w:rPr>
          <w:lang w:val="en-US"/>
        </w:rPr>
      </w:pPr>
    </w:p>
    <w:p w14:paraId="0494030A" w14:textId="66184F32" w:rsidR="00A27512" w:rsidRPr="00A27512" w:rsidRDefault="00A27512" w:rsidP="00A27512">
      <w:pPr>
        <w:rPr>
          <w:lang w:val="en-US"/>
        </w:rPr>
      </w:pPr>
      <w:r w:rsidRPr="00A27512">
        <w:rPr>
          <w:lang w:val="en-US"/>
        </w:rPr>
        <w:t>Observation 2: Rel-18 2 TA enhancement for m-DCI m-TRP, requires a UE to monitor two DL reference timings, i.e., one DL reference per TAG.</w:t>
      </w:r>
    </w:p>
    <w:p w14:paraId="06A11A55" w14:textId="77777777" w:rsidR="00A27512" w:rsidRDefault="00A27512" w:rsidP="00A27512">
      <w:pPr>
        <w:rPr>
          <w:lang w:val="en-US"/>
        </w:rPr>
      </w:pPr>
    </w:p>
    <w:p w14:paraId="3D453CFF" w14:textId="2F1653FF" w:rsidR="00A27512" w:rsidRPr="00A27512" w:rsidRDefault="00A27512" w:rsidP="00A27512">
      <w:pPr>
        <w:rPr>
          <w:lang w:val="en-US"/>
        </w:rPr>
      </w:pPr>
      <w:r w:rsidRPr="00A27512">
        <w:rPr>
          <w:lang w:val="en-US"/>
        </w:rPr>
        <w:t>Observation 3: Use of the independent reference timing from both TRPs will ensure that the UL timing is robust for UE movement.</w:t>
      </w:r>
    </w:p>
    <w:p w14:paraId="551BB039" w14:textId="77777777" w:rsidR="00A27512" w:rsidRDefault="00A27512" w:rsidP="00A27512">
      <w:pPr>
        <w:rPr>
          <w:lang w:val="en-US"/>
        </w:rPr>
      </w:pPr>
    </w:p>
    <w:p w14:paraId="2441DC7A" w14:textId="261A2C21" w:rsidR="00A27512" w:rsidRPr="00A27512" w:rsidRDefault="00A27512" w:rsidP="00A27512">
      <w:pPr>
        <w:rPr>
          <w:b/>
          <w:bCs/>
          <w:lang w:val="en-US"/>
        </w:rPr>
      </w:pPr>
      <w:r w:rsidRPr="00A27512">
        <w:rPr>
          <w:b/>
          <w:bCs/>
          <w:lang w:val="en-US"/>
        </w:rPr>
        <w:t xml:space="preserve">Proposal 1: With asymmetric DL </w:t>
      </w:r>
      <w:proofErr w:type="spellStart"/>
      <w:r w:rsidRPr="00A27512">
        <w:rPr>
          <w:b/>
          <w:bCs/>
          <w:lang w:val="en-US"/>
        </w:rPr>
        <w:t>sTRP</w:t>
      </w:r>
      <w:proofErr w:type="spellEnd"/>
      <w:r w:rsidRPr="00A27512">
        <w:rPr>
          <w:b/>
          <w:bCs/>
          <w:lang w:val="en-US"/>
        </w:rPr>
        <w:t xml:space="preserve">/UL </w:t>
      </w:r>
      <w:proofErr w:type="spellStart"/>
      <w:r w:rsidRPr="00A27512">
        <w:rPr>
          <w:b/>
          <w:bCs/>
          <w:lang w:val="en-US"/>
        </w:rPr>
        <w:t>mTRP</w:t>
      </w:r>
      <w:proofErr w:type="spellEnd"/>
      <w:r w:rsidRPr="00A27512">
        <w:rPr>
          <w:b/>
          <w:bCs/>
          <w:lang w:val="en-US"/>
        </w:rPr>
        <w:t>, in case the UE is not configured with PL offset the UE shall monitor two DL reference timings, one per TAG or TRP, whereas in case the UE is configured with PL offset, the UE shall monitor the DL reference timing of the DL/UL TRP.</w:t>
      </w:r>
    </w:p>
    <w:p w14:paraId="718CE942" w14:textId="77777777" w:rsidR="00A27512" w:rsidRDefault="00A27512" w:rsidP="00A27512">
      <w:pPr>
        <w:rPr>
          <w:lang w:val="en-US"/>
        </w:rPr>
      </w:pPr>
    </w:p>
    <w:p w14:paraId="0DB405FF" w14:textId="68110F82" w:rsidR="00A27512" w:rsidRPr="00A27512" w:rsidRDefault="00A27512" w:rsidP="00A27512">
      <w:pPr>
        <w:rPr>
          <w:lang w:val="en-US"/>
        </w:rPr>
      </w:pPr>
      <w:r w:rsidRPr="00A27512">
        <w:rPr>
          <w:lang w:val="en-US"/>
        </w:rPr>
        <w:t>Observation 4: While performing autonomous timing adjustments, the likelihood of timing errors is lower when the UE independently monitors and measures the DL RS from each TRP as compared to when the UE uses only one DL reference timing to perform autonomous timing adjustments to two TRPs.</w:t>
      </w:r>
    </w:p>
    <w:p w14:paraId="1ADE4570" w14:textId="77777777" w:rsidR="00A27512" w:rsidRDefault="00A27512" w:rsidP="00A27512">
      <w:pPr>
        <w:rPr>
          <w:lang w:val="en-US"/>
        </w:rPr>
      </w:pPr>
    </w:p>
    <w:p w14:paraId="4E56BAAA" w14:textId="7416699B" w:rsidR="00A27512" w:rsidRPr="00A27512" w:rsidRDefault="00A27512" w:rsidP="00A27512">
      <w:pPr>
        <w:rPr>
          <w:lang w:val="en-US"/>
        </w:rPr>
      </w:pPr>
      <w:r w:rsidRPr="00A27512">
        <w:rPr>
          <w:lang w:val="en-US"/>
        </w:rPr>
        <w:t>Observation 5: The current proposal in RAN1 to just have UE autonomous timing adjustment for the DL/UL capable TRP is in our view limiting the deployment of this feature, as there will be no requirements on the error for the UL transmission toward the UL-only TRP.</w:t>
      </w:r>
    </w:p>
    <w:p w14:paraId="3721D279" w14:textId="77777777" w:rsidR="00A27512" w:rsidRDefault="00A27512" w:rsidP="00A27512">
      <w:pPr>
        <w:rPr>
          <w:lang w:val="en-US"/>
        </w:rPr>
      </w:pPr>
    </w:p>
    <w:p w14:paraId="7043D9FB" w14:textId="0844168D" w:rsidR="00A27512" w:rsidRPr="00A27512" w:rsidRDefault="00A27512" w:rsidP="00A27512">
      <w:pPr>
        <w:rPr>
          <w:b/>
          <w:bCs/>
          <w:lang w:val="en-US"/>
        </w:rPr>
      </w:pPr>
      <w:r w:rsidRPr="00A27512">
        <w:rPr>
          <w:b/>
          <w:bCs/>
          <w:lang w:val="en-US"/>
        </w:rPr>
        <w:t xml:space="preserve">Proposal 2: With asymmetric DL </w:t>
      </w:r>
      <w:proofErr w:type="spellStart"/>
      <w:r w:rsidRPr="00A27512">
        <w:rPr>
          <w:b/>
          <w:bCs/>
          <w:lang w:val="en-US"/>
        </w:rPr>
        <w:t>sTRP</w:t>
      </w:r>
      <w:proofErr w:type="spellEnd"/>
      <w:r w:rsidRPr="00A27512">
        <w:rPr>
          <w:b/>
          <w:bCs/>
          <w:lang w:val="en-US"/>
        </w:rPr>
        <w:t xml:space="preserve">/UL </w:t>
      </w:r>
      <w:proofErr w:type="spellStart"/>
      <w:r w:rsidRPr="00A27512">
        <w:rPr>
          <w:b/>
          <w:bCs/>
          <w:lang w:val="en-US"/>
        </w:rPr>
        <w:t>mTRP</w:t>
      </w:r>
      <w:proofErr w:type="spellEnd"/>
      <w:r w:rsidRPr="00A27512">
        <w:rPr>
          <w:b/>
          <w:bCs/>
          <w:lang w:val="en-US"/>
        </w:rPr>
        <w:t>, specify conditions under which UE autonomous timing adjustment applies to just the DL/UL TRP or also to the UL-only TRP.</w:t>
      </w:r>
    </w:p>
    <w:p w14:paraId="1720BF36" w14:textId="77777777" w:rsidR="00A27512" w:rsidRDefault="00A27512" w:rsidP="00A27512">
      <w:pPr>
        <w:rPr>
          <w:lang w:val="en-US"/>
        </w:rPr>
      </w:pPr>
    </w:p>
    <w:p w14:paraId="760E644C" w14:textId="5FBE005C" w:rsidR="00A27512" w:rsidRDefault="00A27512" w:rsidP="00A27512">
      <w:pPr>
        <w:rPr>
          <w:lang w:val="en-US"/>
        </w:rPr>
      </w:pPr>
      <w:r w:rsidRPr="00A27512">
        <w:rPr>
          <w:lang w:val="en-US"/>
        </w:rPr>
        <w:t>Observation 6: Existing Rel-17 and Rel-18 unified TCI switching requirements are not applicable for target TCI state without DL reference signal.</w:t>
      </w:r>
    </w:p>
    <w:p w14:paraId="7FE2FCEF" w14:textId="77777777" w:rsidR="00A27512" w:rsidRPr="00A27512" w:rsidRDefault="00A27512" w:rsidP="00A27512">
      <w:pPr>
        <w:rPr>
          <w:lang w:val="en-US"/>
        </w:rPr>
      </w:pPr>
    </w:p>
    <w:p w14:paraId="212AAA07" w14:textId="77777777" w:rsidR="00A27512" w:rsidRDefault="00A27512" w:rsidP="00A27512">
      <w:pPr>
        <w:rPr>
          <w:lang w:val="en-US"/>
        </w:rPr>
      </w:pPr>
      <w:r w:rsidRPr="00A27512">
        <w:rPr>
          <w:lang w:val="en-US"/>
        </w:rPr>
        <w:t xml:space="preserve">Observation 7: In the case of asymmetric DL </w:t>
      </w:r>
      <w:proofErr w:type="spellStart"/>
      <w:r w:rsidRPr="00A27512">
        <w:rPr>
          <w:lang w:val="en-US"/>
        </w:rPr>
        <w:t>sTRP</w:t>
      </w:r>
      <w:proofErr w:type="spellEnd"/>
      <w:r w:rsidRPr="00A27512">
        <w:rPr>
          <w:lang w:val="en-US"/>
        </w:rPr>
        <w:t xml:space="preserve">/UL </w:t>
      </w:r>
      <w:proofErr w:type="spellStart"/>
      <w:r w:rsidRPr="00A27512">
        <w:rPr>
          <w:lang w:val="en-US"/>
        </w:rPr>
        <w:t>mTRP</w:t>
      </w:r>
      <w:proofErr w:type="spellEnd"/>
      <w:r w:rsidRPr="00A27512">
        <w:rPr>
          <w:lang w:val="en-US"/>
        </w:rPr>
        <w:t xml:space="preserve">, since the uplink-only TRP does not transmit any downlink reference signal when PL offset is configured for the UE, the existing Rel-18 </w:t>
      </w:r>
      <w:r w:rsidRPr="00A27512">
        <w:rPr>
          <w:lang w:val="en-US"/>
        </w:rPr>
        <w:lastRenderedPageBreak/>
        <w:t>requirements cannot be reused without changing the applicability of the uplink TCI state switch requirements.</w:t>
      </w:r>
    </w:p>
    <w:p w14:paraId="68B81523" w14:textId="77777777" w:rsidR="00A27512" w:rsidRPr="00A27512" w:rsidRDefault="00A27512" w:rsidP="00A27512">
      <w:pPr>
        <w:rPr>
          <w:lang w:val="en-US"/>
        </w:rPr>
      </w:pPr>
    </w:p>
    <w:p w14:paraId="7CC9901A" w14:textId="77777777" w:rsidR="00A27512" w:rsidRPr="00A27512" w:rsidRDefault="00A27512" w:rsidP="00A27512">
      <w:pPr>
        <w:rPr>
          <w:b/>
          <w:bCs/>
          <w:lang w:val="en-US"/>
        </w:rPr>
      </w:pPr>
      <w:r w:rsidRPr="00A27512">
        <w:rPr>
          <w:b/>
          <w:bCs/>
          <w:lang w:val="en-US"/>
        </w:rPr>
        <w:t>Proposal 3: Update the unified UL TCI state switching delay requirements to be applicable when the target UL TCI state is associated with an uplink reference signal.</w:t>
      </w:r>
    </w:p>
    <w:p w14:paraId="04C46003" w14:textId="77777777" w:rsidR="00A27512" w:rsidRDefault="00A27512" w:rsidP="00A27512">
      <w:pPr>
        <w:rPr>
          <w:lang w:val="en-US"/>
        </w:rPr>
      </w:pPr>
    </w:p>
    <w:p w14:paraId="5BAA332C" w14:textId="41340C30" w:rsidR="00A27512" w:rsidRPr="00A27512" w:rsidRDefault="00A27512" w:rsidP="00A27512">
      <w:pPr>
        <w:rPr>
          <w:lang w:val="en-US"/>
        </w:rPr>
      </w:pPr>
      <w:r w:rsidRPr="00A27512">
        <w:rPr>
          <w:lang w:val="en-US"/>
        </w:rPr>
        <w:t xml:space="preserve">Observation 8: Since existing Rel-17 unified TCI/ICBM and Rel-18 unified TCI framework is to be reused for asymmetric DL </w:t>
      </w:r>
      <w:proofErr w:type="spellStart"/>
      <w:r w:rsidRPr="00A27512">
        <w:rPr>
          <w:lang w:val="en-US"/>
        </w:rPr>
        <w:t>sTRP</w:t>
      </w:r>
      <w:proofErr w:type="spellEnd"/>
      <w:r w:rsidRPr="00A27512">
        <w:rPr>
          <w:lang w:val="en-US"/>
        </w:rPr>
        <w:t xml:space="preserve">/UL </w:t>
      </w:r>
      <w:proofErr w:type="spellStart"/>
      <w:r w:rsidRPr="00A27512">
        <w:rPr>
          <w:lang w:val="en-US"/>
        </w:rPr>
        <w:t>mTRP</w:t>
      </w:r>
      <w:proofErr w:type="spellEnd"/>
      <w:r w:rsidRPr="00A27512">
        <w:rPr>
          <w:lang w:val="en-US"/>
        </w:rPr>
        <w:t>, there is no change in DL and UL TCI state switch delay requirements.</w:t>
      </w:r>
    </w:p>
    <w:p w14:paraId="03141180" w14:textId="77777777" w:rsidR="00A27512" w:rsidRDefault="00A27512" w:rsidP="00A27512">
      <w:pPr>
        <w:rPr>
          <w:b/>
          <w:bCs/>
          <w:lang w:val="en-US"/>
        </w:rPr>
      </w:pPr>
    </w:p>
    <w:p w14:paraId="2B7A1765" w14:textId="62201009" w:rsidR="00A27512" w:rsidRPr="00A27512" w:rsidRDefault="00A27512" w:rsidP="00A27512">
      <w:pPr>
        <w:rPr>
          <w:b/>
          <w:bCs/>
          <w:lang w:val="en-US"/>
        </w:rPr>
      </w:pPr>
      <w:r w:rsidRPr="00A27512">
        <w:rPr>
          <w:b/>
          <w:bCs/>
          <w:lang w:val="en-US"/>
        </w:rPr>
        <w:t xml:space="preserve">Proposal 4: For the asymmetric DL/UL scenario, reuse Rel-17 and Rel-18 unified TCI single-DCI </w:t>
      </w:r>
      <w:proofErr w:type="spellStart"/>
      <w:r w:rsidRPr="00A27512">
        <w:rPr>
          <w:b/>
          <w:bCs/>
          <w:lang w:val="en-US"/>
        </w:rPr>
        <w:t>mTRP</w:t>
      </w:r>
      <w:proofErr w:type="spellEnd"/>
      <w:r w:rsidRPr="00A27512">
        <w:rPr>
          <w:b/>
          <w:bCs/>
          <w:lang w:val="en-US"/>
        </w:rPr>
        <w:t xml:space="preserve"> TCI state switching delay requirements for DL and UL TCI state switch.</w:t>
      </w:r>
    </w:p>
    <w:p w14:paraId="05E05390" w14:textId="77777777" w:rsidR="00A27512" w:rsidRDefault="00A27512" w:rsidP="00A27512">
      <w:pPr>
        <w:rPr>
          <w:lang w:val="en-US"/>
        </w:rPr>
      </w:pPr>
      <w:r w:rsidRPr="00A27512">
        <w:rPr>
          <w:lang w:val="en-US"/>
        </w:rPr>
        <w:t>Observation 9: Legacy uplink TCI state switching delay requirements are based on a TCI state switch being known or unknown.</w:t>
      </w:r>
    </w:p>
    <w:p w14:paraId="54C19425" w14:textId="77777777" w:rsidR="00A27512" w:rsidRPr="00A27512" w:rsidRDefault="00A27512" w:rsidP="00A27512">
      <w:pPr>
        <w:rPr>
          <w:lang w:val="en-US"/>
        </w:rPr>
      </w:pPr>
    </w:p>
    <w:p w14:paraId="09F274F0" w14:textId="77777777" w:rsidR="00A27512" w:rsidRPr="00A27512" w:rsidRDefault="00A27512" w:rsidP="00A27512">
      <w:pPr>
        <w:rPr>
          <w:lang w:val="en-US"/>
        </w:rPr>
      </w:pPr>
      <w:r w:rsidRPr="00A27512">
        <w:rPr>
          <w:lang w:val="en-US"/>
        </w:rPr>
        <w:t>Observation 10: Conditions defined for a TCI state to be considered as known or unknown are based on a recent measurement of a downlink reference signal.</w:t>
      </w:r>
    </w:p>
    <w:p w14:paraId="2D970E68" w14:textId="77777777" w:rsidR="00A27512" w:rsidRDefault="00A27512" w:rsidP="00A27512">
      <w:pPr>
        <w:rPr>
          <w:lang w:val="en-US"/>
        </w:rPr>
      </w:pPr>
    </w:p>
    <w:p w14:paraId="357CC273" w14:textId="76CCE5C1" w:rsidR="00A27512" w:rsidRPr="00A27512" w:rsidRDefault="00A27512" w:rsidP="00A27512">
      <w:pPr>
        <w:rPr>
          <w:lang w:val="en-US"/>
        </w:rPr>
      </w:pPr>
      <w:r w:rsidRPr="00A27512">
        <w:rPr>
          <w:lang w:val="en-US"/>
        </w:rPr>
        <w:t>Observation 11: For an uplink-only TRP, since there is no downlink reference signal being transmitted when PL offset is configured for the UE, the legacy known/unknown conditions cannot be reused.</w:t>
      </w:r>
    </w:p>
    <w:p w14:paraId="3CF47A9F" w14:textId="77777777" w:rsidR="00A27512" w:rsidRDefault="00A27512" w:rsidP="00A27512">
      <w:pPr>
        <w:rPr>
          <w:b/>
          <w:bCs/>
          <w:lang w:val="en-US"/>
        </w:rPr>
      </w:pPr>
    </w:p>
    <w:p w14:paraId="0E3C9683" w14:textId="61F98872" w:rsidR="00A27512" w:rsidRPr="00A27512" w:rsidRDefault="00A27512" w:rsidP="00A27512">
      <w:pPr>
        <w:rPr>
          <w:b/>
          <w:bCs/>
          <w:lang w:val="en-US"/>
        </w:rPr>
      </w:pPr>
      <w:r w:rsidRPr="00A27512">
        <w:rPr>
          <w:b/>
          <w:bCs/>
          <w:lang w:val="en-US"/>
        </w:rPr>
        <w:t>Proposal 5: RAN4 to define UL TCI state switch delay requirements for an uplink-only TRP with no distinction between known and unknown TCI states.</w:t>
      </w:r>
    </w:p>
    <w:p w14:paraId="08DE18D0" w14:textId="77777777" w:rsidR="00A27512" w:rsidRDefault="00A27512" w:rsidP="00A27512">
      <w:pPr>
        <w:rPr>
          <w:b/>
          <w:bCs/>
          <w:lang w:val="en-US"/>
        </w:rPr>
      </w:pPr>
    </w:p>
    <w:p w14:paraId="4566E62C" w14:textId="03A26A8B" w:rsidR="00A27512" w:rsidRDefault="00A27512" w:rsidP="00A27512">
      <w:pPr>
        <w:rPr>
          <w:b/>
          <w:bCs/>
          <w:lang w:val="en-US"/>
        </w:rPr>
      </w:pPr>
      <w:r w:rsidRPr="00A27512">
        <w:rPr>
          <w:b/>
          <w:bCs/>
          <w:lang w:val="en-US"/>
        </w:rPr>
        <w:t>Proposal 6: RAN4 to consider CJT simulation setup with TRP1/TRP2 carrying random data on OFDM symbols not carrying TRS.</w:t>
      </w:r>
    </w:p>
    <w:p w14:paraId="5DC3C618" w14:textId="77777777" w:rsidR="00A27512" w:rsidRPr="00A27512" w:rsidRDefault="00A27512" w:rsidP="00A27512">
      <w:pPr>
        <w:rPr>
          <w:b/>
          <w:bCs/>
          <w:lang w:val="en-US"/>
        </w:rPr>
      </w:pPr>
    </w:p>
    <w:p w14:paraId="179903DF" w14:textId="77777777" w:rsidR="00A27512" w:rsidRDefault="00A27512" w:rsidP="00A27512">
      <w:pPr>
        <w:rPr>
          <w:b/>
          <w:bCs/>
          <w:lang w:val="en-US"/>
        </w:rPr>
      </w:pPr>
      <w:r w:rsidRPr="00A27512">
        <w:rPr>
          <w:b/>
          <w:bCs/>
          <w:lang w:val="en-US"/>
        </w:rPr>
        <w:t>Proposal 7: For CJT calibration simulations adopt the following TRS 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567"/>
        <w:gridCol w:w="2977"/>
        <w:gridCol w:w="2976"/>
      </w:tblGrid>
      <w:tr w:rsidR="00A27512" w:rsidRPr="00495D84" w14:paraId="4173AF55" w14:textId="77777777" w:rsidTr="0072797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8FF4FEF" w14:textId="77777777" w:rsidR="00A27512" w:rsidRPr="00495D84" w:rsidRDefault="00A27512" w:rsidP="00727977">
            <w:pPr>
              <w:pStyle w:val="TAH"/>
            </w:pPr>
            <w:r w:rsidRPr="00495D84">
              <w:t>Parameter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AA635B" w14:textId="77777777" w:rsidR="00A27512" w:rsidRPr="00495D84" w:rsidRDefault="00A27512" w:rsidP="00727977">
            <w:pPr>
              <w:pStyle w:val="TAH"/>
            </w:pPr>
            <w:r w:rsidRPr="00495D84">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B28A9B" w14:textId="77777777" w:rsidR="00A27512" w:rsidRPr="00495D84" w:rsidRDefault="00A27512" w:rsidP="00727977">
            <w:pPr>
              <w:pStyle w:val="TAH"/>
            </w:pPr>
            <w:r>
              <w:t>Configuration 1</w:t>
            </w:r>
          </w:p>
        </w:tc>
        <w:tc>
          <w:tcPr>
            <w:tcW w:w="2976" w:type="dxa"/>
            <w:tcBorders>
              <w:top w:val="single" w:sz="4" w:space="0" w:color="auto"/>
              <w:left w:val="single" w:sz="4" w:space="0" w:color="auto"/>
              <w:bottom w:val="single" w:sz="4" w:space="0" w:color="auto"/>
              <w:right w:val="single" w:sz="4" w:space="0" w:color="auto"/>
            </w:tcBorders>
          </w:tcPr>
          <w:p w14:paraId="507C090A" w14:textId="77777777" w:rsidR="00A27512" w:rsidRPr="00495D84" w:rsidRDefault="00A27512" w:rsidP="00727977">
            <w:pPr>
              <w:pStyle w:val="TAH"/>
            </w:pPr>
            <w:r>
              <w:t>Configuration 2</w:t>
            </w:r>
          </w:p>
        </w:tc>
      </w:tr>
      <w:tr w:rsidR="00A27512" w:rsidRPr="00495D84" w14:paraId="6EE554F9" w14:textId="77777777" w:rsidTr="0072797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E1A1C89" w14:textId="77777777" w:rsidR="00A27512" w:rsidRPr="00495D84" w:rsidRDefault="00A27512" w:rsidP="00727977">
            <w:pPr>
              <w:pStyle w:val="TAL"/>
            </w:pPr>
            <w:r w:rsidRPr="00495D84">
              <w:t>SCS</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C56048" w14:textId="77777777" w:rsidR="00A27512" w:rsidRPr="00495D84" w:rsidRDefault="00A27512" w:rsidP="00727977">
            <w:pPr>
              <w:pStyle w:val="TAL"/>
            </w:pPr>
            <w:r w:rsidRPr="00495D84">
              <w:t>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0B5997" w14:textId="77777777" w:rsidR="00A27512" w:rsidRPr="00495D84" w:rsidRDefault="00A27512" w:rsidP="00727977">
            <w:pPr>
              <w:pStyle w:val="TAL"/>
            </w:pPr>
            <w:r w:rsidRPr="00495D84">
              <w:t>15</w:t>
            </w:r>
          </w:p>
        </w:tc>
        <w:tc>
          <w:tcPr>
            <w:tcW w:w="2976" w:type="dxa"/>
            <w:tcBorders>
              <w:top w:val="single" w:sz="4" w:space="0" w:color="auto"/>
              <w:left w:val="single" w:sz="4" w:space="0" w:color="auto"/>
              <w:bottom w:val="single" w:sz="4" w:space="0" w:color="auto"/>
              <w:right w:val="single" w:sz="4" w:space="0" w:color="auto"/>
            </w:tcBorders>
            <w:vAlign w:val="center"/>
          </w:tcPr>
          <w:p w14:paraId="4B78A882" w14:textId="77777777" w:rsidR="00A27512" w:rsidRPr="00495D84" w:rsidRDefault="00A27512" w:rsidP="00727977">
            <w:pPr>
              <w:pStyle w:val="TAL"/>
            </w:pPr>
            <w:r>
              <w:t>30</w:t>
            </w:r>
          </w:p>
        </w:tc>
      </w:tr>
      <w:tr w:rsidR="00A27512" w:rsidRPr="00495D84" w14:paraId="455BF874" w14:textId="77777777" w:rsidTr="00727977">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6EF9B4D0" w14:textId="77777777" w:rsidR="00A27512" w:rsidRPr="00495D84" w:rsidRDefault="00A27512" w:rsidP="00727977">
            <w:pPr>
              <w:pStyle w:val="TAL"/>
            </w:pPr>
            <w:r>
              <w:t>TRP</w:t>
            </w:r>
            <w:r w:rsidRPr="001E5680">
              <w:rPr>
                <w:vertAlign w:val="subscript"/>
              </w:rPr>
              <w:t>1</w:t>
            </w:r>
            <w:r>
              <w:t xml:space="preserve"> configures as NZP</w:t>
            </w:r>
          </w:p>
        </w:tc>
        <w:tc>
          <w:tcPr>
            <w:tcW w:w="567" w:type="dxa"/>
            <w:tcBorders>
              <w:top w:val="single" w:sz="4" w:space="0" w:color="auto"/>
              <w:left w:val="single" w:sz="4" w:space="0" w:color="auto"/>
              <w:bottom w:val="single" w:sz="4" w:space="0" w:color="auto"/>
              <w:right w:val="single" w:sz="4" w:space="0" w:color="auto"/>
            </w:tcBorders>
            <w:vAlign w:val="center"/>
          </w:tcPr>
          <w:p w14:paraId="7C9A802D" w14:textId="77777777" w:rsidR="00A27512" w:rsidRPr="00495D84" w:rsidRDefault="00A27512" w:rsidP="00727977">
            <w:pPr>
              <w:pStyle w:val="TAL"/>
            </w:pP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4E343ED9" w14:textId="77777777" w:rsidR="00A27512" w:rsidRPr="00495D84" w:rsidRDefault="00A27512" w:rsidP="00727977">
            <w:pPr>
              <w:pStyle w:val="TAL"/>
              <w:jc w:val="center"/>
            </w:pPr>
            <w:r>
              <w:t>TRS resources 1,2,3,4</w:t>
            </w:r>
          </w:p>
        </w:tc>
      </w:tr>
      <w:tr w:rsidR="00A27512" w14:paraId="1ABC2C68" w14:textId="77777777" w:rsidTr="00727977">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74574A03" w14:textId="77777777" w:rsidR="00A27512" w:rsidRDefault="00A27512" w:rsidP="00727977">
            <w:pPr>
              <w:pStyle w:val="TAL"/>
            </w:pPr>
            <w:r>
              <w:t>TRP</w:t>
            </w:r>
            <w:r w:rsidRPr="001E5680">
              <w:rPr>
                <w:vertAlign w:val="subscript"/>
              </w:rPr>
              <w:t>1</w:t>
            </w:r>
            <w:r>
              <w:t xml:space="preserve"> configures as ZP</w:t>
            </w:r>
          </w:p>
        </w:tc>
        <w:tc>
          <w:tcPr>
            <w:tcW w:w="567" w:type="dxa"/>
            <w:tcBorders>
              <w:top w:val="single" w:sz="4" w:space="0" w:color="auto"/>
              <w:left w:val="single" w:sz="4" w:space="0" w:color="auto"/>
              <w:bottom w:val="single" w:sz="4" w:space="0" w:color="auto"/>
              <w:right w:val="single" w:sz="4" w:space="0" w:color="auto"/>
            </w:tcBorders>
            <w:vAlign w:val="center"/>
          </w:tcPr>
          <w:p w14:paraId="53BF470E" w14:textId="77777777" w:rsidR="00A27512" w:rsidRPr="00495D84" w:rsidRDefault="00A27512" w:rsidP="00727977">
            <w:pPr>
              <w:pStyle w:val="TAL"/>
            </w:pP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6C15C890" w14:textId="77777777" w:rsidR="00A27512" w:rsidRDefault="00A27512" w:rsidP="00727977">
            <w:pPr>
              <w:pStyle w:val="TAL"/>
              <w:jc w:val="center"/>
            </w:pPr>
            <w:r>
              <w:t>TRS resources 5,6,7,8</w:t>
            </w:r>
          </w:p>
        </w:tc>
      </w:tr>
      <w:tr w:rsidR="00A27512" w14:paraId="51C5F221" w14:textId="77777777" w:rsidTr="00727977">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000616E" w14:textId="77777777" w:rsidR="00A27512" w:rsidRDefault="00A27512" w:rsidP="00727977">
            <w:pPr>
              <w:pStyle w:val="TAL"/>
            </w:pPr>
            <w:r>
              <w:t>TRP</w:t>
            </w:r>
            <w:r w:rsidRPr="001E5680">
              <w:rPr>
                <w:vertAlign w:val="subscript"/>
              </w:rPr>
              <w:t>2</w:t>
            </w:r>
            <w:r>
              <w:t xml:space="preserve"> configures as NZP</w:t>
            </w:r>
          </w:p>
        </w:tc>
        <w:tc>
          <w:tcPr>
            <w:tcW w:w="567" w:type="dxa"/>
            <w:tcBorders>
              <w:top w:val="single" w:sz="4" w:space="0" w:color="auto"/>
              <w:left w:val="single" w:sz="4" w:space="0" w:color="auto"/>
              <w:bottom w:val="single" w:sz="4" w:space="0" w:color="auto"/>
              <w:right w:val="single" w:sz="4" w:space="0" w:color="auto"/>
            </w:tcBorders>
            <w:vAlign w:val="center"/>
          </w:tcPr>
          <w:p w14:paraId="69A69605" w14:textId="77777777" w:rsidR="00A27512" w:rsidRPr="00495D84" w:rsidRDefault="00A27512" w:rsidP="00727977">
            <w:pPr>
              <w:pStyle w:val="TAL"/>
            </w:pP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36D62E96" w14:textId="77777777" w:rsidR="00A27512" w:rsidRDefault="00A27512" w:rsidP="00727977">
            <w:pPr>
              <w:pStyle w:val="TAL"/>
              <w:jc w:val="center"/>
            </w:pPr>
            <w:r>
              <w:t>TRS resources 5,6,7,8</w:t>
            </w:r>
          </w:p>
        </w:tc>
      </w:tr>
      <w:tr w:rsidR="00A27512" w14:paraId="215B34FC" w14:textId="77777777" w:rsidTr="00727977">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31E6BA53" w14:textId="77777777" w:rsidR="00A27512" w:rsidRDefault="00A27512" w:rsidP="00727977">
            <w:pPr>
              <w:pStyle w:val="TAL"/>
            </w:pPr>
            <w:r>
              <w:t>TRP</w:t>
            </w:r>
            <w:r w:rsidRPr="00BE7F81">
              <w:rPr>
                <w:vertAlign w:val="subscript"/>
              </w:rPr>
              <w:t>2</w:t>
            </w:r>
            <w:r>
              <w:t xml:space="preserve"> configures as ZP</w:t>
            </w:r>
          </w:p>
        </w:tc>
        <w:tc>
          <w:tcPr>
            <w:tcW w:w="567" w:type="dxa"/>
            <w:tcBorders>
              <w:top w:val="single" w:sz="4" w:space="0" w:color="auto"/>
              <w:left w:val="single" w:sz="4" w:space="0" w:color="auto"/>
              <w:bottom w:val="single" w:sz="4" w:space="0" w:color="auto"/>
              <w:right w:val="single" w:sz="4" w:space="0" w:color="auto"/>
            </w:tcBorders>
            <w:vAlign w:val="center"/>
          </w:tcPr>
          <w:p w14:paraId="7B86CFED" w14:textId="77777777" w:rsidR="00A27512" w:rsidRPr="00495D84" w:rsidRDefault="00A27512" w:rsidP="00727977">
            <w:pPr>
              <w:pStyle w:val="TAL"/>
            </w:pP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7DE3A5C3" w14:textId="77777777" w:rsidR="00A27512" w:rsidRDefault="00A27512" w:rsidP="00727977">
            <w:pPr>
              <w:pStyle w:val="TAL"/>
              <w:jc w:val="center"/>
            </w:pPr>
            <w:r>
              <w:t>TRS resources 1,2,3,4</w:t>
            </w:r>
          </w:p>
        </w:tc>
      </w:tr>
      <w:tr w:rsidR="00A27512" w:rsidRPr="00495D84" w14:paraId="610EF4E5" w14:textId="77777777" w:rsidTr="0072797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30C66DD" w14:textId="77777777" w:rsidR="00A27512" w:rsidRPr="00495D84" w:rsidRDefault="00A27512" w:rsidP="00727977">
            <w:pPr>
              <w:pStyle w:val="TAL"/>
            </w:pPr>
            <w:r w:rsidRPr="00495D84">
              <w:t>First</w:t>
            </w:r>
            <w:r>
              <w:t xml:space="preserve"> </w:t>
            </w:r>
            <w:r w:rsidRPr="00495D84">
              <w:t>subcarrier</w:t>
            </w:r>
            <w:r>
              <w:t xml:space="preserve"> </w:t>
            </w:r>
            <w:r w:rsidRPr="00495D84">
              <w:t>index</w:t>
            </w:r>
            <w:r>
              <w:t xml:space="preserve"> </w:t>
            </w:r>
            <w:r w:rsidRPr="00495D84">
              <w:t>in</w:t>
            </w:r>
            <w:r>
              <w:t xml:space="preserve"> </w:t>
            </w:r>
            <w:r w:rsidRPr="00495D84">
              <w:t>the</w:t>
            </w:r>
            <w:r>
              <w:t xml:space="preserve"> </w:t>
            </w:r>
            <w:r w:rsidRPr="00495D84">
              <w:t>PRB</w:t>
            </w:r>
            <w:r>
              <w:t xml:space="preserve"> </w:t>
            </w:r>
            <w:r w:rsidRPr="00495D84">
              <w:t>used</w:t>
            </w:r>
            <w:r>
              <w:t xml:space="preserve"> </w:t>
            </w:r>
            <w:r w:rsidRPr="00495D84">
              <w:t>for</w:t>
            </w:r>
            <w:r>
              <w:t xml:space="preserve"> </w:t>
            </w:r>
            <w:r w:rsidRPr="00495D84">
              <w:t>CSI-RS</w:t>
            </w:r>
            <w: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4DD2F26B" w14:textId="77777777" w:rsidR="00A27512" w:rsidRPr="00495D84" w:rsidRDefault="00A27512" w:rsidP="00727977">
            <w:pPr>
              <w:pStyle w:val="TAL"/>
            </w:pPr>
          </w:p>
        </w:tc>
        <w:tc>
          <w:tcPr>
            <w:tcW w:w="5953" w:type="dxa"/>
            <w:gridSpan w:val="2"/>
            <w:tcBorders>
              <w:top w:val="single" w:sz="4" w:space="0" w:color="auto"/>
              <w:left w:val="single" w:sz="4" w:space="0" w:color="auto"/>
              <w:bottom w:val="single" w:sz="4" w:space="0" w:color="auto"/>
              <w:right w:val="single" w:sz="4" w:space="0" w:color="auto"/>
            </w:tcBorders>
            <w:vAlign w:val="center"/>
            <w:hideMark/>
          </w:tcPr>
          <w:p w14:paraId="30AACD50" w14:textId="77777777" w:rsidR="00A27512" w:rsidRDefault="00A27512" w:rsidP="00727977">
            <w:pPr>
              <w:pStyle w:val="TAL"/>
              <w:jc w:val="center"/>
            </w:pPr>
            <w:r w:rsidRPr="00495D84">
              <w:t>k</w:t>
            </w:r>
            <w:r w:rsidRPr="00495D84">
              <w:rPr>
                <w:vertAlign w:val="subscript"/>
              </w:rPr>
              <w:t>0</w:t>
            </w:r>
            <w:r w:rsidRPr="00495D84">
              <w:t>=0</w:t>
            </w:r>
            <w:r>
              <w:t xml:space="preserve"> for TRS resources 1,2,3,4</w:t>
            </w:r>
          </w:p>
          <w:p w14:paraId="239332C2" w14:textId="77777777" w:rsidR="00A27512" w:rsidRPr="00495D84" w:rsidRDefault="00A27512" w:rsidP="00727977">
            <w:pPr>
              <w:pStyle w:val="TAL"/>
              <w:jc w:val="center"/>
            </w:pPr>
            <w:r w:rsidRPr="00495D84">
              <w:t>k</w:t>
            </w:r>
            <w:r w:rsidRPr="00495D84">
              <w:rPr>
                <w:vertAlign w:val="subscript"/>
              </w:rPr>
              <w:t>0</w:t>
            </w:r>
            <w:r w:rsidRPr="00495D84">
              <w:t>=</w:t>
            </w:r>
            <w:r>
              <w:t>1 for TRS resources 5,6,7,8</w:t>
            </w:r>
          </w:p>
        </w:tc>
      </w:tr>
      <w:tr w:rsidR="00A27512" w:rsidRPr="00495D84" w14:paraId="6E08E741" w14:textId="77777777" w:rsidTr="0072797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5D5ECC8" w14:textId="77777777" w:rsidR="00A27512" w:rsidRPr="00495D84" w:rsidRDefault="00A27512" w:rsidP="00727977">
            <w:pPr>
              <w:pStyle w:val="TAL"/>
            </w:pPr>
            <w:r w:rsidRPr="00495D84">
              <w:t>First</w:t>
            </w:r>
            <w:r>
              <w:t xml:space="preserve"> </w:t>
            </w:r>
            <w:r w:rsidRPr="00495D84">
              <w:t>OFDM</w:t>
            </w:r>
            <w:r>
              <w:t xml:space="preserve"> </w:t>
            </w:r>
            <w:r w:rsidRPr="00495D84">
              <w:t>symbol</w:t>
            </w:r>
            <w:r>
              <w:t xml:space="preserve"> </w:t>
            </w:r>
            <w:r w:rsidRPr="00495D84">
              <w:t>in</w:t>
            </w:r>
            <w:r>
              <w:t xml:space="preserve"> </w:t>
            </w:r>
            <w:r w:rsidRPr="00495D84">
              <w:t>the</w:t>
            </w:r>
            <w:r>
              <w:t xml:space="preserve"> </w:t>
            </w:r>
            <w:r w:rsidRPr="00495D84">
              <w:t>slot</w:t>
            </w:r>
            <w:r>
              <w:t xml:space="preserve"> </w:t>
            </w:r>
            <w:r w:rsidRPr="00495D84">
              <w:t>used</w:t>
            </w:r>
            <w:r>
              <w:t xml:space="preserve"> </w:t>
            </w:r>
            <w:r w:rsidRPr="00495D84">
              <w:t>for</w:t>
            </w:r>
            <w:r>
              <w:t xml:space="preserve"> </w:t>
            </w:r>
            <w:r w:rsidRPr="00495D84">
              <w:t>CSI-RS</w:t>
            </w:r>
            <w: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4AE9643C" w14:textId="77777777" w:rsidR="00A27512" w:rsidRPr="00495D84" w:rsidRDefault="00A27512" w:rsidP="00727977">
            <w:pPr>
              <w:pStyle w:val="TAL"/>
            </w:pPr>
          </w:p>
        </w:tc>
        <w:tc>
          <w:tcPr>
            <w:tcW w:w="5953" w:type="dxa"/>
            <w:gridSpan w:val="2"/>
            <w:tcBorders>
              <w:top w:val="single" w:sz="4" w:space="0" w:color="auto"/>
              <w:left w:val="single" w:sz="4" w:space="0" w:color="auto"/>
              <w:bottom w:val="single" w:sz="4" w:space="0" w:color="auto"/>
              <w:right w:val="single" w:sz="4" w:space="0" w:color="auto"/>
            </w:tcBorders>
            <w:vAlign w:val="center"/>
            <w:hideMark/>
          </w:tcPr>
          <w:p w14:paraId="76B738BF" w14:textId="77777777" w:rsidR="00A27512" w:rsidRPr="00495D84" w:rsidRDefault="00A27512" w:rsidP="00727977">
            <w:pPr>
              <w:pStyle w:val="TAL"/>
              <w:jc w:val="center"/>
            </w:pPr>
            <w:r w:rsidRPr="00495D84">
              <w:t>l</w:t>
            </w:r>
            <w:r w:rsidRPr="00495D84">
              <w:rPr>
                <w:vertAlign w:val="subscript"/>
              </w:rPr>
              <w:t>0</w:t>
            </w:r>
            <w:r>
              <w:t xml:space="preserve"> </w:t>
            </w:r>
            <w:r w:rsidRPr="00495D84">
              <w:t>=</w:t>
            </w:r>
            <w:r>
              <w:t xml:space="preserve"> </w:t>
            </w:r>
            <w:r w:rsidRPr="00E90F2A">
              <w:rPr>
                <w:b/>
              </w:rPr>
              <w:t>FFS</w:t>
            </w:r>
            <w:r>
              <w:t xml:space="preserve"> </w:t>
            </w:r>
            <w:r>
              <w:t>for TRS resources 1,3,5,7</w:t>
            </w:r>
            <w:r>
              <w:br/>
            </w:r>
            <w:r w:rsidRPr="00495D84">
              <w:t>l</w:t>
            </w:r>
            <w:r w:rsidRPr="00495D84">
              <w:rPr>
                <w:vertAlign w:val="subscript"/>
              </w:rPr>
              <w:t>0</w:t>
            </w:r>
            <w:r>
              <w:t xml:space="preserve"> </w:t>
            </w:r>
            <w:r w:rsidRPr="00495D84">
              <w:t>=</w:t>
            </w:r>
            <w:r>
              <w:t xml:space="preserve"> </w:t>
            </w:r>
            <w:r w:rsidRPr="00E90F2A">
              <w:rPr>
                <w:b/>
              </w:rPr>
              <w:t>FFS</w:t>
            </w:r>
            <w:r>
              <w:t xml:space="preserve"> </w:t>
            </w:r>
            <w:r>
              <w:t>for TRS resources 2,4,6,8</w:t>
            </w:r>
          </w:p>
        </w:tc>
      </w:tr>
      <w:tr w:rsidR="00A27512" w:rsidRPr="00495D84" w14:paraId="443F85A1" w14:textId="77777777" w:rsidTr="0072797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69C89CB" w14:textId="77777777" w:rsidR="00A27512" w:rsidRPr="00F80E10" w:rsidRDefault="00A27512" w:rsidP="00727977">
            <w:pPr>
              <w:pStyle w:val="TAL"/>
              <w:rPr>
                <w:vertAlign w:val="superscript"/>
                <w:lang w:val="en-DK"/>
              </w:rPr>
            </w:pPr>
            <w:proofErr w:type="spellStart"/>
            <w:r>
              <w:t>row</w:t>
            </w:r>
            <w:r>
              <w:rPr>
                <w:vertAlign w:val="superscript"/>
              </w:rPr>
              <w:t>Note</w:t>
            </w:r>
            <w:proofErr w:type="spellEnd"/>
            <w:r>
              <w:rPr>
                <w:vertAlign w:val="superscript"/>
              </w:rPr>
              <w:t xml:space="preserve"> </w:t>
            </w:r>
            <w:r>
              <w:rPr>
                <w:vertAlign w:val="superscript"/>
                <w:lang w:val="en-DK"/>
              </w:rPr>
              <w:t>1</w:t>
            </w:r>
          </w:p>
        </w:tc>
        <w:tc>
          <w:tcPr>
            <w:tcW w:w="567" w:type="dxa"/>
            <w:tcBorders>
              <w:top w:val="single" w:sz="4" w:space="0" w:color="auto"/>
              <w:left w:val="single" w:sz="4" w:space="0" w:color="auto"/>
              <w:bottom w:val="single" w:sz="4" w:space="0" w:color="auto"/>
              <w:right w:val="single" w:sz="4" w:space="0" w:color="auto"/>
            </w:tcBorders>
            <w:vAlign w:val="center"/>
          </w:tcPr>
          <w:p w14:paraId="1E5F2137" w14:textId="77777777" w:rsidR="00A27512" w:rsidRPr="00495D84" w:rsidRDefault="00A27512" w:rsidP="00727977">
            <w:pPr>
              <w:pStyle w:val="TAL"/>
            </w:pPr>
          </w:p>
        </w:tc>
        <w:tc>
          <w:tcPr>
            <w:tcW w:w="5953" w:type="dxa"/>
            <w:gridSpan w:val="2"/>
            <w:tcBorders>
              <w:top w:val="single" w:sz="4" w:space="0" w:color="auto"/>
              <w:left w:val="single" w:sz="4" w:space="0" w:color="auto"/>
              <w:bottom w:val="single" w:sz="4" w:space="0" w:color="auto"/>
              <w:right w:val="single" w:sz="4" w:space="0" w:color="auto"/>
            </w:tcBorders>
            <w:vAlign w:val="center"/>
            <w:hideMark/>
          </w:tcPr>
          <w:p w14:paraId="428A071C" w14:textId="77777777" w:rsidR="00A27512" w:rsidRPr="00495D84" w:rsidRDefault="00A27512" w:rsidP="00727977">
            <w:pPr>
              <w:pStyle w:val="TAL"/>
              <w:jc w:val="center"/>
            </w:pPr>
            <w:r>
              <w:t>1</w:t>
            </w:r>
          </w:p>
        </w:tc>
      </w:tr>
      <w:tr w:rsidR="00A27512" w:rsidRPr="00495D84" w14:paraId="097E5491" w14:textId="77777777" w:rsidTr="0072797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3F63DC4" w14:textId="77777777" w:rsidR="00A27512" w:rsidRPr="00495D84" w:rsidRDefault="00A27512" w:rsidP="00727977">
            <w:pPr>
              <w:pStyle w:val="TAL"/>
            </w:pPr>
            <w:r w:rsidRPr="00495D84">
              <w:t>CSI-RS</w:t>
            </w:r>
            <w:r>
              <w:t xml:space="preserve"> </w:t>
            </w:r>
            <w:r w:rsidRPr="00495D84">
              <w:t>periodicity</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AC5E99" w14:textId="77777777" w:rsidR="00A27512" w:rsidRPr="00495D84" w:rsidRDefault="00A27512" w:rsidP="00727977">
            <w:pPr>
              <w:pStyle w:val="TAL"/>
            </w:pPr>
            <w:r w:rsidRPr="00495D84">
              <w:t>slots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B5D79D" w14:textId="77777777" w:rsidR="00A27512" w:rsidRPr="00495D84" w:rsidRDefault="00A27512" w:rsidP="00727977">
            <w:pPr>
              <w:pStyle w:val="TAL"/>
            </w:pPr>
            <w:r w:rsidRPr="00495D84">
              <w:t>20</w:t>
            </w:r>
            <w:r>
              <w:t xml:space="preserve"> </w:t>
            </w:r>
          </w:p>
        </w:tc>
        <w:tc>
          <w:tcPr>
            <w:tcW w:w="2976" w:type="dxa"/>
            <w:tcBorders>
              <w:top w:val="single" w:sz="4" w:space="0" w:color="auto"/>
              <w:left w:val="single" w:sz="4" w:space="0" w:color="auto"/>
              <w:bottom w:val="single" w:sz="4" w:space="0" w:color="auto"/>
              <w:right w:val="single" w:sz="4" w:space="0" w:color="auto"/>
            </w:tcBorders>
            <w:vAlign w:val="center"/>
          </w:tcPr>
          <w:p w14:paraId="161D9F8B" w14:textId="77777777" w:rsidR="00A27512" w:rsidRPr="00495D84" w:rsidRDefault="00A27512" w:rsidP="00727977">
            <w:pPr>
              <w:pStyle w:val="TAL"/>
            </w:pPr>
            <w:r>
              <w:t>4</w:t>
            </w:r>
            <w:r w:rsidRPr="00495D84">
              <w:t>0</w:t>
            </w:r>
            <w:r>
              <w:t xml:space="preserve"> </w:t>
            </w:r>
          </w:p>
        </w:tc>
      </w:tr>
      <w:tr w:rsidR="00A27512" w:rsidRPr="00495D84" w14:paraId="7FC5A0FC" w14:textId="77777777" w:rsidTr="0072797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E7EF393" w14:textId="77777777" w:rsidR="00A27512" w:rsidRPr="00495D84" w:rsidRDefault="00A27512" w:rsidP="00727977">
            <w:pPr>
              <w:pStyle w:val="TAL"/>
            </w:pPr>
            <w:r w:rsidRPr="00495D84">
              <w:t>CSI-RS</w:t>
            </w:r>
            <w:r>
              <w:t xml:space="preserve"> </w:t>
            </w:r>
            <w:r w:rsidRPr="00495D84">
              <w:t>offset</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533161" w14:textId="77777777" w:rsidR="00A27512" w:rsidRPr="00495D84" w:rsidRDefault="00A27512" w:rsidP="00727977">
            <w:pPr>
              <w:pStyle w:val="TAL"/>
            </w:pPr>
            <w:r w:rsidRPr="00495D84">
              <w:t>slots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9A546B" w14:textId="77777777" w:rsidR="00A27512" w:rsidRPr="00495D84" w:rsidRDefault="00A27512" w:rsidP="00727977">
            <w:pPr>
              <w:pStyle w:val="TAL"/>
            </w:pPr>
            <w:r w:rsidRPr="00495D84">
              <w:t>10</w:t>
            </w:r>
            <w:r>
              <w:rPr>
                <w:lang w:val="en-DK"/>
              </w:rPr>
              <w:t xml:space="preserve"> </w:t>
            </w:r>
            <w:r>
              <w:t>for TRS resources 1,2,5,6</w:t>
            </w:r>
          </w:p>
          <w:p w14:paraId="34A56237" w14:textId="77777777" w:rsidR="00A27512" w:rsidRPr="00495D84" w:rsidRDefault="00A27512" w:rsidP="00727977">
            <w:pPr>
              <w:pStyle w:val="TAL"/>
            </w:pPr>
            <w:r w:rsidRPr="00495D84">
              <w:t>11</w:t>
            </w:r>
            <w:r>
              <w:t xml:space="preserve"> for TRS resources 3,4,7,8</w:t>
            </w:r>
          </w:p>
        </w:tc>
        <w:tc>
          <w:tcPr>
            <w:tcW w:w="2976" w:type="dxa"/>
            <w:tcBorders>
              <w:top w:val="single" w:sz="4" w:space="0" w:color="auto"/>
              <w:left w:val="single" w:sz="4" w:space="0" w:color="auto"/>
              <w:bottom w:val="single" w:sz="4" w:space="0" w:color="auto"/>
              <w:right w:val="single" w:sz="4" w:space="0" w:color="auto"/>
            </w:tcBorders>
            <w:vAlign w:val="center"/>
          </w:tcPr>
          <w:p w14:paraId="47B5AD8C" w14:textId="77777777" w:rsidR="00A27512" w:rsidRPr="00495D84" w:rsidRDefault="00A27512" w:rsidP="00727977">
            <w:pPr>
              <w:pStyle w:val="TAL"/>
            </w:pPr>
            <w:r>
              <w:t>2</w:t>
            </w:r>
            <w:r w:rsidRPr="00495D84">
              <w:t>0</w:t>
            </w:r>
            <w:r>
              <w:t xml:space="preserve"> for TRS resources 1,2,5,6</w:t>
            </w:r>
          </w:p>
          <w:p w14:paraId="1FCFBE56" w14:textId="77777777" w:rsidR="00A27512" w:rsidRPr="00495D84" w:rsidRDefault="00A27512" w:rsidP="00727977">
            <w:pPr>
              <w:pStyle w:val="TAL"/>
            </w:pPr>
            <w:r>
              <w:t>2</w:t>
            </w:r>
            <w:r w:rsidRPr="00495D84">
              <w:t>1</w:t>
            </w:r>
            <w:r>
              <w:t xml:space="preserve"> for TRS resources 3,4,7,8</w:t>
            </w:r>
          </w:p>
        </w:tc>
      </w:tr>
      <w:tr w:rsidR="00A27512" w:rsidRPr="001825EA" w14:paraId="1FA60530" w14:textId="77777777" w:rsidTr="00727977">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BBDE925" w14:textId="77777777" w:rsidR="00A27512" w:rsidRPr="001825EA" w:rsidRDefault="00A27512" w:rsidP="00727977">
            <w:pPr>
              <w:pStyle w:val="TAL"/>
            </w:pPr>
            <w:r>
              <w:t xml:space="preserve">Note 1: row value from TS38.211 </w:t>
            </w:r>
            <w:r w:rsidRPr="001825EA">
              <w:t>Table 7.4.1.5.3-1</w:t>
            </w:r>
            <w:r>
              <w:t xml:space="preserve"> defines density, CDM Type and number of ports, etc.</w:t>
            </w:r>
          </w:p>
        </w:tc>
      </w:tr>
    </w:tbl>
    <w:p w14:paraId="67B07394" w14:textId="77777777" w:rsidR="00A27512" w:rsidRPr="00A27512" w:rsidRDefault="00A27512" w:rsidP="00A27512">
      <w:pPr>
        <w:rPr>
          <w:b/>
          <w:bCs/>
        </w:rPr>
      </w:pPr>
    </w:p>
    <w:p w14:paraId="64364C57" w14:textId="77777777" w:rsidR="00A27512" w:rsidRPr="00A27512" w:rsidRDefault="00A27512" w:rsidP="00A27512">
      <w:pPr>
        <w:rPr>
          <w:b/>
          <w:bCs/>
          <w:lang w:val="en-US"/>
        </w:rPr>
      </w:pPr>
      <w:r w:rsidRPr="00A27512">
        <w:rPr>
          <w:b/>
          <w:bCs/>
          <w:lang w:val="en-US"/>
        </w:rPr>
        <w:t>Proposal 8: Clarify CFO, TO, and PO in the simulation assumption, and define it as:</w:t>
      </w:r>
    </w:p>
    <w:p w14:paraId="121B86A4" w14:textId="5BB045CC" w:rsidR="00A27512" w:rsidRPr="00A27512" w:rsidRDefault="00A27512" w:rsidP="00A27512">
      <w:pPr>
        <w:pStyle w:val="ListParagraph"/>
        <w:numPr>
          <w:ilvl w:val="1"/>
          <w:numId w:val="45"/>
        </w:numPr>
        <w:rPr>
          <w:b/>
          <w:bCs/>
          <w:lang w:val="en-US"/>
        </w:rPr>
      </w:pPr>
      <w:r w:rsidRPr="00A27512">
        <w:rPr>
          <w:b/>
          <w:bCs/>
          <w:lang w:val="en-US"/>
        </w:rPr>
        <w:t>CFO error per TRP (CFO1 and CFO2) should be randomly chosen from the range [-0.5A ppm; 0.5A ppm] such that |CFO1 - CFO2| is uniformly distributed in [0; A ppm]</w:t>
      </w:r>
    </w:p>
    <w:p w14:paraId="4508FDAC" w14:textId="6DD5DEF5" w:rsidR="00A27512" w:rsidRPr="00A27512" w:rsidRDefault="00A27512" w:rsidP="00A27512">
      <w:pPr>
        <w:pStyle w:val="ListParagraph"/>
        <w:numPr>
          <w:ilvl w:val="1"/>
          <w:numId w:val="45"/>
        </w:numPr>
        <w:rPr>
          <w:b/>
          <w:bCs/>
          <w:lang w:val="en-US"/>
        </w:rPr>
      </w:pPr>
      <w:r w:rsidRPr="00A27512">
        <w:rPr>
          <w:b/>
          <w:bCs/>
          <w:lang w:val="en-US"/>
        </w:rPr>
        <w:t>TO error per TRP (TO1 and TO2) should be randomly chosen from the range [-0,5 B CP; 0,5 B CP] such that |TO1 - TO2| is uniformly distributed in [0; B CP]</w:t>
      </w:r>
    </w:p>
    <w:p w14:paraId="04F87CE4" w14:textId="13487799" w:rsidR="00A27512" w:rsidRPr="00A27512" w:rsidRDefault="00A27512" w:rsidP="00A27512">
      <w:pPr>
        <w:pStyle w:val="ListParagraph"/>
        <w:numPr>
          <w:ilvl w:val="1"/>
          <w:numId w:val="45"/>
        </w:numPr>
        <w:rPr>
          <w:b/>
          <w:bCs/>
          <w:lang w:val="en-US"/>
        </w:rPr>
      </w:pPr>
      <w:r w:rsidRPr="00A27512">
        <w:rPr>
          <w:b/>
          <w:bCs/>
          <w:lang w:val="en-US"/>
        </w:rPr>
        <w:t>PO error per TRP (PO1 and PO2) should be randomly chosen from the range [-</w:t>
      </w:r>
      <w:proofErr w:type="gramStart"/>
      <w:r w:rsidRPr="00A27512">
        <w:rPr>
          <w:b/>
          <w:bCs/>
          <w:lang w:val="en-US"/>
        </w:rPr>
        <w:t>π;  π</w:t>
      </w:r>
      <w:proofErr w:type="gramEnd"/>
      <w:r w:rsidRPr="00A27512">
        <w:rPr>
          <w:b/>
          <w:bCs/>
          <w:lang w:val="en-US"/>
        </w:rPr>
        <w:t>] such that |PO1 - PO2| is uniformly distributed in [-π;  π]</w:t>
      </w:r>
    </w:p>
    <w:p w14:paraId="4BDBDC4B" w14:textId="77777777" w:rsidR="00A27512" w:rsidRPr="00A27512" w:rsidRDefault="00A27512" w:rsidP="00A27512">
      <w:pPr>
        <w:rPr>
          <w:lang w:val="en-US"/>
        </w:rPr>
      </w:pPr>
      <w:r w:rsidRPr="00A27512">
        <w:rPr>
          <w:lang w:val="en-US"/>
        </w:rPr>
        <w:t>Observation 12: Assuming not MRT-</w:t>
      </w:r>
      <w:proofErr w:type="spellStart"/>
      <w:r w:rsidRPr="00A27512">
        <w:rPr>
          <w:lang w:val="en-US"/>
        </w:rPr>
        <w:t>precoded</w:t>
      </w:r>
      <w:proofErr w:type="spellEnd"/>
      <w:r w:rsidRPr="00A27512">
        <w:rPr>
          <w:lang w:val="en-US"/>
        </w:rPr>
        <w:t xml:space="preserve"> single port CSI-RS phase offset estimation may enable the accuracy test by only estimating the accuracy of the UE reported phase offset quantity.</w:t>
      </w:r>
    </w:p>
    <w:p w14:paraId="4C9EFC31" w14:textId="77777777" w:rsidR="00A27512" w:rsidRDefault="00A27512" w:rsidP="00A27512">
      <w:pPr>
        <w:rPr>
          <w:lang w:val="en-US"/>
        </w:rPr>
      </w:pPr>
      <w:r w:rsidRPr="00A27512">
        <w:rPr>
          <w:lang w:val="en-US"/>
        </w:rPr>
        <w:lastRenderedPageBreak/>
        <w:t>Observation 13: For not MRT-</w:t>
      </w:r>
      <w:proofErr w:type="spellStart"/>
      <w:r w:rsidRPr="00A27512">
        <w:rPr>
          <w:lang w:val="en-US"/>
        </w:rPr>
        <w:t>precoded</w:t>
      </w:r>
      <w:proofErr w:type="spellEnd"/>
      <w:r w:rsidRPr="00A27512">
        <w:rPr>
          <w:lang w:val="en-US"/>
        </w:rPr>
        <w:t xml:space="preserve"> single port CSI-RS phase offset estimation requires symmetrical averaging at both UE and network sides, otherwise there is a loss in performance due to bad phase offset compensation.</w:t>
      </w:r>
    </w:p>
    <w:p w14:paraId="714D933D" w14:textId="77777777" w:rsidR="007055A3" w:rsidRPr="00A27512" w:rsidRDefault="007055A3" w:rsidP="00A27512">
      <w:pPr>
        <w:rPr>
          <w:lang w:val="en-US"/>
        </w:rPr>
      </w:pPr>
    </w:p>
    <w:p w14:paraId="0A3DC091" w14:textId="77777777" w:rsidR="00A27512" w:rsidRPr="00A27512" w:rsidRDefault="00A27512" w:rsidP="00A27512">
      <w:pPr>
        <w:rPr>
          <w:b/>
          <w:bCs/>
          <w:lang w:val="en-US"/>
        </w:rPr>
      </w:pPr>
      <w:r w:rsidRPr="00A27512">
        <w:rPr>
          <w:b/>
          <w:bCs/>
          <w:lang w:val="en-US"/>
        </w:rPr>
        <w:t>Proposal 9: Assume not MRT-</w:t>
      </w:r>
      <w:proofErr w:type="spellStart"/>
      <w:r w:rsidRPr="00A27512">
        <w:rPr>
          <w:b/>
          <w:bCs/>
          <w:lang w:val="en-US"/>
        </w:rPr>
        <w:t>precoded</w:t>
      </w:r>
      <w:proofErr w:type="spellEnd"/>
      <w:r w:rsidRPr="00A27512">
        <w:rPr>
          <w:b/>
          <w:bCs/>
          <w:lang w:val="en-US"/>
        </w:rPr>
        <w:t xml:space="preserve"> single port CSI-RS for the accuracy test for the phase offset estimation CJT reporting.</w:t>
      </w:r>
    </w:p>
    <w:p w14:paraId="763C4244" w14:textId="77777777" w:rsidR="007055A3" w:rsidRDefault="007055A3" w:rsidP="00A27512">
      <w:pPr>
        <w:rPr>
          <w:b/>
          <w:bCs/>
          <w:lang w:val="en-US"/>
        </w:rPr>
      </w:pPr>
    </w:p>
    <w:p w14:paraId="7E112934" w14:textId="06A4AAE2" w:rsidR="00A27512" w:rsidRPr="00A27512" w:rsidRDefault="00A27512" w:rsidP="00A27512">
      <w:pPr>
        <w:rPr>
          <w:b/>
          <w:bCs/>
          <w:lang w:val="en-US"/>
        </w:rPr>
      </w:pPr>
      <w:r w:rsidRPr="00A27512">
        <w:rPr>
          <w:b/>
          <w:bCs/>
          <w:lang w:val="en-US"/>
        </w:rPr>
        <w:t>Proposal 10: RAN4 to define the number of samples that shall be used by the UE for PO CJT for phase offset report.</w:t>
      </w:r>
    </w:p>
    <w:p w14:paraId="696A7A33" w14:textId="77777777" w:rsidR="00A27512" w:rsidRDefault="00A27512" w:rsidP="00936159">
      <w:pPr>
        <w:rPr>
          <w:lang w:val="en-US"/>
        </w:rPr>
      </w:pPr>
    </w:p>
    <w:p w14:paraId="6A98381D" w14:textId="77777777" w:rsidR="003B659E" w:rsidRPr="00614DD8" w:rsidRDefault="003B659E" w:rsidP="0060543D">
      <w:pPr>
        <w:pStyle w:val="RAN4H1"/>
        <w:numPr>
          <w:ilvl w:val="0"/>
          <w:numId w:val="0"/>
        </w:numPr>
        <w:ind w:left="360" w:hanging="360"/>
        <w:rPr>
          <w:lang w:val="en-US"/>
        </w:rPr>
      </w:pPr>
      <w:bookmarkStart w:id="39" w:name="_Toc116995849"/>
      <w:r w:rsidRPr="00614DD8">
        <w:rPr>
          <w:lang w:val="en-US"/>
        </w:rPr>
        <w:t>References</w:t>
      </w:r>
      <w:bookmarkEnd w:id="39"/>
    </w:p>
    <w:p w14:paraId="3B25B8E9" w14:textId="005B7C1D" w:rsidR="00595F62" w:rsidRPr="00595F62" w:rsidRDefault="00F00041" w:rsidP="00DA2B9E">
      <w:pPr>
        <w:pStyle w:val="ListParagraph"/>
        <w:numPr>
          <w:ilvl w:val="0"/>
          <w:numId w:val="5"/>
        </w:numPr>
        <w:ind w:right="-22"/>
        <w:rPr>
          <w:lang w:val="en-US"/>
        </w:rPr>
      </w:pPr>
      <w:bookmarkStart w:id="40" w:name="_Ref114500673"/>
      <w:bookmarkStart w:id="41" w:name="_Ref178151194"/>
      <w:bookmarkEnd w:id="40"/>
      <w:r w:rsidRPr="00F00041">
        <w:rPr>
          <w:lang w:val="en-US"/>
        </w:rPr>
        <w:t>R4-2416921</w:t>
      </w:r>
      <w:r w:rsidR="007A6B5B">
        <w:rPr>
          <w:lang w:val="en-US"/>
        </w:rPr>
        <w:t>,</w:t>
      </w:r>
      <w:r w:rsidRPr="00F00041" w:rsidDel="007A6B5B">
        <w:rPr>
          <w:lang w:val="en-US"/>
        </w:rPr>
        <w:t xml:space="preserve"> </w:t>
      </w:r>
      <w:r w:rsidRPr="00F00041">
        <w:rPr>
          <w:lang w:val="en-US"/>
        </w:rPr>
        <w:t>WF on RRM requirements for NR_MIMO_Ph5_Part2</w:t>
      </w:r>
      <w:r w:rsidR="00595F62">
        <w:rPr>
          <w:lang w:val="en-US"/>
        </w:rPr>
        <w:t>, RAN4#112</w:t>
      </w:r>
      <w:r>
        <w:rPr>
          <w:lang w:val="en-US"/>
        </w:rPr>
        <w:t>bis</w:t>
      </w:r>
      <w:r w:rsidR="00595F62">
        <w:rPr>
          <w:lang w:val="en-US"/>
        </w:rPr>
        <w:t xml:space="preserve">, </w:t>
      </w:r>
      <w:r w:rsidRPr="00F00041">
        <w:rPr>
          <w:lang w:val="en-US"/>
        </w:rPr>
        <w:t xml:space="preserve">Hefei, Anhui, China, 14th ‒ 18th, </w:t>
      </w:r>
      <w:proofErr w:type="gramStart"/>
      <w:r w:rsidRPr="00F00041">
        <w:rPr>
          <w:lang w:val="en-US"/>
        </w:rPr>
        <w:t>October,</w:t>
      </w:r>
      <w:proofErr w:type="gramEnd"/>
      <w:r w:rsidRPr="00F00041">
        <w:rPr>
          <w:lang w:val="en-US"/>
        </w:rPr>
        <w:t xml:space="preserve"> 2024</w:t>
      </w:r>
      <w:r w:rsidR="00595F62">
        <w:rPr>
          <w:lang w:val="en-US"/>
        </w:rPr>
        <w:t>.</w:t>
      </w:r>
      <w:bookmarkEnd w:id="41"/>
    </w:p>
    <w:p w14:paraId="774CE793" w14:textId="225BEF2F" w:rsidR="00884E3A" w:rsidRPr="00595F62" w:rsidRDefault="00474E52" w:rsidP="00DA2B9E">
      <w:pPr>
        <w:pStyle w:val="ListParagraph"/>
        <w:numPr>
          <w:ilvl w:val="0"/>
          <w:numId w:val="5"/>
        </w:numPr>
        <w:ind w:right="-22"/>
        <w:rPr>
          <w:lang w:val="en-US"/>
        </w:rPr>
      </w:pPr>
      <w:bookmarkStart w:id="42" w:name="_Ref181951106"/>
      <w:bookmarkStart w:id="43" w:name="_Ref189728710"/>
      <w:r w:rsidRPr="00474E52">
        <w:rPr>
          <w:lang w:val="en-US"/>
        </w:rPr>
        <w:t>R4-2420108</w:t>
      </w:r>
      <w:r w:rsidR="007A6B5B">
        <w:rPr>
          <w:lang w:val="en-US"/>
        </w:rPr>
        <w:t xml:space="preserve">, </w:t>
      </w:r>
      <w:r w:rsidR="00A30AA9" w:rsidRPr="00A30AA9">
        <w:rPr>
          <w:lang w:val="en-US"/>
        </w:rPr>
        <w:t>WF on RRM requirements for NR_MIMO_Ph5_Part2</w:t>
      </w:r>
      <w:bookmarkEnd w:id="42"/>
      <w:r w:rsidR="00A30AA9">
        <w:rPr>
          <w:lang w:val="en-US"/>
        </w:rPr>
        <w:t xml:space="preserve">, RAN4#113, </w:t>
      </w:r>
      <w:r w:rsidR="00A30AA9" w:rsidRPr="00A30AA9">
        <w:rPr>
          <w:lang w:val="en-US"/>
        </w:rPr>
        <w:t xml:space="preserve">Orlando, US, 18 ‒ 22 </w:t>
      </w:r>
      <w:proofErr w:type="gramStart"/>
      <w:r w:rsidR="00A30AA9" w:rsidRPr="00A30AA9">
        <w:rPr>
          <w:lang w:val="en-US"/>
        </w:rPr>
        <w:t>November,</w:t>
      </w:r>
      <w:proofErr w:type="gramEnd"/>
      <w:r w:rsidR="00A30AA9" w:rsidRPr="00A30AA9">
        <w:rPr>
          <w:lang w:val="en-US"/>
        </w:rPr>
        <w:t xml:space="preserve"> 2024</w:t>
      </w:r>
      <w:bookmarkEnd w:id="43"/>
    </w:p>
    <w:p w14:paraId="28297E3E" w14:textId="77777777" w:rsidR="00472B2C" w:rsidRPr="00D91296" w:rsidRDefault="00472B2C" w:rsidP="00D91296">
      <w:pPr>
        <w:ind w:left="360" w:right="-22"/>
        <w:rPr>
          <w:lang w:val="en-US"/>
        </w:rPr>
      </w:pPr>
    </w:p>
    <w:p w14:paraId="2DA268E6" w14:textId="77777777" w:rsidR="00E43BF9" w:rsidRDefault="00E43BF9" w:rsidP="00E43BF9">
      <w:pPr>
        <w:ind w:right="-22"/>
        <w:rPr>
          <w:lang w:val="en-US"/>
        </w:rPr>
      </w:pPr>
    </w:p>
    <w:p w14:paraId="4108D6EF" w14:textId="77777777" w:rsidR="00EF6D1C" w:rsidRDefault="00EF6D1C" w:rsidP="00E43BF9">
      <w:pPr>
        <w:ind w:right="-22"/>
        <w:rPr>
          <w:lang w:val="en-US"/>
        </w:rPr>
      </w:pPr>
    </w:p>
    <w:p w14:paraId="02D60585" w14:textId="77777777" w:rsidR="00EF6D1C" w:rsidRPr="00614DD8" w:rsidRDefault="00EF6D1C" w:rsidP="00EF6D1C">
      <w:pPr>
        <w:pStyle w:val="TOC5"/>
        <w:tabs>
          <w:tab w:val="right" w:leader="dot" w:pos="9617"/>
        </w:tabs>
        <w:rPr>
          <w:lang w:val="en-US"/>
        </w:rPr>
      </w:pPr>
    </w:p>
    <w:p w14:paraId="679E6522" w14:textId="73EDB0B5" w:rsidR="00EF6D1C" w:rsidRPr="00614DD8" w:rsidRDefault="00EF6D1C" w:rsidP="00EF6D1C">
      <w:pPr>
        <w:pStyle w:val="RAN4H1"/>
        <w:numPr>
          <w:ilvl w:val="0"/>
          <w:numId w:val="0"/>
        </w:numPr>
        <w:ind w:left="360" w:hanging="360"/>
        <w:rPr>
          <w:lang w:val="en-US"/>
        </w:rPr>
      </w:pPr>
      <w:r>
        <w:rPr>
          <w:lang w:val="en-US"/>
        </w:rPr>
        <w:t>Annex A: CJT simulation results</w:t>
      </w:r>
    </w:p>
    <w:p w14:paraId="10AAB9F0" w14:textId="4DECABF3" w:rsidR="00DE444D" w:rsidRPr="00DE444D" w:rsidRDefault="00DE444D" w:rsidP="00DE444D">
      <w:pPr>
        <w:ind w:right="-22"/>
        <w:rPr>
          <w:lang w:val="en-US"/>
        </w:rPr>
      </w:pPr>
      <w:r w:rsidRPr="00DE444D">
        <w:rPr>
          <w:lang w:val="en-US"/>
        </w:rPr>
        <w:t>CFO requirements</w:t>
      </w:r>
    </w:p>
    <w:p w14:paraId="00ABDD58" w14:textId="77777777" w:rsidR="00DE444D" w:rsidRPr="00DE444D" w:rsidRDefault="00DE444D" w:rsidP="00DE444D">
      <w:pPr>
        <w:ind w:right="-22"/>
        <w:rPr>
          <w:lang w:val="en-US"/>
        </w:rPr>
      </w:pPr>
    </w:p>
    <w:p w14:paraId="7E36CE8F" w14:textId="7D4B165E" w:rsidR="00DF2AD7" w:rsidRDefault="00DF2AD7" w:rsidP="00DF2AD7">
      <w:pPr>
        <w:ind w:right="-22"/>
        <w:rPr>
          <w:lang w:val="en-US"/>
        </w:rPr>
      </w:pPr>
      <w:r>
        <w:rPr>
          <w:lang w:val="en-US"/>
        </w:rPr>
        <w:t>Carrier frequency</w:t>
      </w:r>
      <w:r w:rsidRPr="00FC22DB">
        <w:rPr>
          <w:lang w:val="en-US"/>
        </w:rPr>
        <w:t xml:space="preserve"> offset </w:t>
      </w:r>
      <w:r w:rsidR="00F44797">
        <w:rPr>
          <w:lang w:val="en-US"/>
        </w:rPr>
        <w:t xml:space="preserve">estimation </w:t>
      </w:r>
      <w:r w:rsidRPr="00FC22DB">
        <w:rPr>
          <w:lang w:val="en-US"/>
        </w:rPr>
        <w:t>error</w:t>
      </w:r>
      <w:r>
        <w:rPr>
          <w:lang w:val="en-US"/>
        </w:rPr>
        <w:t xml:space="preserve"> values</w:t>
      </w:r>
      <w:r w:rsidRPr="00FC22DB">
        <w:rPr>
          <w:lang w:val="en-US"/>
        </w:rPr>
        <w:t xml:space="preserve"> </w:t>
      </w:r>
      <w:r>
        <w:rPr>
          <w:lang w:val="en-US"/>
        </w:rPr>
        <w:t>in Hz</w:t>
      </w:r>
      <w:r w:rsidRPr="00FC22DB">
        <w:rPr>
          <w:lang w:val="en-US"/>
        </w:rPr>
        <w:t xml:space="preserve"> are show</w:t>
      </w:r>
      <w:r>
        <w:rPr>
          <w:lang w:val="en-US"/>
        </w:rPr>
        <w:t>n</w:t>
      </w:r>
      <w:r w:rsidRPr="00FC22DB">
        <w:rPr>
          <w:lang w:val="en-US"/>
        </w:rPr>
        <w:t xml:space="preserve"> in </w:t>
      </w:r>
      <w:r w:rsidR="00BC0240">
        <w:rPr>
          <w:lang w:val="en-US"/>
        </w:rPr>
        <w:fldChar w:fldCharType="begin"/>
      </w:r>
      <w:r w:rsidR="00BC0240">
        <w:rPr>
          <w:lang w:val="en-US"/>
        </w:rPr>
        <w:instrText xml:space="preserve"> REF _Ref189857049 \h </w:instrText>
      </w:r>
      <w:r w:rsidR="00BC0240">
        <w:rPr>
          <w:lang w:val="en-US"/>
        </w:rPr>
      </w:r>
      <w:r w:rsidR="00BC0240">
        <w:rPr>
          <w:lang w:val="en-US"/>
        </w:rPr>
        <w:fldChar w:fldCharType="separate"/>
      </w:r>
      <w:r w:rsidR="00BC0240">
        <w:t xml:space="preserve">Table </w:t>
      </w:r>
      <w:r w:rsidR="00BC0240">
        <w:rPr>
          <w:noProof/>
        </w:rPr>
        <w:t>1</w:t>
      </w:r>
      <w:r w:rsidR="00BC0240">
        <w:rPr>
          <w:lang w:val="en-US"/>
        </w:rPr>
        <w:fldChar w:fldCharType="end"/>
      </w:r>
      <w:r w:rsidRPr="00FC22DB">
        <w:rPr>
          <w:lang w:val="en-US"/>
        </w:rPr>
        <w:t>.</w:t>
      </w:r>
    </w:p>
    <w:p w14:paraId="4A6D477A" w14:textId="5F321C44" w:rsidR="00DF2AD7" w:rsidRPr="00DE444D" w:rsidRDefault="00DF2AD7" w:rsidP="00DE444D">
      <w:pPr>
        <w:pStyle w:val="ListParagraph"/>
        <w:numPr>
          <w:ilvl w:val="0"/>
          <w:numId w:val="43"/>
        </w:numPr>
        <w:ind w:right="-22"/>
        <w:rPr>
          <w:lang w:val="en-US"/>
        </w:rPr>
      </w:pPr>
      <w:r w:rsidRPr="00FC22DB">
        <w:rPr>
          <w:lang w:val="en-US"/>
        </w:rPr>
        <w:t>Scenario 3: Data on all the OFDM symbols; except for the TRS symbols</w:t>
      </w:r>
      <w:r w:rsidR="005B2301">
        <w:rPr>
          <w:lang w:val="en-US"/>
        </w:rPr>
        <w:t>.</w:t>
      </w:r>
    </w:p>
    <w:p w14:paraId="5C573270" w14:textId="77777777" w:rsidR="00DE444D" w:rsidRPr="00DE444D" w:rsidRDefault="00DE444D" w:rsidP="00DE444D">
      <w:pPr>
        <w:ind w:right="-22"/>
        <w:rPr>
          <w:lang w:val="en-US"/>
        </w:rPr>
      </w:pPr>
    </w:p>
    <w:p w14:paraId="0EDDD6D2" w14:textId="187364E1" w:rsidR="00296732" w:rsidRDefault="00787769" w:rsidP="00DE444D">
      <w:pPr>
        <w:ind w:right="-22"/>
        <w:rPr>
          <w:lang w:val="en-US"/>
        </w:rPr>
      </w:pPr>
      <w:r>
        <w:rPr>
          <w:lang w:val="en-US"/>
        </w:rPr>
        <w:t xml:space="preserve">A comparison for the </w:t>
      </w:r>
      <w:r w:rsidR="00C1464C">
        <w:rPr>
          <w:lang w:val="en-US"/>
        </w:rPr>
        <w:t xml:space="preserve">carrier frequency offset computation </w:t>
      </w:r>
      <w:r w:rsidR="007F02E7">
        <w:rPr>
          <w:lang w:val="en-US"/>
        </w:rPr>
        <w:t xml:space="preserve">without averaging and </w:t>
      </w:r>
      <w:r w:rsidR="007E5DF8">
        <w:rPr>
          <w:lang w:val="en-US"/>
        </w:rPr>
        <w:t xml:space="preserve">with </w:t>
      </w:r>
      <w:r w:rsidR="00270A8D">
        <w:rPr>
          <w:lang w:val="en-US"/>
        </w:rPr>
        <w:t xml:space="preserve">averaging </w:t>
      </w:r>
      <w:r w:rsidR="00A97983">
        <w:rPr>
          <w:lang w:val="en-US"/>
        </w:rPr>
        <w:t xml:space="preserve">of </w:t>
      </w:r>
      <w:r w:rsidR="00ED519E">
        <w:rPr>
          <w:lang w:val="en-US"/>
        </w:rPr>
        <w:t xml:space="preserve">3 and </w:t>
      </w:r>
      <w:r w:rsidR="00804953">
        <w:rPr>
          <w:lang w:val="en-US"/>
        </w:rPr>
        <w:t xml:space="preserve">5 </w:t>
      </w:r>
      <w:r w:rsidR="00804953">
        <w:rPr>
          <w:lang w:val="en-US"/>
        </w:rPr>
        <w:t>sample</w:t>
      </w:r>
      <w:r w:rsidR="00ED519E">
        <w:rPr>
          <w:lang w:val="en-US"/>
        </w:rPr>
        <w:t>s</w:t>
      </w:r>
      <w:r w:rsidR="00804953">
        <w:rPr>
          <w:lang w:val="en-US"/>
        </w:rPr>
        <w:t xml:space="preserve"> measurements are </w:t>
      </w:r>
      <w:r w:rsidR="00E90F2A">
        <w:rPr>
          <w:lang w:val="en-US"/>
        </w:rPr>
        <w:t>shown in</w:t>
      </w:r>
      <w:r w:rsidR="00197A28">
        <w:rPr>
          <w:lang w:val="en-US"/>
        </w:rPr>
        <w:t xml:space="preserve"> </w:t>
      </w:r>
      <w:r w:rsidR="00A349E8">
        <w:rPr>
          <w:lang w:val="en-US"/>
        </w:rPr>
        <w:t xml:space="preserve">parts per billion </w:t>
      </w:r>
      <w:r w:rsidR="003D1239">
        <w:rPr>
          <w:lang w:val="en-US"/>
        </w:rPr>
        <w:t xml:space="preserve">(ppb) </w:t>
      </w:r>
      <w:r w:rsidR="00A33E31">
        <w:rPr>
          <w:lang w:val="en-US"/>
        </w:rPr>
        <w:t xml:space="preserve">with respect to the carrier frequency of 3.5 GHz </w:t>
      </w:r>
      <w:r w:rsidR="00BC0240">
        <w:rPr>
          <w:lang w:val="en-US"/>
        </w:rPr>
        <w:t xml:space="preserve">are shown in </w:t>
      </w:r>
      <w:r w:rsidR="00BC0240">
        <w:rPr>
          <w:lang w:val="en-US"/>
        </w:rPr>
        <w:fldChar w:fldCharType="begin"/>
      </w:r>
      <w:r w:rsidR="00BC0240">
        <w:rPr>
          <w:lang w:val="en-US"/>
        </w:rPr>
        <w:instrText xml:space="preserve"> REF _Ref189857229 \h </w:instrText>
      </w:r>
      <w:r w:rsidR="00BC0240">
        <w:rPr>
          <w:lang w:val="en-US"/>
        </w:rPr>
      </w:r>
      <w:r w:rsidR="00BC0240">
        <w:rPr>
          <w:lang w:val="en-US"/>
        </w:rPr>
        <w:fldChar w:fldCharType="separate"/>
      </w:r>
      <w:r w:rsidR="00BC0240">
        <w:t xml:space="preserve">Table </w:t>
      </w:r>
      <w:r w:rsidR="007D582D">
        <w:rPr>
          <w:noProof/>
        </w:rPr>
        <w:t>1</w:t>
      </w:r>
      <w:r w:rsidR="00BC0240">
        <w:rPr>
          <w:lang w:val="en-US"/>
        </w:rPr>
        <w:fldChar w:fldCharType="end"/>
      </w:r>
      <w:r w:rsidR="00BC0240">
        <w:rPr>
          <w:lang w:val="en-US"/>
        </w:rPr>
        <w:t>.</w:t>
      </w:r>
    </w:p>
    <w:p w14:paraId="49069503" w14:textId="77777777" w:rsidR="00296732" w:rsidRDefault="00296732" w:rsidP="00DE444D">
      <w:pPr>
        <w:ind w:right="-22"/>
        <w:rPr>
          <w:lang w:val="en-US"/>
        </w:rPr>
      </w:pPr>
    </w:p>
    <w:p w14:paraId="6EC0E1C8" w14:textId="46CF3A89" w:rsidR="00296732" w:rsidRPr="000C7568" w:rsidRDefault="00296732" w:rsidP="00296732">
      <w:pPr>
        <w:pStyle w:val="Caption"/>
        <w:rPr>
          <w:lang w:val="en-US"/>
        </w:rPr>
      </w:pPr>
      <w:bookmarkStart w:id="44" w:name="_Ref189857229"/>
      <w:r>
        <w:t xml:space="preserve">Table </w:t>
      </w:r>
      <w:r>
        <w:fldChar w:fldCharType="begin"/>
      </w:r>
      <w:r>
        <w:instrText xml:space="preserve"> SEQ Table \* ARABIC </w:instrText>
      </w:r>
      <w:r>
        <w:fldChar w:fldCharType="separate"/>
      </w:r>
      <w:r w:rsidR="007D582D">
        <w:rPr>
          <w:noProof/>
        </w:rPr>
        <w:t>1</w:t>
      </w:r>
      <w:r>
        <w:fldChar w:fldCharType="end"/>
      </w:r>
      <w:bookmarkEnd w:id="44"/>
      <w:r>
        <w:t xml:space="preserve">: </w:t>
      </w:r>
      <w:r w:rsidRPr="00F44797">
        <w:t xml:space="preserve">Carrier frequency offset estimation error </w:t>
      </w:r>
      <w:r>
        <w:t>(</w:t>
      </w:r>
      <w:r w:rsidRPr="00F44797">
        <w:t xml:space="preserve">in </w:t>
      </w:r>
      <w:r>
        <w:t>ppb)</w:t>
      </w:r>
      <w:r w:rsidR="00E34199">
        <w:t xml:space="preserve"> </w:t>
      </w:r>
      <w:r w:rsidR="00ED519E">
        <w:t xml:space="preserve">under assumptions of Scenario </w:t>
      </w:r>
      <w:r w:rsidR="00ED519E">
        <w:t>3</w:t>
      </w:r>
      <w:r w:rsidR="005239C1">
        <w:t>.</w:t>
      </w:r>
    </w:p>
    <w:tbl>
      <w:tblPr>
        <w:tblW w:w="9189" w:type="dxa"/>
        <w:tblInd w:w="-20" w:type="dxa"/>
        <w:tblLook w:val="04A0" w:firstRow="1" w:lastRow="0" w:firstColumn="1" w:lastColumn="0" w:noHBand="0" w:noVBand="1"/>
      </w:tblPr>
      <w:tblGrid>
        <w:gridCol w:w="788"/>
        <w:gridCol w:w="1386"/>
        <w:gridCol w:w="838"/>
        <w:gridCol w:w="840"/>
        <w:gridCol w:w="1107"/>
        <w:gridCol w:w="846"/>
        <w:gridCol w:w="846"/>
        <w:gridCol w:w="846"/>
        <w:gridCol w:w="846"/>
        <w:gridCol w:w="846"/>
        <w:tblGridChange w:id="45">
          <w:tblGrid>
            <w:gridCol w:w="788"/>
            <w:gridCol w:w="1386"/>
            <w:gridCol w:w="838"/>
            <w:gridCol w:w="840"/>
            <w:gridCol w:w="1107"/>
            <w:gridCol w:w="846"/>
            <w:gridCol w:w="846"/>
            <w:gridCol w:w="846"/>
            <w:gridCol w:w="846"/>
            <w:gridCol w:w="846"/>
          </w:tblGrid>
        </w:tblGridChange>
      </w:tblGrid>
      <w:tr w:rsidR="00A24166" w14:paraId="2F278798" w14:textId="77777777" w:rsidTr="00A86A29">
        <w:trPr>
          <w:trHeight w:val="299"/>
        </w:trPr>
        <w:tc>
          <w:tcPr>
            <w:tcW w:w="788" w:type="dxa"/>
            <w:vMerge w:val="restart"/>
            <w:tcBorders>
              <w:top w:val="single" w:sz="4" w:space="0" w:color="auto"/>
              <w:left w:val="single" w:sz="4" w:space="0" w:color="auto"/>
              <w:right w:val="single" w:sz="4" w:space="0" w:color="auto"/>
            </w:tcBorders>
            <w:shd w:val="clear" w:color="auto" w:fill="auto"/>
            <w:noWrap/>
            <w:vAlign w:val="center"/>
          </w:tcPr>
          <w:p w14:paraId="501C8F3C" w14:textId="697ED028" w:rsidR="00A24166" w:rsidRDefault="00A24166" w:rsidP="00A24166">
            <w:pPr>
              <w:jc w:val="center"/>
              <w:rPr>
                <w:rFonts w:ascii="Calibri" w:hAnsi="Calibri" w:cs="Calibri"/>
                <w:color w:val="000000"/>
                <w:sz w:val="22"/>
                <w:szCs w:val="22"/>
              </w:rPr>
            </w:pPr>
            <w:r>
              <w:rPr>
                <w:rFonts w:ascii="Calibri" w:hAnsi="Calibri" w:cs="Calibri"/>
                <w:b/>
                <w:bCs/>
                <w:color w:val="000000"/>
                <w:sz w:val="22"/>
                <w:szCs w:val="22"/>
              </w:rPr>
              <w:t>Quant Levels</w:t>
            </w:r>
          </w:p>
        </w:tc>
        <w:tc>
          <w:tcPr>
            <w:tcW w:w="1386" w:type="dxa"/>
            <w:vMerge w:val="restart"/>
            <w:tcBorders>
              <w:top w:val="single" w:sz="8" w:space="0" w:color="auto"/>
              <w:left w:val="nil"/>
              <w:right w:val="single" w:sz="4" w:space="0" w:color="auto"/>
            </w:tcBorders>
            <w:shd w:val="clear" w:color="auto" w:fill="auto"/>
            <w:noWrap/>
            <w:vAlign w:val="center"/>
          </w:tcPr>
          <w:p w14:paraId="72AFE3CF" w14:textId="56585F60" w:rsidR="00A24166" w:rsidRDefault="00A24166" w:rsidP="00A24166">
            <w:pPr>
              <w:jc w:val="center"/>
              <w:rPr>
                <w:rFonts w:ascii="Calibri" w:hAnsi="Calibri" w:cs="Calibri"/>
                <w:color w:val="000000"/>
                <w:sz w:val="22"/>
                <w:szCs w:val="22"/>
              </w:rPr>
            </w:pPr>
            <w:r>
              <w:rPr>
                <w:rFonts w:ascii="Calibri" w:hAnsi="Calibri" w:cs="Calibri"/>
                <w:b/>
                <w:bCs/>
                <w:color w:val="000000"/>
                <w:sz w:val="22"/>
                <w:szCs w:val="22"/>
              </w:rPr>
              <w:t>FO (ppb)</w:t>
            </w:r>
          </w:p>
        </w:tc>
        <w:tc>
          <w:tcPr>
            <w:tcW w:w="838" w:type="dxa"/>
            <w:vMerge w:val="restart"/>
            <w:tcBorders>
              <w:top w:val="single" w:sz="8" w:space="0" w:color="auto"/>
              <w:left w:val="nil"/>
              <w:right w:val="single" w:sz="4" w:space="0" w:color="auto"/>
            </w:tcBorders>
            <w:shd w:val="clear" w:color="auto" w:fill="auto"/>
            <w:noWrap/>
            <w:vAlign w:val="center"/>
          </w:tcPr>
          <w:p w14:paraId="60C3756E" w14:textId="6D74E367" w:rsidR="00A24166" w:rsidRDefault="00A24166" w:rsidP="00A24166">
            <w:pPr>
              <w:jc w:val="center"/>
              <w:rPr>
                <w:rFonts w:ascii="Calibri" w:hAnsi="Calibri" w:cs="Calibri"/>
                <w:color w:val="000000"/>
                <w:sz w:val="22"/>
                <w:szCs w:val="22"/>
              </w:rPr>
            </w:pPr>
            <w:r>
              <w:rPr>
                <w:rFonts w:ascii="Calibri" w:hAnsi="Calibri" w:cs="Calibri"/>
                <w:b/>
                <w:bCs/>
                <w:color w:val="000000"/>
                <w:sz w:val="22"/>
                <w:szCs w:val="22"/>
              </w:rPr>
              <w:t>SCS</w:t>
            </w:r>
          </w:p>
        </w:tc>
        <w:tc>
          <w:tcPr>
            <w:tcW w:w="840" w:type="dxa"/>
            <w:vMerge w:val="restart"/>
            <w:tcBorders>
              <w:top w:val="single" w:sz="8" w:space="0" w:color="auto"/>
              <w:left w:val="nil"/>
              <w:right w:val="nil"/>
            </w:tcBorders>
            <w:shd w:val="clear" w:color="auto" w:fill="auto"/>
            <w:noWrap/>
            <w:vAlign w:val="center"/>
          </w:tcPr>
          <w:p w14:paraId="457CF944" w14:textId="78DC26E0" w:rsidR="00A24166" w:rsidRDefault="00A24166" w:rsidP="00A24166">
            <w:pPr>
              <w:jc w:val="center"/>
              <w:rPr>
                <w:rFonts w:ascii="Calibri" w:hAnsi="Calibri" w:cs="Calibri"/>
                <w:color w:val="000000"/>
                <w:sz w:val="22"/>
                <w:szCs w:val="22"/>
              </w:rPr>
            </w:pPr>
            <w:r>
              <w:rPr>
                <w:rFonts w:ascii="Calibri" w:hAnsi="Calibri" w:cs="Calibri"/>
                <w:b/>
                <w:bCs/>
                <w:color w:val="000000"/>
                <w:sz w:val="22"/>
                <w:szCs w:val="22"/>
              </w:rPr>
              <w:t>SNR</w:t>
            </w:r>
          </w:p>
        </w:tc>
        <w:tc>
          <w:tcPr>
            <w:tcW w:w="1953"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79E7D288" w14:textId="28730881" w:rsidR="00A24166" w:rsidRDefault="00A24166" w:rsidP="00A24166">
            <w:pPr>
              <w:jc w:val="center"/>
              <w:rPr>
                <w:rFonts w:ascii="Calibri" w:hAnsi="Calibri" w:cs="Calibri"/>
                <w:color w:val="000000"/>
                <w:sz w:val="22"/>
                <w:szCs w:val="22"/>
              </w:rPr>
            </w:pPr>
            <w:r>
              <w:rPr>
                <w:rFonts w:ascii="Calibri" w:hAnsi="Calibri" w:cs="Calibri"/>
                <w:b/>
                <w:bCs/>
                <w:color w:val="000000"/>
                <w:sz w:val="22"/>
                <w:szCs w:val="22"/>
              </w:rPr>
              <w:t>No averaging</w:t>
            </w:r>
          </w:p>
        </w:tc>
        <w:tc>
          <w:tcPr>
            <w:tcW w:w="1692" w:type="dxa"/>
            <w:gridSpan w:val="2"/>
            <w:tcBorders>
              <w:top w:val="single" w:sz="8" w:space="0" w:color="auto"/>
              <w:left w:val="single" w:sz="8" w:space="0" w:color="auto"/>
              <w:bottom w:val="single" w:sz="4" w:space="0" w:color="auto"/>
              <w:right w:val="single" w:sz="8" w:space="0" w:color="auto"/>
            </w:tcBorders>
            <w:shd w:val="clear" w:color="auto" w:fill="auto"/>
            <w:noWrap/>
            <w:vAlign w:val="center"/>
          </w:tcPr>
          <w:p w14:paraId="76CF24CC" w14:textId="2888F31E" w:rsidR="00A24166" w:rsidRPr="00A24166" w:rsidRDefault="00A24166" w:rsidP="00A24166">
            <w:pPr>
              <w:jc w:val="center"/>
              <w:rPr>
                <w:rFonts w:ascii="Calibri" w:hAnsi="Calibri" w:cs="Calibri"/>
                <w:b/>
                <w:bCs/>
                <w:color w:val="000000"/>
                <w:sz w:val="22"/>
                <w:szCs w:val="22"/>
              </w:rPr>
            </w:pPr>
            <w:r w:rsidRPr="00A24166">
              <w:rPr>
                <w:rFonts w:ascii="Calibri" w:hAnsi="Calibri" w:cs="Calibri"/>
                <w:b/>
                <w:bCs/>
                <w:color w:val="000000"/>
                <w:sz w:val="22"/>
                <w:szCs w:val="22"/>
              </w:rPr>
              <w:t>3 samples</w:t>
            </w:r>
          </w:p>
        </w:tc>
        <w:tc>
          <w:tcPr>
            <w:tcW w:w="1692" w:type="dxa"/>
            <w:gridSpan w:val="2"/>
            <w:tcBorders>
              <w:top w:val="single" w:sz="8" w:space="0" w:color="auto"/>
              <w:left w:val="nil"/>
              <w:bottom w:val="single" w:sz="4" w:space="0" w:color="auto"/>
              <w:right w:val="single" w:sz="8" w:space="0" w:color="auto"/>
            </w:tcBorders>
            <w:shd w:val="clear" w:color="auto" w:fill="auto"/>
            <w:noWrap/>
            <w:vAlign w:val="center"/>
          </w:tcPr>
          <w:p w14:paraId="0154D978" w14:textId="6AA49F05" w:rsidR="00A24166" w:rsidRPr="00A24166" w:rsidRDefault="00A24166" w:rsidP="00A24166">
            <w:pPr>
              <w:jc w:val="center"/>
              <w:rPr>
                <w:rFonts w:ascii="Calibri" w:hAnsi="Calibri" w:cs="Calibri"/>
                <w:b/>
                <w:bCs/>
                <w:color w:val="000000"/>
                <w:sz w:val="22"/>
                <w:szCs w:val="22"/>
              </w:rPr>
            </w:pPr>
            <w:r w:rsidRPr="00A24166">
              <w:rPr>
                <w:rFonts w:ascii="Calibri" w:hAnsi="Calibri" w:cs="Calibri"/>
                <w:b/>
                <w:bCs/>
                <w:color w:val="000000"/>
                <w:sz w:val="22"/>
                <w:szCs w:val="22"/>
              </w:rPr>
              <w:t>5 samples</w:t>
            </w:r>
          </w:p>
        </w:tc>
      </w:tr>
      <w:tr w:rsidR="00A24166" w14:paraId="7E9BF39D" w14:textId="77777777" w:rsidTr="00A86A29">
        <w:trPr>
          <w:trHeight w:val="299"/>
        </w:trPr>
        <w:tc>
          <w:tcPr>
            <w:tcW w:w="788" w:type="dxa"/>
            <w:vMerge/>
            <w:tcBorders>
              <w:left w:val="single" w:sz="4" w:space="0" w:color="auto"/>
              <w:bottom w:val="single" w:sz="4" w:space="0" w:color="auto"/>
              <w:right w:val="single" w:sz="4" w:space="0" w:color="auto"/>
            </w:tcBorders>
            <w:shd w:val="clear" w:color="auto" w:fill="auto"/>
            <w:noWrap/>
            <w:vAlign w:val="center"/>
          </w:tcPr>
          <w:p w14:paraId="624A7224" w14:textId="6784AAB6" w:rsidR="00A24166" w:rsidRDefault="00A24166" w:rsidP="00A24166">
            <w:pPr>
              <w:jc w:val="center"/>
              <w:rPr>
                <w:rFonts w:ascii="Calibri" w:hAnsi="Calibri" w:cs="Calibri"/>
                <w:color w:val="000000"/>
                <w:sz w:val="22"/>
                <w:szCs w:val="22"/>
              </w:rPr>
            </w:pPr>
          </w:p>
        </w:tc>
        <w:tc>
          <w:tcPr>
            <w:tcW w:w="1386" w:type="dxa"/>
            <w:vMerge/>
            <w:tcBorders>
              <w:left w:val="nil"/>
              <w:bottom w:val="single" w:sz="4" w:space="0" w:color="auto"/>
              <w:right w:val="single" w:sz="4" w:space="0" w:color="auto"/>
            </w:tcBorders>
            <w:shd w:val="clear" w:color="auto" w:fill="auto"/>
            <w:noWrap/>
            <w:vAlign w:val="center"/>
          </w:tcPr>
          <w:p w14:paraId="5D09A851" w14:textId="19A3E2C6" w:rsidR="00A24166" w:rsidRDefault="00A24166" w:rsidP="00A24166">
            <w:pPr>
              <w:jc w:val="center"/>
              <w:rPr>
                <w:rFonts w:ascii="Calibri" w:hAnsi="Calibri" w:cs="Calibri"/>
                <w:color w:val="000000"/>
                <w:sz w:val="22"/>
                <w:szCs w:val="22"/>
              </w:rPr>
            </w:pPr>
          </w:p>
        </w:tc>
        <w:tc>
          <w:tcPr>
            <w:tcW w:w="838" w:type="dxa"/>
            <w:vMerge/>
            <w:tcBorders>
              <w:left w:val="nil"/>
              <w:bottom w:val="single" w:sz="4" w:space="0" w:color="auto"/>
              <w:right w:val="single" w:sz="4" w:space="0" w:color="auto"/>
            </w:tcBorders>
            <w:shd w:val="clear" w:color="auto" w:fill="auto"/>
            <w:noWrap/>
            <w:vAlign w:val="center"/>
          </w:tcPr>
          <w:p w14:paraId="568B1214" w14:textId="2592E4BE" w:rsidR="00A24166" w:rsidRDefault="00A24166" w:rsidP="00A24166">
            <w:pPr>
              <w:jc w:val="center"/>
              <w:rPr>
                <w:rFonts w:ascii="Calibri" w:hAnsi="Calibri" w:cs="Calibri"/>
                <w:color w:val="000000"/>
                <w:sz w:val="22"/>
                <w:szCs w:val="22"/>
              </w:rPr>
            </w:pPr>
          </w:p>
        </w:tc>
        <w:tc>
          <w:tcPr>
            <w:tcW w:w="840" w:type="dxa"/>
            <w:vMerge/>
            <w:tcBorders>
              <w:left w:val="nil"/>
              <w:bottom w:val="single" w:sz="4" w:space="0" w:color="auto"/>
              <w:right w:val="nil"/>
            </w:tcBorders>
            <w:shd w:val="clear" w:color="auto" w:fill="auto"/>
            <w:noWrap/>
            <w:vAlign w:val="center"/>
          </w:tcPr>
          <w:p w14:paraId="30415D43" w14:textId="6DB418E0" w:rsidR="00A24166" w:rsidRDefault="00A24166" w:rsidP="00A24166">
            <w:pPr>
              <w:jc w:val="center"/>
              <w:rPr>
                <w:rFonts w:ascii="Calibri" w:hAnsi="Calibri" w:cs="Calibri"/>
                <w:color w:val="000000"/>
                <w:sz w:val="22"/>
                <w:szCs w:val="22"/>
              </w:rPr>
            </w:pPr>
          </w:p>
        </w:tc>
        <w:tc>
          <w:tcPr>
            <w:tcW w:w="110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6A39E91" w14:textId="3A051FA4" w:rsidR="00A24166" w:rsidRDefault="00A24166" w:rsidP="00A24166">
            <w:pPr>
              <w:jc w:val="center"/>
              <w:rPr>
                <w:rFonts w:ascii="Calibri" w:hAnsi="Calibri" w:cs="Calibri"/>
                <w:color w:val="000000"/>
                <w:sz w:val="22"/>
                <w:szCs w:val="22"/>
              </w:rPr>
            </w:pPr>
            <w:r>
              <w:rPr>
                <w:rFonts w:ascii="Calibri" w:hAnsi="Calibri" w:cs="Calibri"/>
                <w:b/>
                <w:bCs/>
                <w:color w:val="000000"/>
                <w:sz w:val="22"/>
                <w:szCs w:val="22"/>
              </w:rPr>
              <w:t>P50</w:t>
            </w:r>
          </w:p>
        </w:tc>
        <w:tc>
          <w:tcPr>
            <w:tcW w:w="846" w:type="dxa"/>
            <w:tcBorders>
              <w:top w:val="single" w:sz="8" w:space="0" w:color="auto"/>
              <w:left w:val="nil"/>
              <w:bottom w:val="single" w:sz="4" w:space="0" w:color="auto"/>
              <w:right w:val="nil"/>
            </w:tcBorders>
            <w:shd w:val="clear" w:color="auto" w:fill="auto"/>
            <w:noWrap/>
            <w:vAlign w:val="center"/>
          </w:tcPr>
          <w:p w14:paraId="5E07089A" w14:textId="719B9EA8" w:rsidR="00A24166" w:rsidRDefault="00A24166" w:rsidP="00A24166">
            <w:pPr>
              <w:jc w:val="center"/>
              <w:rPr>
                <w:rFonts w:ascii="Calibri" w:hAnsi="Calibri" w:cs="Calibri"/>
                <w:color w:val="000000"/>
                <w:sz w:val="22"/>
                <w:szCs w:val="22"/>
              </w:rPr>
            </w:pPr>
            <w:r>
              <w:rPr>
                <w:rFonts w:ascii="Calibri" w:hAnsi="Calibri" w:cs="Calibri"/>
                <w:b/>
                <w:bCs/>
                <w:color w:val="000000"/>
                <w:sz w:val="22"/>
                <w:szCs w:val="22"/>
              </w:rPr>
              <w:t>P90</w:t>
            </w:r>
          </w:p>
        </w:tc>
        <w:tc>
          <w:tcPr>
            <w:tcW w:w="846"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EE1D350" w14:textId="7A228931" w:rsidR="00A24166" w:rsidRDefault="00A24166" w:rsidP="00A24166">
            <w:pPr>
              <w:jc w:val="center"/>
              <w:rPr>
                <w:rFonts w:ascii="Calibri" w:hAnsi="Calibri" w:cs="Calibri"/>
                <w:color w:val="000000"/>
                <w:sz w:val="22"/>
                <w:szCs w:val="22"/>
              </w:rPr>
            </w:pPr>
            <w:r>
              <w:rPr>
                <w:rFonts w:ascii="Calibri" w:hAnsi="Calibri" w:cs="Calibri"/>
                <w:b/>
                <w:bCs/>
                <w:color w:val="000000"/>
                <w:sz w:val="22"/>
                <w:szCs w:val="22"/>
              </w:rPr>
              <w:t>P50</w:t>
            </w:r>
          </w:p>
        </w:tc>
        <w:tc>
          <w:tcPr>
            <w:tcW w:w="846" w:type="dxa"/>
            <w:tcBorders>
              <w:top w:val="single" w:sz="8" w:space="0" w:color="auto"/>
              <w:left w:val="nil"/>
              <w:bottom w:val="single" w:sz="4" w:space="0" w:color="auto"/>
              <w:right w:val="single" w:sz="8" w:space="0" w:color="auto"/>
            </w:tcBorders>
            <w:shd w:val="clear" w:color="auto" w:fill="auto"/>
            <w:noWrap/>
            <w:vAlign w:val="center"/>
          </w:tcPr>
          <w:p w14:paraId="487475F5" w14:textId="19F607E0" w:rsidR="00A24166" w:rsidRDefault="00A24166" w:rsidP="00A24166">
            <w:pPr>
              <w:jc w:val="center"/>
              <w:rPr>
                <w:rFonts w:ascii="Calibri" w:hAnsi="Calibri" w:cs="Calibri"/>
                <w:color w:val="000000"/>
                <w:sz w:val="22"/>
                <w:szCs w:val="22"/>
              </w:rPr>
            </w:pPr>
            <w:r>
              <w:rPr>
                <w:rFonts w:ascii="Calibri" w:hAnsi="Calibri" w:cs="Calibri"/>
                <w:b/>
                <w:bCs/>
                <w:color w:val="000000"/>
                <w:sz w:val="22"/>
                <w:szCs w:val="22"/>
              </w:rPr>
              <w:t>P90</w:t>
            </w:r>
          </w:p>
        </w:tc>
        <w:tc>
          <w:tcPr>
            <w:tcW w:w="846" w:type="dxa"/>
            <w:tcBorders>
              <w:top w:val="single" w:sz="8" w:space="0" w:color="auto"/>
              <w:left w:val="nil"/>
              <w:bottom w:val="single" w:sz="4" w:space="0" w:color="auto"/>
              <w:right w:val="single" w:sz="4" w:space="0" w:color="auto"/>
            </w:tcBorders>
            <w:shd w:val="clear" w:color="auto" w:fill="auto"/>
            <w:noWrap/>
            <w:vAlign w:val="center"/>
          </w:tcPr>
          <w:p w14:paraId="36DE264D" w14:textId="0E98E595" w:rsidR="00A24166" w:rsidRDefault="00A24166" w:rsidP="00A24166">
            <w:pPr>
              <w:jc w:val="center"/>
              <w:rPr>
                <w:rFonts w:ascii="Calibri" w:hAnsi="Calibri" w:cs="Calibri"/>
                <w:color w:val="000000"/>
                <w:sz w:val="22"/>
                <w:szCs w:val="22"/>
              </w:rPr>
            </w:pPr>
            <w:r>
              <w:rPr>
                <w:rFonts w:ascii="Calibri" w:hAnsi="Calibri" w:cs="Calibri"/>
                <w:b/>
                <w:bCs/>
                <w:color w:val="000000"/>
                <w:sz w:val="22"/>
                <w:szCs w:val="22"/>
              </w:rPr>
              <w:t>P50</w:t>
            </w:r>
          </w:p>
        </w:tc>
        <w:tc>
          <w:tcPr>
            <w:tcW w:w="846" w:type="dxa"/>
            <w:tcBorders>
              <w:top w:val="single" w:sz="8" w:space="0" w:color="auto"/>
              <w:left w:val="nil"/>
              <w:bottom w:val="single" w:sz="4" w:space="0" w:color="auto"/>
              <w:right w:val="single" w:sz="8" w:space="0" w:color="auto"/>
            </w:tcBorders>
            <w:shd w:val="clear" w:color="auto" w:fill="auto"/>
            <w:noWrap/>
            <w:vAlign w:val="center"/>
          </w:tcPr>
          <w:p w14:paraId="037019D7" w14:textId="1AAC4A5E" w:rsidR="00A24166" w:rsidRDefault="00A24166" w:rsidP="00A24166">
            <w:pPr>
              <w:jc w:val="center"/>
              <w:rPr>
                <w:rFonts w:ascii="Calibri" w:hAnsi="Calibri" w:cs="Calibri"/>
                <w:color w:val="000000"/>
                <w:sz w:val="22"/>
                <w:szCs w:val="22"/>
              </w:rPr>
            </w:pPr>
            <w:r>
              <w:rPr>
                <w:rFonts w:ascii="Calibri" w:hAnsi="Calibri" w:cs="Calibri"/>
                <w:b/>
                <w:bCs/>
                <w:color w:val="000000"/>
                <w:sz w:val="22"/>
                <w:szCs w:val="22"/>
              </w:rPr>
              <w:t>P90</w:t>
            </w:r>
          </w:p>
        </w:tc>
      </w:tr>
      <w:tr w:rsidR="00A24166" w14:paraId="54349FD2" w14:textId="4D405068" w:rsidTr="00A86A29">
        <w:trPr>
          <w:trHeight w:val="299"/>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85291"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32</w:t>
            </w:r>
          </w:p>
        </w:tc>
        <w:tc>
          <w:tcPr>
            <w:tcW w:w="1386" w:type="dxa"/>
            <w:tcBorders>
              <w:top w:val="single" w:sz="8" w:space="0" w:color="auto"/>
              <w:left w:val="nil"/>
              <w:bottom w:val="single" w:sz="4" w:space="0" w:color="auto"/>
              <w:right w:val="single" w:sz="4" w:space="0" w:color="auto"/>
            </w:tcBorders>
            <w:shd w:val="clear" w:color="auto" w:fill="auto"/>
            <w:noWrap/>
            <w:vAlign w:val="center"/>
            <w:hideMark/>
          </w:tcPr>
          <w:p w14:paraId="24C46BEE"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100</w:t>
            </w:r>
          </w:p>
        </w:tc>
        <w:tc>
          <w:tcPr>
            <w:tcW w:w="838" w:type="dxa"/>
            <w:tcBorders>
              <w:top w:val="single" w:sz="8" w:space="0" w:color="auto"/>
              <w:left w:val="nil"/>
              <w:bottom w:val="single" w:sz="4" w:space="0" w:color="auto"/>
              <w:right w:val="single" w:sz="4" w:space="0" w:color="auto"/>
            </w:tcBorders>
            <w:shd w:val="clear" w:color="auto" w:fill="auto"/>
            <w:noWrap/>
            <w:vAlign w:val="center"/>
            <w:hideMark/>
          </w:tcPr>
          <w:p w14:paraId="1E6D48A1"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15</w:t>
            </w:r>
          </w:p>
        </w:tc>
        <w:tc>
          <w:tcPr>
            <w:tcW w:w="840" w:type="dxa"/>
            <w:tcBorders>
              <w:top w:val="single" w:sz="8" w:space="0" w:color="auto"/>
              <w:left w:val="nil"/>
              <w:bottom w:val="single" w:sz="4" w:space="0" w:color="auto"/>
              <w:right w:val="nil"/>
            </w:tcBorders>
            <w:shd w:val="clear" w:color="auto" w:fill="auto"/>
            <w:noWrap/>
            <w:vAlign w:val="center"/>
            <w:hideMark/>
          </w:tcPr>
          <w:p w14:paraId="618800AF"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-3</w:t>
            </w:r>
          </w:p>
        </w:tc>
        <w:tc>
          <w:tcPr>
            <w:tcW w:w="110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98F1C41" w14:textId="1D861494"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24.76</w:t>
            </w:r>
          </w:p>
        </w:tc>
        <w:tc>
          <w:tcPr>
            <w:tcW w:w="846" w:type="dxa"/>
            <w:tcBorders>
              <w:top w:val="single" w:sz="8" w:space="0" w:color="auto"/>
              <w:left w:val="nil"/>
              <w:bottom w:val="single" w:sz="4" w:space="0" w:color="auto"/>
              <w:right w:val="nil"/>
            </w:tcBorders>
            <w:shd w:val="clear" w:color="auto" w:fill="auto"/>
            <w:noWrap/>
            <w:vAlign w:val="center"/>
            <w:hideMark/>
          </w:tcPr>
          <w:p w14:paraId="423BCBEB" w14:textId="3D4B1503"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64.50</w:t>
            </w:r>
          </w:p>
        </w:tc>
        <w:tc>
          <w:tcPr>
            <w:tcW w:w="84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B0ADC34" w14:textId="6B2B7645"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16.10</w:t>
            </w:r>
          </w:p>
        </w:tc>
        <w:tc>
          <w:tcPr>
            <w:tcW w:w="846" w:type="dxa"/>
            <w:tcBorders>
              <w:top w:val="single" w:sz="8" w:space="0" w:color="auto"/>
              <w:left w:val="nil"/>
              <w:bottom w:val="single" w:sz="4" w:space="0" w:color="auto"/>
              <w:right w:val="single" w:sz="8" w:space="0" w:color="auto"/>
            </w:tcBorders>
            <w:shd w:val="clear" w:color="auto" w:fill="auto"/>
            <w:noWrap/>
            <w:vAlign w:val="center"/>
            <w:hideMark/>
          </w:tcPr>
          <w:p w14:paraId="3AAE6499" w14:textId="2C6384B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43.96</w:t>
            </w:r>
          </w:p>
        </w:tc>
        <w:tc>
          <w:tcPr>
            <w:tcW w:w="846" w:type="dxa"/>
            <w:tcBorders>
              <w:top w:val="single" w:sz="8" w:space="0" w:color="auto"/>
              <w:left w:val="nil"/>
              <w:bottom w:val="single" w:sz="4" w:space="0" w:color="auto"/>
              <w:right w:val="single" w:sz="4" w:space="0" w:color="auto"/>
            </w:tcBorders>
            <w:shd w:val="clear" w:color="auto" w:fill="auto"/>
            <w:noWrap/>
            <w:vAlign w:val="center"/>
            <w:hideMark/>
          </w:tcPr>
          <w:p w14:paraId="4F5613C7" w14:textId="2EA3AF61"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13.64</w:t>
            </w:r>
          </w:p>
        </w:tc>
        <w:tc>
          <w:tcPr>
            <w:tcW w:w="846" w:type="dxa"/>
            <w:tcBorders>
              <w:top w:val="single" w:sz="8" w:space="0" w:color="auto"/>
              <w:left w:val="nil"/>
              <w:bottom w:val="single" w:sz="4" w:space="0" w:color="auto"/>
              <w:right w:val="single" w:sz="8" w:space="0" w:color="auto"/>
            </w:tcBorders>
            <w:shd w:val="clear" w:color="auto" w:fill="auto"/>
            <w:noWrap/>
            <w:vAlign w:val="center"/>
            <w:hideMark/>
          </w:tcPr>
          <w:p w14:paraId="34419D19" w14:textId="0A5586FF"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38.83</w:t>
            </w:r>
          </w:p>
        </w:tc>
      </w:tr>
      <w:tr w:rsidR="00A24166" w14:paraId="7F63BE01" w14:textId="5C7DC793" w:rsidTr="00A86A29">
        <w:trPr>
          <w:trHeight w:val="299"/>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3563C"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32</w:t>
            </w:r>
          </w:p>
        </w:tc>
        <w:tc>
          <w:tcPr>
            <w:tcW w:w="1386" w:type="dxa"/>
            <w:tcBorders>
              <w:top w:val="nil"/>
              <w:left w:val="nil"/>
              <w:bottom w:val="single" w:sz="4" w:space="0" w:color="auto"/>
              <w:right w:val="single" w:sz="4" w:space="0" w:color="auto"/>
            </w:tcBorders>
            <w:shd w:val="clear" w:color="auto" w:fill="auto"/>
            <w:noWrap/>
            <w:vAlign w:val="center"/>
            <w:hideMark/>
          </w:tcPr>
          <w:p w14:paraId="42DFFF89"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100</w:t>
            </w:r>
          </w:p>
        </w:tc>
        <w:tc>
          <w:tcPr>
            <w:tcW w:w="838" w:type="dxa"/>
            <w:tcBorders>
              <w:top w:val="nil"/>
              <w:left w:val="nil"/>
              <w:bottom w:val="single" w:sz="4" w:space="0" w:color="auto"/>
              <w:right w:val="single" w:sz="4" w:space="0" w:color="auto"/>
            </w:tcBorders>
            <w:shd w:val="clear" w:color="auto" w:fill="auto"/>
            <w:noWrap/>
            <w:vAlign w:val="center"/>
            <w:hideMark/>
          </w:tcPr>
          <w:p w14:paraId="265AFD0B"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15</w:t>
            </w:r>
          </w:p>
        </w:tc>
        <w:tc>
          <w:tcPr>
            <w:tcW w:w="840" w:type="dxa"/>
            <w:tcBorders>
              <w:top w:val="nil"/>
              <w:left w:val="nil"/>
              <w:bottom w:val="single" w:sz="4" w:space="0" w:color="auto"/>
              <w:right w:val="nil"/>
            </w:tcBorders>
            <w:shd w:val="clear" w:color="auto" w:fill="auto"/>
            <w:noWrap/>
            <w:vAlign w:val="center"/>
            <w:hideMark/>
          </w:tcPr>
          <w:p w14:paraId="0BAA5369"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0</w:t>
            </w:r>
          </w:p>
        </w:tc>
        <w:tc>
          <w:tcPr>
            <w:tcW w:w="1107" w:type="dxa"/>
            <w:tcBorders>
              <w:top w:val="nil"/>
              <w:left w:val="single" w:sz="8" w:space="0" w:color="auto"/>
              <w:bottom w:val="single" w:sz="4" w:space="0" w:color="auto"/>
              <w:right w:val="single" w:sz="4" w:space="0" w:color="auto"/>
            </w:tcBorders>
            <w:shd w:val="clear" w:color="auto" w:fill="auto"/>
            <w:noWrap/>
            <w:vAlign w:val="center"/>
            <w:hideMark/>
          </w:tcPr>
          <w:p w14:paraId="204E9067" w14:textId="212EFBBB"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22.24</w:t>
            </w:r>
          </w:p>
        </w:tc>
        <w:tc>
          <w:tcPr>
            <w:tcW w:w="846" w:type="dxa"/>
            <w:tcBorders>
              <w:top w:val="nil"/>
              <w:left w:val="nil"/>
              <w:bottom w:val="single" w:sz="4" w:space="0" w:color="auto"/>
              <w:right w:val="nil"/>
            </w:tcBorders>
            <w:shd w:val="clear" w:color="auto" w:fill="auto"/>
            <w:noWrap/>
            <w:vAlign w:val="center"/>
            <w:hideMark/>
          </w:tcPr>
          <w:p w14:paraId="01068E2C" w14:textId="093ED6E9"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55.93</w:t>
            </w:r>
          </w:p>
        </w:tc>
        <w:tc>
          <w:tcPr>
            <w:tcW w:w="846" w:type="dxa"/>
            <w:tcBorders>
              <w:top w:val="nil"/>
              <w:left w:val="single" w:sz="8" w:space="0" w:color="auto"/>
              <w:bottom w:val="single" w:sz="4" w:space="0" w:color="auto"/>
              <w:right w:val="single" w:sz="4" w:space="0" w:color="auto"/>
            </w:tcBorders>
            <w:shd w:val="clear" w:color="auto" w:fill="auto"/>
            <w:noWrap/>
            <w:vAlign w:val="center"/>
            <w:hideMark/>
          </w:tcPr>
          <w:p w14:paraId="7388DDC9" w14:textId="3EEC4D89"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12.86</w:t>
            </w:r>
          </w:p>
        </w:tc>
        <w:tc>
          <w:tcPr>
            <w:tcW w:w="846" w:type="dxa"/>
            <w:tcBorders>
              <w:top w:val="nil"/>
              <w:left w:val="nil"/>
              <w:bottom w:val="single" w:sz="4" w:space="0" w:color="auto"/>
              <w:right w:val="single" w:sz="8" w:space="0" w:color="auto"/>
            </w:tcBorders>
            <w:shd w:val="clear" w:color="auto" w:fill="auto"/>
            <w:noWrap/>
            <w:vAlign w:val="center"/>
            <w:hideMark/>
          </w:tcPr>
          <w:p w14:paraId="64B163E0" w14:textId="37E9C861"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35.03</w:t>
            </w:r>
          </w:p>
        </w:tc>
        <w:tc>
          <w:tcPr>
            <w:tcW w:w="846" w:type="dxa"/>
            <w:tcBorders>
              <w:top w:val="nil"/>
              <w:left w:val="nil"/>
              <w:bottom w:val="single" w:sz="4" w:space="0" w:color="auto"/>
              <w:right w:val="single" w:sz="4" w:space="0" w:color="auto"/>
            </w:tcBorders>
            <w:shd w:val="clear" w:color="auto" w:fill="auto"/>
            <w:noWrap/>
            <w:vAlign w:val="center"/>
            <w:hideMark/>
          </w:tcPr>
          <w:p w14:paraId="0451777F" w14:textId="4632644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10.26</w:t>
            </w:r>
          </w:p>
        </w:tc>
        <w:tc>
          <w:tcPr>
            <w:tcW w:w="846" w:type="dxa"/>
            <w:tcBorders>
              <w:top w:val="nil"/>
              <w:left w:val="nil"/>
              <w:bottom w:val="single" w:sz="4" w:space="0" w:color="auto"/>
              <w:right w:val="single" w:sz="8" w:space="0" w:color="auto"/>
            </w:tcBorders>
            <w:shd w:val="clear" w:color="auto" w:fill="auto"/>
            <w:noWrap/>
            <w:vAlign w:val="center"/>
            <w:hideMark/>
          </w:tcPr>
          <w:p w14:paraId="446204EC" w14:textId="5AF0D8EC"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28.39</w:t>
            </w:r>
          </w:p>
        </w:tc>
      </w:tr>
      <w:tr w:rsidR="00A24166" w14:paraId="61F734D2" w14:textId="654436BD" w:rsidTr="00A86A29">
        <w:trPr>
          <w:trHeight w:val="299"/>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88B65"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32</w:t>
            </w:r>
          </w:p>
        </w:tc>
        <w:tc>
          <w:tcPr>
            <w:tcW w:w="1386" w:type="dxa"/>
            <w:tcBorders>
              <w:top w:val="nil"/>
              <w:left w:val="nil"/>
              <w:bottom w:val="single" w:sz="4" w:space="0" w:color="auto"/>
              <w:right w:val="single" w:sz="4" w:space="0" w:color="auto"/>
            </w:tcBorders>
            <w:shd w:val="clear" w:color="auto" w:fill="auto"/>
            <w:noWrap/>
            <w:vAlign w:val="center"/>
            <w:hideMark/>
          </w:tcPr>
          <w:p w14:paraId="2AA87F5A"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100</w:t>
            </w:r>
          </w:p>
        </w:tc>
        <w:tc>
          <w:tcPr>
            <w:tcW w:w="838" w:type="dxa"/>
            <w:tcBorders>
              <w:top w:val="nil"/>
              <w:left w:val="nil"/>
              <w:bottom w:val="single" w:sz="4" w:space="0" w:color="auto"/>
              <w:right w:val="single" w:sz="4" w:space="0" w:color="auto"/>
            </w:tcBorders>
            <w:shd w:val="clear" w:color="auto" w:fill="auto"/>
            <w:noWrap/>
            <w:vAlign w:val="center"/>
            <w:hideMark/>
          </w:tcPr>
          <w:p w14:paraId="1D2A7B7C"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15</w:t>
            </w:r>
          </w:p>
        </w:tc>
        <w:tc>
          <w:tcPr>
            <w:tcW w:w="840" w:type="dxa"/>
            <w:tcBorders>
              <w:top w:val="nil"/>
              <w:left w:val="nil"/>
              <w:bottom w:val="single" w:sz="4" w:space="0" w:color="auto"/>
              <w:right w:val="nil"/>
            </w:tcBorders>
            <w:shd w:val="clear" w:color="auto" w:fill="auto"/>
            <w:noWrap/>
            <w:vAlign w:val="center"/>
            <w:hideMark/>
          </w:tcPr>
          <w:p w14:paraId="01D00B15"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3</w:t>
            </w:r>
          </w:p>
        </w:tc>
        <w:tc>
          <w:tcPr>
            <w:tcW w:w="1107" w:type="dxa"/>
            <w:tcBorders>
              <w:top w:val="nil"/>
              <w:left w:val="single" w:sz="8" w:space="0" w:color="auto"/>
              <w:bottom w:val="single" w:sz="4" w:space="0" w:color="auto"/>
              <w:right w:val="single" w:sz="4" w:space="0" w:color="auto"/>
            </w:tcBorders>
            <w:shd w:val="clear" w:color="auto" w:fill="auto"/>
            <w:noWrap/>
            <w:vAlign w:val="center"/>
            <w:hideMark/>
          </w:tcPr>
          <w:p w14:paraId="2545DF99" w14:textId="5EF4AE1C"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16.00</w:t>
            </w:r>
          </w:p>
        </w:tc>
        <w:tc>
          <w:tcPr>
            <w:tcW w:w="846" w:type="dxa"/>
            <w:tcBorders>
              <w:top w:val="nil"/>
              <w:left w:val="nil"/>
              <w:bottom w:val="single" w:sz="4" w:space="0" w:color="auto"/>
              <w:right w:val="nil"/>
            </w:tcBorders>
            <w:shd w:val="clear" w:color="auto" w:fill="auto"/>
            <w:noWrap/>
            <w:vAlign w:val="center"/>
            <w:hideMark/>
          </w:tcPr>
          <w:p w14:paraId="049FC88E" w14:textId="0095B0DB"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44.56</w:t>
            </w:r>
          </w:p>
        </w:tc>
        <w:tc>
          <w:tcPr>
            <w:tcW w:w="846" w:type="dxa"/>
            <w:tcBorders>
              <w:top w:val="nil"/>
              <w:left w:val="single" w:sz="8" w:space="0" w:color="auto"/>
              <w:bottom w:val="single" w:sz="4" w:space="0" w:color="auto"/>
              <w:right w:val="single" w:sz="4" w:space="0" w:color="auto"/>
            </w:tcBorders>
            <w:shd w:val="clear" w:color="auto" w:fill="auto"/>
            <w:noWrap/>
            <w:vAlign w:val="center"/>
            <w:hideMark/>
          </w:tcPr>
          <w:p w14:paraId="00DD9D26" w14:textId="3D01A365"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10.75</w:t>
            </w:r>
          </w:p>
        </w:tc>
        <w:tc>
          <w:tcPr>
            <w:tcW w:w="846" w:type="dxa"/>
            <w:tcBorders>
              <w:top w:val="nil"/>
              <w:left w:val="nil"/>
              <w:bottom w:val="single" w:sz="4" w:space="0" w:color="auto"/>
              <w:right w:val="single" w:sz="8" w:space="0" w:color="auto"/>
            </w:tcBorders>
            <w:shd w:val="clear" w:color="auto" w:fill="auto"/>
            <w:noWrap/>
            <w:vAlign w:val="center"/>
            <w:hideMark/>
          </w:tcPr>
          <w:p w14:paraId="50E258B3" w14:textId="51D876A9"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26.68</w:t>
            </w:r>
          </w:p>
        </w:tc>
        <w:tc>
          <w:tcPr>
            <w:tcW w:w="846" w:type="dxa"/>
            <w:tcBorders>
              <w:top w:val="nil"/>
              <w:left w:val="nil"/>
              <w:bottom w:val="single" w:sz="4" w:space="0" w:color="auto"/>
              <w:right w:val="single" w:sz="4" w:space="0" w:color="auto"/>
            </w:tcBorders>
            <w:shd w:val="clear" w:color="auto" w:fill="auto"/>
            <w:noWrap/>
            <w:vAlign w:val="center"/>
            <w:hideMark/>
          </w:tcPr>
          <w:p w14:paraId="1671B714" w14:textId="02F7E55A"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7.88</w:t>
            </w:r>
          </w:p>
        </w:tc>
        <w:tc>
          <w:tcPr>
            <w:tcW w:w="846" w:type="dxa"/>
            <w:tcBorders>
              <w:top w:val="nil"/>
              <w:left w:val="nil"/>
              <w:bottom w:val="single" w:sz="4" w:space="0" w:color="auto"/>
              <w:right w:val="single" w:sz="8" w:space="0" w:color="auto"/>
            </w:tcBorders>
            <w:shd w:val="clear" w:color="auto" w:fill="auto"/>
            <w:noWrap/>
            <w:vAlign w:val="center"/>
            <w:hideMark/>
          </w:tcPr>
          <w:p w14:paraId="2389365C" w14:textId="0CBACC05"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20.81</w:t>
            </w:r>
          </w:p>
        </w:tc>
      </w:tr>
      <w:tr w:rsidR="00A24166" w14:paraId="44C06507" w14:textId="1D0A3923" w:rsidTr="00A86A29">
        <w:trPr>
          <w:trHeight w:val="299"/>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14759"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32</w:t>
            </w:r>
          </w:p>
        </w:tc>
        <w:tc>
          <w:tcPr>
            <w:tcW w:w="1386" w:type="dxa"/>
            <w:tcBorders>
              <w:top w:val="nil"/>
              <w:left w:val="nil"/>
              <w:bottom w:val="single" w:sz="4" w:space="0" w:color="auto"/>
              <w:right w:val="single" w:sz="4" w:space="0" w:color="auto"/>
            </w:tcBorders>
            <w:shd w:val="clear" w:color="auto" w:fill="auto"/>
            <w:noWrap/>
            <w:vAlign w:val="center"/>
            <w:hideMark/>
          </w:tcPr>
          <w:p w14:paraId="578AF57A"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200</w:t>
            </w:r>
          </w:p>
        </w:tc>
        <w:tc>
          <w:tcPr>
            <w:tcW w:w="838" w:type="dxa"/>
            <w:tcBorders>
              <w:top w:val="nil"/>
              <w:left w:val="nil"/>
              <w:bottom w:val="single" w:sz="4" w:space="0" w:color="auto"/>
              <w:right w:val="single" w:sz="4" w:space="0" w:color="auto"/>
            </w:tcBorders>
            <w:shd w:val="clear" w:color="auto" w:fill="auto"/>
            <w:noWrap/>
            <w:vAlign w:val="center"/>
            <w:hideMark/>
          </w:tcPr>
          <w:p w14:paraId="08F8227D"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15</w:t>
            </w:r>
          </w:p>
        </w:tc>
        <w:tc>
          <w:tcPr>
            <w:tcW w:w="840" w:type="dxa"/>
            <w:tcBorders>
              <w:top w:val="nil"/>
              <w:left w:val="nil"/>
              <w:bottom w:val="single" w:sz="4" w:space="0" w:color="auto"/>
              <w:right w:val="nil"/>
            </w:tcBorders>
            <w:shd w:val="clear" w:color="auto" w:fill="auto"/>
            <w:noWrap/>
            <w:vAlign w:val="center"/>
            <w:hideMark/>
          </w:tcPr>
          <w:p w14:paraId="324FCEBB"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-3</w:t>
            </w:r>
          </w:p>
        </w:tc>
        <w:tc>
          <w:tcPr>
            <w:tcW w:w="1107" w:type="dxa"/>
            <w:tcBorders>
              <w:top w:val="nil"/>
              <w:left w:val="single" w:sz="8" w:space="0" w:color="auto"/>
              <w:bottom w:val="single" w:sz="4" w:space="0" w:color="auto"/>
              <w:right w:val="single" w:sz="4" w:space="0" w:color="auto"/>
            </w:tcBorders>
            <w:shd w:val="clear" w:color="auto" w:fill="auto"/>
            <w:noWrap/>
            <w:vAlign w:val="center"/>
            <w:hideMark/>
          </w:tcPr>
          <w:p w14:paraId="3ABAB40D" w14:textId="72E257FB"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32.04</w:t>
            </w:r>
          </w:p>
        </w:tc>
        <w:tc>
          <w:tcPr>
            <w:tcW w:w="846" w:type="dxa"/>
            <w:tcBorders>
              <w:top w:val="nil"/>
              <w:left w:val="nil"/>
              <w:bottom w:val="single" w:sz="4" w:space="0" w:color="auto"/>
              <w:right w:val="nil"/>
            </w:tcBorders>
            <w:shd w:val="clear" w:color="auto" w:fill="auto"/>
            <w:noWrap/>
            <w:vAlign w:val="center"/>
            <w:hideMark/>
          </w:tcPr>
          <w:p w14:paraId="279A2194" w14:textId="3428DD75"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83.66</w:t>
            </w:r>
          </w:p>
        </w:tc>
        <w:tc>
          <w:tcPr>
            <w:tcW w:w="846" w:type="dxa"/>
            <w:tcBorders>
              <w:top w:val="nil"/>
              <w:left w:val="single" w:sz="8" w:space="0" w:color="auto"/>
              <w:bottom w:val="single" w:sz="4" w:space="0" w:color="auto"/>
              <w:right w:val="single" w:sz="4" w:space="0" w:color="auto"/>
            </w:tcBorders>
            <w:shd w:val="clear" w:color="auto" w:fill="auto"/>
            <w:noWrap/>
            <w:vAlign w:val="center"/>
            <w:hideMark/>
          </w:tcPr>
          <w:p w14:paraId="5F06EFD9" w14:textId="62FF616C"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20.58</w:t>
            </w:r>
          </w:p>
        </w:tc>
        <w:tc>
          <w:tcPr>
            <w:tcW w:w="846" w:type="dxa"/>
            <w:tcBorders>
              <w:top w:val="nil"/>
              <w:left w:val="nil"/>
              <w:bottom w:val="single" w:sz="4" w:space="0" w:color="auto"/>
              <w:right w:val="single" w:sz="8" w:space="0" w:color="auto"/>
            </w:tcBorders>
            <w:shd w:val="clear" w:color="auto" w:fill="auto"/>
            <w:noWrap/>
            <w:vAlign w:val="center"/>
            <w:hideMark/>
          </w:tcPr>
          <w:p w14:paraId="282C43CE" w14:textId="6AB87A0D"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52.84</w:t>
            </w:r>
          </w:p>
        </w:tc>
        <w:tc>
          <w:tcPr>
            <w:tcW w:w="846" w:type="dxa"/>
            <w:tcBorders>
              <w:top w:val="nil"/>
              <w:left w:val="nil"/>
              <w:bottom w:val="single" w:sz="4" w:space="0" w:color="auto"/>
              <w:right w:val="single" w:sz="4" w:space="0" w:color="auto"/>
            </w:tcBorders>
            <w:shd w:val="clear" w:color="auto" w:fill="auto"/>
            <w:noWrap/>
            <w:vAlign w:val="center"/>
            <w:hideMark/>
          </w:tcPr>
          <w:p w14:paraId="453205DC" w14:textId="234E8379"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15.87</w:t>
            </w:r>
          </w:p>
        </w:tc>
        <w:tc>
          <w:tcPr>
            <w:tcW w:w="846" w:type="dxa"/>
            <w:tcBorders>
              <w:top w:val="nil"/>
              <w:left w:val="nil"/>
              <w:bottom w:val="single" w:sz="4" w:space="0" w:color="auto"/>
              <w:right w:val="single" w:sz="8" w:space="0" w:color="auto"/>
            </w:tcBorders>
            <w:shd w:val="clear" w:color="auto" w:fill="auto"/>
            <w:noWrap/>
            <w:vAlign w:val="center"/>
            <w:hideMark/>
          </w:tcPr>
          <w:p w14:paraId="2B17A276" w14:textId="79FC39EF"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40.90</w:t>
            </w:r>
          </w:p>
        </w:tc>
      </w:tr>
      <w:tr w:rsidR="00A24166" w14:paraId="7262547B" w14:textId="44AC8703" w:rsidTr="00A86A29">
        <w:trPr>
          <w:trHeight w:val="299"/>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38099"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32</w:t>
            </w:r>
          </w:p>
        </w:tc>
        <w:tc>
          <w:tcPr>
            <w:tcW w:w="1386" w:type="dxa"/>
            <w:tcBorders>
              <w:top w:val="nil"/>
              <w:left w:val="nil"/>
              <w:bottom w:val="single" w:sz="4" w:space="0" w:color="auto"/>
              <w:right w:val="single" w:sz="4" w:space="0" w:color="auto"/>
            </w:tcBorders>
            <w:shd w:val="clear" w:color="auto" w:fill="auto"/>
            <w:noWrap/>
            <w:vAlign w:val="center"/>
            <w:hideMark/>
          </w:tcPr>
          <w:p w14:paraId="3879476C"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200</w:t>
            </w:r>
          </w:p>
        </w:tc>
        <w:tc>
          <w:tcPr>
            <w:tcW w:w="838" w:type="dxa"/>
            <w:tcBorders>
              <w:top w:val="nil"/>
              <w:left w:val="nil"/>
              <w:bottom w:val="single" w:sz="4" w:space="0" w:color="auto"/>
              <w:right w:val="single" w:sz="4" w:space="0" w:color="auto"/>
            </w:tcBorders>
            <w:shd w:val="clear" w:color="auto" w:fill="auto"/>
            <w:noWrap/>
            <w:vAlign w:val="center"/>
            <w:hideMark/>
          </w:tcPr>
          <w:p w14:paraId="1FB5CBE9"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15</w:t>
            </w:r>
          </w:p>
        </w:tc>
        <w:tc>
          <w:tcPr>
            <w:tcW w:w="840" w:type="dxa"/>
            <w:tcBorders>
              <w:top w:val="nil"/>
              <w:left w:val="nil"/>
              <w:bottom w:val="single" w:sz="4" w:space="0" w:color="auto"/>
              <w:right w:val="nil"/>
            </w:tcBorders>
            <w:shd w:val="clear" w:color="auto" w:fill="auto"/>
            <w:noWrap/>
            <w:vAlign w:val="center"/>
            <w:hideMark/>
          </w:tcPr>
          <w:p w14:paraId="1C5C5CAC"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0</w:t>
            </w:r>
          </w:p>
        </w:tc>
        <w:tc>
          <w:tcPr>
            <w:tcW w:w="1107" w:type="dxa"/>
            <w:tcBorders>
              <w:top w:val="nil"/>
              <w:left w:val="single" w:sz="8" w:space="0" w:color="auto"/>
              <w:bottom w:val="single" w:sz="4" w:space="0" w:color="auto"/>
              <w:right w:val="single" w:sz="4" w:space="0" w:color="auto"/>
            </w:tcBorders>
            <w:shd w:val="clear" w:color="auto" w:fill="auto"/>
            <w:noWrap/>
            <w:vAlign w:val="center"/>
            <w:hideMark/>
          </w:tcPr>
          <w:p w14:paraId="1E5C00B6" w14:textId="793BE8A8"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24.97</w:t>
            </w:r>
          </w:p>
        </w:tc>
        <w:tc>
          <w:tcPr>
            <w:tcW w:w="846" w:type="dxa"/>
            <w:tcBorders>
              <w:top w:val="nil"/>
              <w:left w:val="nil"/>
              <w:bottom w:val="single" w:sz="4" w:space="0" w:color="auto"/>
              <w:right w:val="nil"/>
            </w:tcBorders>
            <w:shd w:val="clear" w:color="auto" w:fill="auto"/>
            <w:noWrap/>
            <w:vAlign w:val="center"/>
            <w:hideMark/>
          </w:tcPr>
          <w:p w14:paraId="4A9411DF" w14:textId="22EDE7D3"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68.70</w:t>
            </w:r>
          </w:p>
        </w:tc>
        <w:tc>
          <w:tcPr>
            <w:tcW w:w="846" w:type="dxa"/>
            <w:tcBorders>
              <w:top w:val="nil"/>
              <w:left w:val="single" w:sz="8" w:space="0" w:color="auto"/>
              <w:bottom w:val="single" w:sz="4" w:space="0" w:color="auto"/>
              <w:right w:val="single" w:sz="4" w:space="0" w:color="auto"/>
            </w:tcBorders>
            <w:shd w:val="clear" w:color="auto" w:fill="auto"/>
            <w:noWrap/>
            <w:vAlign w:val="center"/>
            <w:hideMark/>
          </w:tcPr>
          <w:p w14:paraId="2D7E63FE" w14:textId="28632191"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15.54</w:t>
            </w:r>
          </w:p>
        </w:tc>
        <w:tc>
          <w:tcPr>
            <w:tcW w:w="846" w:type="dxa"/>
            <w:tcBorders>
              <w:top w:val="nil"/>
              <w:left w:val="nil"/>
              <w:bottom w:val="single" w:sz="4" w:space="0" w:color="auto"/>
              <w:right w:val="single" w:sz="8" w:space="0" w:color="auto"/>
            </w:tcBorders>
            <w:shd w:val="clear" w:color="auto" w:fill="auto"/>
            <w:noWrap/>
            <w:vAlign w:val="center"/>
            <w:hideMark/>
          </w:tcPr>
          <w:p w14:paraId="64CEC1CA" w14:textId="1B7016EC"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38.79</w:t>
            </w:r>
          </w:p>
        </w:tc>
        <w:tc>
          <w:tcPr>
            <w:tcW w:w="846" w:type="dxa"/>
            <w:tcBorders>
              <w:top w:val="nil"/>
              <w:left w:val="nil"/>
              <w:bottom w:val="single" w:sz="4" w:space="0" w:color="auto"/>
              <w:right w:val="single" w:sz="4" w:space="0" w:color="auto"/>
            </w:tcBorders>
            <w:shd w:val="clear" w:color="auto" w:fill="auto"/>
            <w:noWrap/>
            <w:vAlign w:val="center"/>
            <w:hideMark/>
          </w:tcPr>
          <w:p w14:paraId="6AED5D43" w14:textId="3F6C069A"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12.08</w:t>
            </w:r>
          </w:p>
        </w:tc>
        <w:tc>
          <w:tcPr>
            <w:tcW w:w="846" w:type="dxa"/>
            <w:tcBorders>
              <w:top w:val="nil"/>
              <w:left w:val="nil"/>
              <w:bottom w:val="single" w:sz="4" w:space="0" w:color="auto"/>
              <w:right w:val="single" w:sz="8" w:space="0" w:color="auto"/>
            </w:tcBorders>
            <w:shd w:val="clear" w:color="auto" w:fill="auto"/>
            <w:noWrap/>
            <w:vAlign w:val="center"/>
            <w:hideMark/>
          </w:tcPr>
          <w:p w14:paraId="2F1FCF59" w14:textId="4F71848C"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31.02</w:t>
            </w:r>
          </w:p>
        </w:tc>
      </w:tr>
      <w:tr w:rsidR="00A24166" w14:paraId="7857364F" w14:textId="00093792" w:rsidTr="00A86A29">
        <w:trPr>
          <w:trHeight w:val="299"/>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6D400"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32</w:t>
            </w:r>
          </w:p>
        </w:tc>
        <w:tc>
          <w:tcPr>
            <w:tcW w:w="1386" w:type="dxa"/>
            <w:tcBorders>
              <w:top w:val="nil"/>
              <w:left w:val="nil"/>
              <w:bottom w:val="single" w:sz="4" w:space="0" w:color="auto"/>
              <w:right w:val="single" w:sz="4" w:space="0" w:color="auto"/>
            </w:tcBorders>
            <w:shd w:val="clear" w:color="auto" w:fill="auto"/>
            <w:noWrap/>
            <w:vAlign w:val="center"/>
            <w:hideMark/>
          </w:tcPr>
          <w:p w14:paraId="366FE376"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200</w:t>
            </w:r>
          </w:p>
        </w:tc>
        <w:tc>
          <w:tcPr>
            <w:tcW w:w="838" w:type="dxa"/>
            <w:tcBorders>
              <w:top w:val="nil"/>
              <w:left w:val="nil"/>
              <w:bottom w:val="single" w:sz="4" w:space="0" w:color="auto"/>
              <w:right w:val="single" w:sz="4" w:space="0" w:color="auto"/>
            </w:tcBorders>
            <w:shd w:val="clear" w:color="auto" w:fill="auto"/>
            <w:noWrap/>
            <w:vAlign w:val="center"/>
            <w:hideMark/>
          </w:tcPr>
          <w:p w14:paraId="7D75E913"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15</w:t>
            </w:r>
          </w:p>
        </w:tc>
        <w:tc>
          <w:tcPr>
            <w:tcW w:w="840" w:type="dxa"/>
            <w:tcBorders>
              <w:top w:val="nil"/>
              <w:left w:val="nil"/>
              <w:bottom w:val="single" w:sz="4" w:space="0" w:color="auto"/>
              <w:right w:val="nil"/>
            </w:tcBorders>
            <w:shd w:val="clear" w:color="auto" w:fill="auto"/>
            <w:noWrap/>
            <w:vAlign w:val="center"/>
            <w:hideMark/>
          </w:tcPr>
          <w:p w14:paraId="2F7B7B7C"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3</w:t>
            </w:r>
          </w:p>
        </w:tc>
        <w:tc>
          <w:tcPr>
            <w:tcW w:w="1107" w:type="dxa"/>
            <w:tcBorders>
              <w:top w:val="nil"/>
              <w:left w:val="single" w:sz="8" w:space="0" w:color="auto"/>
              <w:bottom w:val="single" w:sz="4" w:space="0" w:color="auto"/>
              <w:right w:val="single" w:sz="4" w:space="0" w:color="auto"/>
            </w:tcBorders>
            <w:shd w:val="clear" w:color="auto" w:fill="auto"/>
            <w:noWrap/>
            <w:vAlign w:val="center"/>
            <w:hideMark/>
          </w:tcPr>
          <w:p w14:paraId="2F3D0802" w14:textId="7A956B29"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20.69</w:t>
            </w:r>
          </w:p>
        </w:tc>
        <w:tc>
          <w:tcPr>
            <w:tcW w:w="846" w:type="dxa"/>
            <w:tcBorders>
              <w:top w:val="nil"/>
              <w:left w:val="nil"/>
              <w:bottom w:val="single" w:sz="4" w:space="0" w:color="auto"/>
              <w:right w:val="nil"/>
            </w:tcBorders>
            <w:shd w:val="clear" w:color="auto" w:fill="auto"/>
            <w:noWrap/>
            <w:vAlign w:val="center"/>
            <w:hideMark/>
          </w:tcPr>
          <w:p w14:paraId="536904E6" w14:textId="2DC759C3"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51.16</w:t>
            </w:r>
          </w:p>
        </w:tc>
        <w:tc>
          <w:tcPr>
            <w:tcW w:w="846" w:type="dxa"/>
            <w:tcBorders>
              <w:top w:val="nil"/>
              <w:left w:val="single" w:sz="8" w:space="0" w:color="auto"/>
              <w:bottom w:val="single" w:sz="4" w:space="0" w:color="auto"/>
              <w:right w:val="single" w:sz="4" w:space="0" w:color="auto"/>
            </w:tcBorders>
            <w:shd w:val="clear" w:color="auto" w:fill="auto"/>
            <w:noWrap/>
            <w:vAlign w:val="center"/>
            <w:hideMark/>
          </w:tcPr>
          <w:p w14:paraId="7EEDD307" w14:textId="5652B9A1"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11.65</w:t>
            </w:r>
          </w:p>
        </w:tc>
        <w:tc>
          <w:tcPr>
            <w:tcW w:w="846" w:type="dxa"/>
            <w:tcBorders>
              <w:top w:val="nil"/>
              <w:left w:val="nil"/>
              <w:bottom w:val="single" w:sz="4" w:space="0" w:color="auto"/>
              <w:right w:val="single" w:sz="8" w:space="0" w:color="auto"/>
            </w:tcBorders>
            <w:shd w:val="clear" w:color="auto" w:fill="auto"/>
            <w:noWrap/>
            <w:vAlign w:val="center"/>
            <w:hideMark/>
          </w:tcPr>
          <w:p w14:paraId="04C5ADD4" w14:textId="5651ADFF"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27.83</w:t>
            </w:r>
          </w:p>
        </w:tc>
        <w:tc>
          <w:tcPr>
            <w:tcW w:w="846" w:type="dxa"/>
            <w:tcBorders>
              <w:top w:val="nil"/>
              <w:left w:val="nil"/>
              <w:bottom w:val="single" w:sz="4" w:space="0" w:color="auto"/>
              <w:right w:val="single" w:sz="4" w:space="0" w:color="auto"/>
            </w:tcBorders>
            <w:shd w:val="clear" w:color="auto" w:fill="auto"/>
            <w:noWrap/>
            <w:vAlign w:val="center"/>
            <w:hideMark/>
          </w:tcPr>
          <w:p w14:paraId="2EAA6247" w14:textId="29F684BD"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9.23</w:t>
            </w:r>
          </w:p>
        </w:tc>
        <w:tc>
          <w:tcPr>
            <w:tcW w:w="846" w:type="dxa"/>
            <w:tcBorders>
              <w:top w:val="nil"/>
              <w:left w:val="nil"/>
              <w:bottom w:val="single" w:sz="4" w:space="0" w:color="auto"/>
              <w:right w:val="single" w:sz="8" w:space="0" w:color="auto"/>
            </w:tcBorders>
            <w:shd w:val="clear" w:color="auto" w:fill="auto"/>
            <w:noWrap/>
            <w:vAlign w:val="center"/>
            <w:hideMark/>
          </w:tcPr>
          <w:p w14:paraId="5989037A" w14:textId="0270CDC1"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23.36</w:t>
            </w:r>
          </w:p>
        </w:tc>
      </w:tr>
      <w:tr w:rsidR="00A24166" w14:paraId="6E15166A" w14:textId="052091EC" w:rsidTr="00A86A29">
        <w:trPr>
          <w:trHeight w:val="299"/>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7E1C6"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256</w:t>
            </w:r>
          </w:p>
        </w:tc>
        <w:tc>
          <w:tcPr>
            <w:tcW w:w="1386" w:type="dxa"/>
            <w:tcBorders>
              <w:top w:val="single" w:sz="8" w:space="0" w:color="auto"/>
              <w:left w:val="nil"/>
              <w:bottom w:val="single" w:sz="4" w:space="0" w:color="auto"/>
              <w:right w:val="single" w:sz="4" w:space="0" w:color="auto"/>
            </w:tcBorders>
            <w:shd w:val="clear" w:color="auto" w:fill="auto"/>
            <w:noWrap/>
            <w:vAlign w:val="center"/>
            <w:hideMark/>
          </w:tcPr>
          <w:p w14:paraId="403D4FF5"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100</w:t>
            </w:r>
          </w:p>
        </w:tc>
        <w:tc>
          <w:tcPr>
            <w:tcW w:w="838" w:type="dxa"/>
            <w:tcBorders>
              <w:top w:val="single" w:sz="8" w:space="0" w:color="auto"/>
              <w:left w:val="nil"/>
              <w:bottom w:val="single" w:sz="4" w:space="0" w:color="auto"/>
              <w:right w:val="single" w:sz="4" w:space="0" w:color="auto"/>
            </w:tcBorders>
            <w:shd w:val="clear" w:color="auto" w:fill="auto"/>
            <w:noWrap/>
            <w:vAlign w:val="center"/>
            <w:hideMark/>
          </w:tcPr>
          <w:p w14:paraId="0B313A7B"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15</w:t>
            </w:r>
          </w:p>
        </w:tc>
        <w:tc>
          <w:tcPr>
            <w:tcW w:w="840" w:type="dxa"/>
            <w:tcBorders>
              <w:top w:val="single" w:sz="8" w:space="0" w:color="auto"/>
              <w:left w:val="nil"/>
              <w:bottom w:val="single" w:sz="4" w:space="0" w:color="auto"/>
              <w:right w:val="nil"/>
            </w:tcBorders>
            <w:shd w:val="clear" w:color="auto" w:fill="auto"/>
            <w:noWrap/>
            <w:vAlign w:val="center"/>
            <w:hideMark/>
          </w:tcPr>
          <w:p w14:paraId="7A9D374E"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-3</w:t>
            </w:r>
          </w:p>
        </w:tc>
        <w:tc>
          <w:tcPr>
            <w:tcW w:w="110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C5F9522" w14:textId="4B36D5BD"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25.12</w:t>
            </w:r>
          </w:p>
        </w:tc>
        <w:tc>
          <w:tcPr>
            <w:tcW w:w="846" w:type="dxa"/>
            <w:tcBorders>
              <w:top w:val="single" w:sz="8" w:space="0" w:color="auto"/>
              <w:left w:val="nil"/>
              <w:bottom w:val="single" w:sz="4" w:space="0" w:color="auto"/>
              <w:right w:val="nil"/>
            </w:tcBorders>
            <w:shd w:val="clear" w:color="auto" w:fill="auto"/>
            <w:noWrap/>
            <w:vAlign w:val="center"/>
            <w:hideMark/>
          </w:tcPr>
          <w:p w14:paraId="79E92578" w14:textId="07FA068D"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64.33</w:t>
            </w:r>
          </w:p>
        </w:tc>
        <w:tc>
          <w:tcPr>
            <w:tcW w:w="84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04F70FF" w14:textId="1B210E38"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16.80</w:t>
            </w:r>
          </w:p>
        </w:tc>
        <w:tc>
          <w:tcPr>
            <w:tcW w:w="846" w:type="dxa"/>
            <w:tcBorders>
              <w:top w:val="single" w:sz="8" w:space="0" w:color="auto"/>
              <w:left w:val="nil"/>
              <w:bottom w:val="single" w:sz="4" w:space="0" w:color="auto"/>
              <w:right w:val="single" w:sz="8" w:space="0" w:color="auto"/>
            </w:tcBorders>
            <w:shd w:val="clear" w:color="auto" w:fill="auto"/>
            <w:noWrap/>
            <w:vAlign w:val="center"/>
            <w:hideMark/>
          </w:tcPr>
          <w:p w14:paraId="02AE989E" w14:textId="390B28A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44.26</w:t>
            </w:r>
          </w:p>
        </w:tc>
        <w:tc>
          <w:tcPr>
            <w:tcW w:w="846" w:type="dxa"/>
            <w:tcBorders>
              <w:top w:val="single" w:sz="8" w:space="0" w:color="auto"/>
              <w:left w:val="nil"/>
              <w:bottom w:val="single" w:sz="4" w:space="0" w:color="auto"/>
              <w:right w:val="single" w:sz="4" w:space="0" w:color="auto"/>
            </w:tcBorders>
            <w:shd w:val="clear" w:color="auto" w:fill="auto"/>
            <w:noWrap/>
            <w:vAlign w:val="center"/>
            <w:hideMark/>
          </w:tcPr>
          <w:p w14:paraId="7F219ECB" w14:textId="1A7254C2"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13.63</w:t>
            </w:r>
          </w:p>
        </w:tc>
        <w:tc>
          <w:tcPr>
            <w:tcW w:w="846" w:type="dxa"/>
            <w:tcBorders>
              <w:top w:val="single" w:sz="8" w:space="0" w:color="auto"/>
              <w:left w:val="nil"/>
              <w:bottom w:val="single" w:sz="4" w:space="0" w:color="auto"/>
              <w:right w:val="single" w:sz="8" w:space="0" w:color="auto"/>
            </w:tcBorders>
            <w:shd w:val="clear" w:color="auto" w:fill="auto"/>
            <w:noWrap/>
            <w:vAlign w:val="center"/>
            <w:hideMark/>
          </w:tcPr>
          <w:p w14:paraId="47D5BF34" w14:textId="08D6341A"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38.12</w:t>
            </w:r>
          </w:p>
        </w:tc>
      </w:tr>
      <w:tr w:rsidR="00A24166" w14:paraId="06967584" w14:textId="5A436C0D" w:rsidTr="00A86A29">
        <w:trPr>
          <w:trHeight w:val="299"/>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AC06B"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256</w:t>
            </w:r>
          </w:p>
        </w:tc>
        <w:tc>
          <w:tcPr>
            <w:tcW w:w="1386" w:type="dxa"/>
            <w:tcBorders>
              <w:top w:val="nil"/>
              <w:left w:val="nil"/>
              <w:bottom w:val="single" w:sz="4" w:space="0" w:color="auto"/>
              <w:right w:val="single" w:sz="4" w:space="0" w:color="auto"/>
            </w:tcBorders>
            <w:shd w:val="clear" w:color="auto" w:fill="auto"/>
            <w:noWrap/>
            <w:vAlign w:val="center"/>
            <w:hideMark/>
          </w:tcPr>
          <w:p w14:paraId="1434A1BD"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100</w:t>
            </w:r>
          </w:p>
        </w:tc>
        <w:tc>
          <w:tcPr>
            <w:tcW w:w="838" w:type="dxa"/>
            <w:tcBorders>
              <w:top w:val="nil"/>
              <w:left w:val="nil"/>
              <w:bottom w:val="single" w:sz="4" w:space="0" w:color="auto"/>
              <w:right w:val="single" w:sz="4" w:space="0" w:color="auto"/>
            </w:tcBorders>
            <w:shd w:val="clear" w:color="auto" w:fill="auto"/>
            <w:noWrap/>
            <w:vAlign w:val="center"/>
            <w:hideMark/>
          </w:tcPr>
          <w:p w14:paraId="422D9378"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15</w:t>
            </w:r>
          </w:p>
        </w:tc>
        <w:tc>
          <w:tcPr>
            <w:tcW w:w="840" w:type="dxa"/>
            <w:tcBorders>
              <w:top w:val="nil"/>
              <w:left w:val="nil"/>
              <w:bottom w:val="single" w:sz="4" w:space="0" w:color="auto"/>
              <w:right w:val="nil"/>
            </w:tcBorders>
            <w:shd w:val="clear" w:color="auto" w:fill="auto"/>
            <w:noWrap/>
            <w:vAlign w:val="center"/>
            <w:hideMark/>
          </w:tcPr>
          <w:p w14:paraId="697F4B31"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0</w:t>
            </w:r>
          </w:p>
        </w:tc>
        <w:tc>
          <w:tcPr>
            <w:tcW w:w="1107" w:type="dxa"/>
            <w:tcBorders>
              <w:top w:val="nil"/>
              <w:left w:val="single" w:sz="8" w:space="0" w:color="auto"/>
              <w:bottom w:val="single" w:sz="4" w:space="0" w:color="auto"/>
              <w:right w:val="single" w:sz="4" w:space="0" w:color="auto"/>
            </w:tcBorders>
            <w:shd w:val="clear" w:color="auto" w:fill="auto"/>
            <w:noWrap/>
            <w:vAlign w:val="center"/>
            <w:hideMark/>
          </w:tcPr>
          <w:p w14:paraId="53748685" w14:textId="5194C874"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22.74</w:t>
            </w:r>
          </w:p>
        </w:tc>
        <w:tc>
          <w:tcPr>
            <w:tcW w:w="846" w:type="dxa"/>
            <w:tcBorders>
              <w:top w:val="nil"/>
              <w:left w:val="nil"/>
              <w:bottom w:val="single" w:sz="4" w:space="0" w:color="auto"/>
              <w:right w:val="nil"/>
            </w:tcBorders>
            <w:shd w:val="clear" w:color="auto" w:fill="auto"/>
            <w:noWrap/>
            <w:vAlign w:val="center"/>
            <w:hideMark/>
          </w:tcPr>
          <w:p w14:paraId="38596F7D" w14:textId="125A03FA"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55.91</w:t>
            </w:r>
          </w:p>
        </w:tc>
        <w:tc>
          <w:tcPr>
            <w:tcW w:w="846" w:type="dxa"/>
            <w:tcBorders>
              <w:top w:val="nil"/>
              <w:left w:val="single" w:sz="8" w:space="0" w:color="auto"/>
              <w:bottom w:val="single" w:sz="4" w:space="0" w:color="auto"/>
              <w:right w:val="single" w:sz="4" w:space="0" w:color="auto"/>
            </w:tcBorders>
            <w:shd w:val="clear" w:color="auto" w:fill="auto"/>
            <w:noWrap/>
            <w:vAlign w:val="center"/>
            <w:hideMark/>
          </w:tcPr>
          <w:p w14:paraId="5A16D9B6" w14:textId="73C967C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12.91</w:t>
            </w:r>
          </w:p>
        </w:tc>
        <w:tc>
          <w:tcPr>
            <w:tcW w:w="846" w:type="dxa"/>
            <w:tcBorders>
              <w:top w:val="nil"/>
              <w:left w:val="nil"/>
              <w:bottom w:val="single" w:sz="4" w:space="0" w:color="auto"/>
              <w:right w:val="single" w:sz="8" w:space="0" w:color="auto"/>
            </w:tcBorders>
            <w:shd w:val="clear" w:color="auto" w:fill="auto"/>
            <w:noWrap/>
            <w:vAlign w:val="center"/>
            <w:hideMark/>
          </w:tcPr>
          <w:p w14:paraId="39AB0A03" w14:textId="4624189C"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34.68</w:t>
            </w:r>
          </w:p>
        </w:tc>
        <w:tc>
          <w:tcPr>
            <w:tcW w:w="846" w:type="dxa"/>
            <w:tcBorders>
              <w:top w:val="nil"/>
              <w:left w:val="nil"/>
              <w:bottom w:val="single" w:sz="4" w:space="0" w:color="auto"/>
              <w:right w:val="single" w:sz="4" w:space="0" w:color="auto"/>
            </w:tcBorders>
            <w:shd w:val="clear" w:color="auto" w:fill="auto"/>
            <w:noWrap/>
            <w:vAlign w:val="center"/>
            <w:hideMark/>
          </w:tcPr>
          <w:p w14:paraId="71ABE855" w14:textId="49EF5DA9"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10.47</w:t>
            </w:r>
          </w:p>
        </w:tc>
        <w:tc>
          <w:tcPr>
            <w:tcW w:w="846" w:type="dxa"/>
            <w:tcBorders>
              <w:top w:val="nil"/>
              <w:left w:val="nil"/>
              <w:bottom w:val="single" w:sz="4" w:space="0" w:color="auto"/>
              <w:right w:val="single" w:sz="8" w:space="0" w:color="auto"/>
            </w:tcBorders>
            <w:shd w:val="clear" w:color="auto" w:fill="auto"/>
            <w:noWrap/>
            <w:vAlign w:val="center"/>
            <w:hideMark/>
          </w:tcPr>
          <w:p w14:paraId="6AFCFD83" w14:textId="4BD91AD8"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28.24</w:t>
            </w:r>
          </w:p>
        </w:tc>
      </w:tr>
      <w:tr w:rsidR="00A24166" w14:paraId="2B802EBA" w14:textId="2C034402" w:rsidTr="00A86A29">
        <w:trPr>
          <w:trHeight w:val="299"/>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9CC2F"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256</w:t>
            </w:r>
          </w:p>
        </w:tc>
        <w:tc>
          <w:tcPr>
            <w:tcW w:w="1386" w:type="dxa"/>
            <w:tcBorders>
              <w:top w:val="nil"/>
              <w:left w:val="nil"/>
              <w:bottom w:val="single" w:sz="4" w:space="0" w:color="auto"/>
              <w:right w:val="single" w:sz="4" w:space="0" w:color="auto"/>
            </w:tcBorders>
            <w:shd w:val="clear" w:color="auto" w:fill="auto"/>
            <w:noWrap/>
            <w:vAlign w:val="center"/>
            <w:hideMark/>
          </w:tcPr>
          <w:p w14:paraId="427AF9DF"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100</w:t>
            </w:r>
          </w:p>
        </w:tc>
        <w:tc>
          <w:tcPr>
            <w:tcW w:w="838" w:type="dxa"/>
            <w:tcBorders>
              <w:top w:val="nil"/>
              <w:left w:val="nil"/>
              <w:bottom w:val="single" w:sz="4" w:space="0" w:color="auto"/>
              <w:right w:val="single" w:sz="4" w:space="0" w:color="auto"/>
            </w:tcBorders>
            <w:shd w:val="clear" w:color="auto" w:fill="auto"/>
            <w:noWrap/>
            <w:vAlign w:val="center"/>
            <w:hideMark/>
          </w:tcPr>
          <w:p w14:paraId="02D0AED7"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15</w:t>
            </w:r>
          </w:p>
        </w:tc>
        <w:tc>
          <w:tcPr>
            <w:tcW w:w="840" w:type="dxa"/>
            <w:tcBorders>
              <w:top w:val="nil"/>
              <w:left w:val="nil"/>
              <w:bottom w:val="single" w:sz="4" w:space="0" w:color="auto"/>
              <w:right w:val="nil"/>
            </w:tcBorders>
            <w:shd w:val="clear" w:color="auto" w:fill="auto"/>
            <w:noWrap/>
            <w:vAlign w:val="center"/>
            <w:hideMark/>
          </w:tcPr>
          <w:p w14:paraId="1AD024E1"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3</w:t>
            </w:r>
          </w:p>
        </w:tc>
        <w:tc>
          <w:tcPr>
            <w:tcW w:w="1107" w:type="dxa"/>
            <w:tcBorders>
              <w:top w:val="nil"/>
              <w:left w:val="single" w:sz="8" w:space="0" w:color="auto"/>
              <w:bottom w:val="single" w:sz="4" w:space="0" w:color="auto"/>
              <w:right w:val="single" w:sz="4" w:space="0" w:color="auto"/>
            </w:tcBorders>
            <w:shd w:val="clear" w:color="auto" w:fill="auto"/>
            <w:noWrap/>
            <w:vAlign w:val="center"/>
            <w:hideMark/>
          </w:tcPr>
          <w:p w14:paraId="3E239D1D" w14:textId="078ADCA2"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16.29</w:t>
            </w:r>
          </w:p>
        </w:tc>
        <w:tc>
          <w:tcPr>
            <w:tcW w:w="846" w:type="dxa"/>
            <w:tcBorders>
              <w:top w:val="nil"/>
              <w:left w:val="nil"/>
              <w:bottom w:val="single" w:sz="4" w:space="0" w:color="auto"/>
              <w:right w:val="nil"/>
            </w:tcBorders>
            <w:shd w:val="clear" w:color="auto" w:fill="auto"/>
            <w:noWrap/>
            <w:vAlign w:val="center"/>
            <w:hideMark/>
          </w:tcPr>
          <w:p w14:paraId="774F360D" w14:textId="06AFD1DE"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44.53</w:t>
            </w:r>
          </w:p>
        </w:tc>
        <w:tc>
          <w:tcPr>
            <w:tcW w:w="846" w:type="dxa"/>
            <w:tcBorders>
              <w:top w:val="nil"/>
              <w:left w:val="single" w:sz="8" w:space="0" w:color="auto"/>
              <w:bottom w:val="single" w:sz="4" w:space="0" w:color="auto"/>
              <w:right w:val="single" w:sz="4" w:space="0" w:color="auto"/>
            </w:tcBorders>
            <w:shd w:val="clear" w:color="auto" w:fill="auto"/>
            <w:noWrap/>
            <w:vAlign w:val="center"/>
            <w:hideMark/>
          </w:tcPr>
          <w:p w14:paraId="34D98CBB" w14:textId="79336EE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11.00</w:t>
            </w:r>
          </w:p>
        </w:tc>
        <w:tc>
          <w:tcPr>
            <w:tcW w:w="846" w:type="dxa"/>
            <w:tcBorders>
              <w:top w:val="nil"/>
              <w:left w:val="nil"/>
              <w:bottom w:val="single" w:sz="4" w:space="0" w:color="auto"/>
              <w:right w:val="single" w:sz="8" w:space="0" w:color="auto"/>
            </w:tcBorders>
            <w:shd w:val="clear" w:color="auto" w:fill="auto"/>
            <w:noWrap/>
            <w:vAlign w:val="center"/>
            <w:hideMark/>
          </w:tcPr>
          <w:p w14:paraId="18F8AD17" w14:textId="40CAF69D"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26.58</w:t>
            </w:r>
          </w:p>
        </w:tc>
        <w:tc>
          <w:tcPr>
            <w:tcW w:w="846" w:type="dxa"/>
            <w:tcBorders>
              <w:top w:val="nil"/>
              <w:left w:val="nil"/>
              <w:bottom w:val="single" w:sz="4" w:space="0" w:color="auto"/>
              <w:right w:val="single" w:sz="4" w:space="0" w:color="auto"/>
            </w:tcBorders>
            <w:shd w:val="clear" w:color="auto" w:fill="auto"/>
            <w:noWrap/>
            <w:vAlign w:val="center"/>
            <w:hideMark/>
          </w:tcPr>
          <w:p w14:paraId="171505F4" w14:textId="6F7FC7B6"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7.75</w:t>
            </w:r>
          </w:p>
        </w:tc>
        <w:tc>
          <w:tcPr>
            <w:tcW w:w="846" w:type="dxa"/>
            <w:tcBorders>
              <w:top w:val="nil"/>
              <w:left w:val="nil"/>
              <w:bottom w:val="single" w:sz="4" w:space="0" w:color="auto"/>
              <w:right w:val="single" w:sz="8" w:space="0" w:color="auto"/>
            </w:tcBorders>
            <w:shd w:val="clear" w:color="auto" w:fill="auto"/>
            <w:noWrap/>
            <w:vAlign w:val="center"/>
            <w:hideMark/>
          </w:tcPr>
          <w:p w14:paraId="1C9216C4" w14:textId="48C23D8F"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20.26</w:t>
            </w:r>
          </w:p>
        </w:tc>
      </w:tr>
      <w:tr w:rsidR="00A24166" w14:paraId="57EA163E" w14:textId="109EAB1A" w:rsidTr="00A86A29">
        <w:trPr>
          <w:trHeight w:val="299"/>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A8D28"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256</w:t>
            </w:r>
          </w:p>
        </w:tc>
        <w:tc>
          <w:tcPr>
            <w:tcW w:w="1386" w:type="dxa"/>
            <w:tcBorders>
              <w:top w:val="nil"/>
              <w:left w:val="nil"/>
              <w:bottom w:val="single" w:sz="4" w:space="0" w:color="auto"/>
              <w:right w:val="single" w:sz="4" w:space="0" w:color="auto"/>
            </w:tcBorders>
            <w:shd w:val="clear" w:color="auto" w:fill="auto"/>
            <w:noWrap/>
            <w:vAlign w:val="center"/>
            <w:hideMark/>
          </w:tcPr>
          <w:p w14:paraId="1486078F"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200</w:t>
            </w:r>
          </w:p>
        </w:tc>
        <w:tc>
          <w:tcPr>
            <w:tcW w:w="838" w:type="dxa"/>
            <w:tcBorders>
              <w:top w:val="nil"/>
              <w:left w:val="nil"/>
              <w:bottom w:val="single" w:sz="4" w:space="0" w:color="auto"/>
              <w:right w:val="single" w:sz="4" w:space="0" w:color="auto"/>
            </w:tcBorders>
            <w:shd w:val="clear" w:color="auto" w:fill="auto"/>
            <w:noWrap/>
            <w:vAlign w:val="center"/>
            <w:hideMark/>
          </w:tcPr>
          <w:p w14:paraId="74DCAC1F"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15</w:t>
            </w:r>
          </w:p>
        </w:tc>
        <w:tc>
          <w:tcPr>
            <w:tcW w:w="840" w:type="dxa"/>
            <w:tcBorders>
              <w:top w:val="nil"/>
              <w:left w:val="nil"/>
              <w:bottom w:val="single" w:sz="4" w:space="0" w:color="auto"/>
              <w:right w:val="nil"/>
            </w:tcBorders>
            <w:shd w:val="clear" w:color="auto" w:fill="auto"/>
            <w:noWrap/>
            <w:vAlign w:val="center"/>
            <w:hideMark/>
          </w:tcPr>
          <w:p w14:paraId="50C423C9"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-3</w:t>
            </w:r>
          </w:p>
        </w:tc>
        <w:tc>
          <w:tcPr>
            <w:tcW w:w="1107" w:type="dxa"/>
            <w:tcBorders>
              <w:top w:val="nil"/>
              <w:left w:val="single" w:sz="8" w:space="0" w:color="auto"/>
              <w:bottom w:val="single" w:sz="4" w:space="0" w:color="auto"/>
              <w:right w:val="single" w:sz="4" w:space="0" w:color="auto"/>
            </w:tcBorders>
            <w:shd w:val="clear" w:color="auto" w:fill="auto"/>
            <w:noWrap/>
            <w:vAlign w:val="center"/>
            <w:hideMark/>
          </w:tcPr>
          <w:p w14:paraId="0F9DC00C" w14:textId="4D5B92FC"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33.29</w:t>
            </w:r>
          </w:p>
        </w:tc>
        <w:tc>
          <w:tcPr>
            <w:tcW w:w="846" w:type="dxa"/>
            <w:tcBorders>
              <w:top w:val="nil"/>
              <w:left w:val="nil"/>
              <w:bottom w:val="single" w:sz="4" w:space="0" w:color="auto"/>
              <w:right w:val="nil"/>
            </w:tcBorders>
            <w:shd w:val="clear" w:color="auto" w:fill="auto"/>
            <w:noWrap/>
            <w:vAlign w:val="center"/>
            <w:hideMark/>
          </w:tcPr>
          <w:p w14:paraId="31DD40A9" w14:textId="4399685D"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85.22</w:t>
            </w:r>
          </w:p>
        </w:tc>
        <w:tc>
          <w:tcPr>
            <w:tcW w:w="846" w:type="dxa"/>
            <w:tcBorders>
              <w:top w:val="nil"/>
              <w:left w:val="single" w:sz="8" w:space="0" w:color="auto"/>
              <w:bottom w:val="single" w:sz="4" w:space="0" w:color="auto"/>
              <w:right w:val="single" w:sz="4" w:space="0" w:color="auto"/>
            </w:tcBorders>
            <w:shd w:val="clear" w:color="auto" w:fill="auto"/>
            <w:noWrap/>
            <w:vAlign w:val="center"/>
            <w:hideMark/>
          </w:tcPr>
          <w:p w14:paraId="100664FF" w14:textId="6595A99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19.98</w:t>
            </w:r>
          </w:p>
        </w:tc>
        <w:tc>
          <w:tcPr>
            <w:tcW w:w="846" w:type="dxa"/>
            <w:tcBorders>
              <w:top w:val="nil"/>
              <w:left w:val="nil"/>
              <w:bottom w:val="single" w:sz="4" w:space="0" w:color="auto"/>
              <w:right w:val="single" w:sz="8" w:space="0" w:color="auto"/>
            </w:tcBorders>
            <w:shd w:val="clear" w:color="auto" w:fill="auto"/>
            <w:noWrap/>
            <w:vAlign w:val="center"/>
            <w:hideMark/>
          </w:tcPr>
          <w:p w14:paraId="605D36B1" w14:textId="1695117D"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52.46</w:t>
            </w:r>
          </w:p>
        </w:tc>
        <w:tc>
          <w:tcPr>
            <w:tcW w:w="846" w:type="dxa"/>
            <w:tcBorders>
              <w:top w:val="nil"/>
              <w:left w:val="nil"/>
              <w:bottom w:val="single" w:sz="4" w:space="0" w:color="auto"/>
              <w:right w:val="single" w:sz="4" w:space="0" w:color="auto"/>
            </w:tcBorders>
            <w:shd w:val="clear" w:color="auto" w:fill="auto"/>
            <w:noWrap/>
            <w:vAlign w:val="center"/>
            <w:hideMark/>
          </w:tcPr>
          <w:p w14:paraId="73081D02" w14:textId="65751EE2"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15.59</w:t>
            </w:r>
          </w:p>
        </w:tc>
        <w:tc>
          <w:tcPr>
            <w:tcW w:w="846" w:type="dxa"/>
            <w:tcBorders>
              <w:top w:val="nil"/>
              <w:left w:val="nil"/>
              <w:bottom w:val="single" w:sz="4" w:space="0" w:color="auto"/>
              <w:right w:val="single" w:sz="8" w:space="0" w:color="auto"/>
            </w:tcBorders>
            <w:shd w:val="clear" w:color="auto" w:fill="auto"/>
            <w:noWrap/>
            <w:vAlign w:val="center"/>
            <w:hideMark/>
          </w:tcPr>
          <w:p w14:paraId="194DC778" w14:textId="6C963669"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40.37</w:t>
            </w:r>
          </w:p>
        </w:tc>
      </w:tr>
      <w:tr w:rsidR="00A24166" w14:paraId="40A84D28" w14:textId="157F0F2F" w:rsidTr="00A86A29">
        <w:trPr>
          <w:trHeight w:val="299"/>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2B5E4"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256</w:t>
            </w:r>
          </w:p>
        </w:tc>
        <w:tc>
          <w:tcPr>
            <w:tcW w:w="1386" w:type="dxa"/>
            <w:tcBorders>
              <w:top w:val="nil"/>
              <w:left w:val="nil"/>
              <w:bottom w:val="single" w:sz="4" w:space="0" w:color="auto"/>
              <w:right w:val="single" w:sz="4" w:space="0" w:color="auto"/>
            </w:tcBorders>
            <w:shd w:val="clear" w:color="auto" w:fill="auto"/>
            <w:noWrap/>
            <w:vAlign w:val="center"/>
            <w:hideMark/>
          </w:tcPr>
          <w:p w14:paraId="2608FA32"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200</w:t>
            </w:r>
          </w:p>
        </w:tc>
        <w:tc>
          <w:tcPr>
            <w:tcW w:w="838" w:type="dxa"/>
            <w:tcBorders>
              <w:top w:val="nil"/>
              <w:left w:val="nil"/>
              <w:bottom w:val="single" w:sz="4" w:space="0" w:color="auto"/>
              <w:right w:val="single" w:sz="4" w:space="0" w:color="auto"/>
            </w:tcBorders>
            <w:shd w:val="clear" w:color="auto" w:fill="auto"/>
            <w:noWrap/>
            <w:vAlign w:val="center"/>
            <w:hideMark/>
          </w:tcPr>
          <w:p w14:paraId="41730823"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15</w:t>
            </w:r>
          </w:p>
        </w:tc>
        <w:tc>
          <w:tcPr>
            <w:tcW w:w="840" w:type="dxa"/>
            <w:tcBorders>
              <w:top w:val="nil"/>
              <w:left w:val="nil"/>
              <w:bottom w:val="single" w:sz="4" w:space="0" w:color="auto"/>
              <w:right w:val="nil"/>
            </w:tcBorders>
            <w:shd w:val="clear" w:color="auto" w:fill="auto"/>
            <w:noWrap/>
            <w:vAlign w:val="center"/>
            <w:hideMark/>
          </w:tcPr>
          <w:p w14:paraId="750BF47D"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0</w:t>
            </w:r>
          </w:p>
        </w:tc>
        <w:tc>
          <w:tcPr>
            <w:tcW w:w="1107" w:type="dxa"/>
            <w:tcBorders>
              <w:top w:val="nil"/>
              <w:left w:val="single" w:sz="8" w:space="0" w:color="auto"/>
              <w:bottom w:val="single" w:sz="4" w:space="0" w:color="auto"/>
              <w:right w:val="single" w:sz="4" w:space="0" w:color="auto"/>
            </w:tcBorders>
            <w:shd w:val="clear" w:color="auto" w:fill="auto"/>
            <w:noWrap/>
            <w:vAlign w:val="center"/>
            <w:hideMark/>
          </w:tcPr>
          <w:p w14:paraId="66AF4E14" w14:textId="5B243678"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25.21</w:t>
            </w:r>
          </w:p>
        </w:tc>
        <w:tc>
          <w:tcPr>
            <w:tcW w:w="846" w:type="dxa"/>
            <w:tcBorders>
              <w:top w:val="nil"/>
              <w:left w:val="nil"/>
              <w:bottom w:val="single" w:sz="4" w:space="0" w:color="auto"/>
              <w:right w:val="nil"/>
            </w:tcBorders>
            <w:shd w:val="clear" w:color="auto" w:fill="auto"/>
            <w:noWrap/>
            <w:vAlign w:val="center"/>
            <w:hideMark/>
          </w:tcPr>
          <w:p w14:paraId="6E533A0B" w14:textId="1E8BB761"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69.22</w:t>
            </w:r>
          </w:p>
        </w:tc>
        <w:tc>
          <w:tcPr>
            <w:tcW w:w="846" w:type="dxa"/>
            <w:tcBorders>
              <w:top w:val="nil"/>
              <w:left w:val="single" w:sz="8" w:space="0" w:color="auto"/>
              <w:bottom w:val="single" w:sz="4" w:space="0" w:color="auto"/>
              <w:right w:val="single" w:sz="4" w:space="0" w:color="auto"/>
            </w:tcBorders>
            <w:shd w:val="clear" w:color="auto" w:fill="auto"/>
            <w:noWrap/>
            <w:vAlign w:val="center"/>
            <w:hideMark/>
          </w:tcPr>
          <w:p w14:paraId="09E69D9A" w14:textId="18E9951A"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15.21</w:t>
            </w:r>
          </w:p>
        </w:tc>
        <w:tc>
          <w:tcPr>
            <w:tcW w:w="846" w:type="dxa"/>
            <w:tcBorders>
              <w:top w:val="nil"/>
              <w:left w:val="nil"/>
              <w:bottom w:val="single" w:sz="4" w:space="0" w:color="auto"/>
              <w:right w:val="single" w:sz="8" w:space="0" w:color="auto"/>
            </w:tcBorders>
            <w:shd w:val="clear" w:color="auto" w:fill="auto"/>
            <w:noWrap/>
            <w:vAlign w:val="center"/>
            <w:hideMark/>
          </w:tcPr>
          <w:p w14:paraId="6F38DC1B" w14:textId="180B37EC"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38.16</w:t>
            </w:r>
          </w:p>
        </w:tc>
        <w:tc>
          <w:tcPr>
            <w:tcW w:w="846" w:type="dxa"/>
            <w:tcBorders>
              <w:top w:val="nil"/>
              <w:left w:val="nil"/>
              <w:bottom w:val="single" w:sz="4" w:space="0" w:color="auto"/>
              <w:right w:val="single" w:sz="4" w:space="0" w:color="auto"/>
            </w:tcBorders>
            <w:shd w:val="clear" w:color="auto" w:fill="auto"/>
            <w:noWrap/>
            <w:vAlign w:val="center"/>
            <w:hideMark/>
          </w:tcPr>
          <w:p w14:paraId="7360FCBB" w14:textId="2749FC39"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11.95</w:t>
            </w:r>
          </w:p>
        </w:tc>
        <w:tc>
          <w:tcPr>
            <w:tcW w:w="846" w:type="dxa"/>
            <w:tcBorders>
              <w:top w:val="nil"/>
              <w:left w:val="nil"/>
              <w:bottom w:val="single" w:sz="4" w:space="0" w:color="auto"/>
              <w:right w:val="single" w:sz="8" w:space="0" w:color="auto"/>
            </w:tcBorders>
            <w:shd w:val="clear" w:color="auto" w:fill="auto"/>
            <w:noWrap/>
            <w:vAlign w:val="center"/>
            <w:hideMark/>
          </w:tcPr>
          <w:p w14:paraId="6ACC74C3" w14:textId="182D3BB4"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29.63</w:t>
            </w:r>
          </w:p>
        </w:tc>
      </w:tr>
      <w:tr w:rsidR="00A24166" w14:paraId="6E83E078" w14:textId="513CFF1F" w:rsidTr="00A86A29">
        <w:trPr>
          <w:trHeight w:val="299"/>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EE890"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256</w:t>
            </w:r>
          </w:p>
        </w:tc>
        <w:tc>
          <w:tcPr>
            <w:tcW w:w="1386" w:type="dxa"/>
            <w:tcBorders>
              <w:top w:val="nil"/>
              <w:left w:val="nil"/>
              <w:bottom w:val="single" w:sz="4" w:space="0" w:color="auto"/>
              <w:right w:val="single" w:sz="4" w:space="0" w:color="auto"/>
            </w:tcBorders>
            <w:shd w:val="clear" w:color="auto" w:fill="auto"/>
            <w:noWrap/>
            <w:vAlign w:val="center"/>
            <w:hideMark/>
          </w:tcPr>
          <w:p w14:paraId="094CA3B9"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200</w:t>
            </w:r>
          </w:p>
        </w:tc>
        <w:tc>
          <w:tcPr>
            <w:tcW w:w="838" w:type="dxa"/>
            <w:tcBorders>
              <w:top w:val="nil"/>
              <w:left w:val="nil"/>
              <w:bottom w:val="single" w:sz="4" w:space="0" w:color="auto"/>
              <w:right w:val="single" w:sz="4" w:space="0" w:color="auto"/>
            </w:tcBorders>
            <w:shd w:val="clear" w:color="auto" w:fill="auto"/>
            <w:noWrap/>
            <w:vAlign w:val="center"/>
            <w:hideMark/>
          </w:tcPr>
          <w:p w14:paraId="5C31A7A7"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15</w:t>
            </w:r>
          </w:p>
        </w:tc>
        <w:tc>
          <w:tcPr>
            <w:tcW w:w="840" w:type="dxa"/>
            <w:tcBorders>
              <w:top w:val="nil"/>
              <w:left w:val="nil"/>
              <w:bottom w:val="single" w:sz="4" w:space="0" w:color="auto"/>
              <w:right w:val="nil"/>
            </w:tcBorders>
            <w:shd w:val="clear" w:color="auto" w:fill="auto"/>
            <w:noWrap/>
            <w:vAlign w:val="center"/>
            <w:hideMark/>
          </w:tcPr>
          <w:p w14:paraId="77F99B64" w14:textId="77777777"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3</w:t>
            </w:r>
          </w:p>
        </w:tc>
        <w:tc>
          <w:tcPr>
            <w:tcW w:w="1107" w:type="dxa"/>
            <w:tcBorders>
              <w:top w:val="nil"/>
              <w:left w:val="single" w:sz="8" w:space="0" w:color="auto"/>
              <w:bottom w:val="single" w:sz="4" w:space="0" w:color="auto"/>
              <w:right w:val="single" w:sz="4" w:space="0" w:color="auto"/>
            </w:tcBorders>
            <w:shd w:val="clear" w:color="auto" w:fill="auto"/>
            <w:noWrap/>
            <w:vAlign w:val="center"/>
            <w:hideMark/>
          </w:tcPr>
          <w:p w14:paraId="3DCB307B" w14:textId="29A5FA72"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20.77</w:t>
            </w:r>
          </w:p>
        </w:tc>
        <w:tc>
          <w:tcPr>
            <w:tcW w:w="846" w:type="dxa"/>
            <w:tcBorders>
              <w:top w:val="nil"/>
              <w:left w:val="nil"/>
              <w:bottom w:val="single" w:sz="4" w:space="0" w:color="auto"/>
              <w:right w:val="nil"/>
            </w:tcBorders>
            <w:shd w:val="clear" w:color="auto" w:fill="auto"/>
            <w:noWrap/>
            <w:vAlign w:val="center"/>
            <w:hideMark/>
          </w:tcPr>
          <w:p w14:paraId="370FC0EA" w14:textId="29AFA826"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50.21</w:t>
            </w:r>
          </w:p>
        </w:tc>
        <w:tc>
          <w:tcPr>
            <w:tcW w:w="846" w:type="dxa"/>
            <w:tcBorders>
              <w:top w:val="nil"/>
              <w:left w:val="single" w:sz="8" w:space="0" w:color="auto"/>
              <w:bottom w:val="single" w:sz="4" w:space="0" w:color="auto"/>
              <w:right w:val="single" w:sz="4" w:space="0" w:color="auto"/>
            </w:tcBorders>
            <w:shd w:val="clear" w:color="auto" w:fill="auto"/>
            <w:noWrap/>
            <w:vAlign w:val="center"/>
            <w:hideMark/>
          </w:tcPr>
          <w:p w14:paraId="7268AFDD" w14:textId="4FAE02F6"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11.01</w:t>
            </w:r>
          </w:p>
        </w:tc>
        <w:tc>
          <w:tcPr>
            <w:tcW w:w="846" w:type="dxa"/>
            <w:tcBorders>
              <w:top w:val="nil"/>
              <w:left w:val="nil"/>
              <w:bottom w:val="single" w:sz="4" w:space="0" w:color="auto"/>
              <w:right w:val="single" w:sz="8" w:space="0" w:color="auto"/>
            </w:tcBorders>
            <w:shd w:val="clear" w:color="auto" w:fill="auto"/>
            <w:noWrap/>
            <w:vAlign w:val="center"/>
            <w:hideMark/>
          </w:tcPr>
          <w:p w14:paraId="352FAFD7" w14:textId="62B857C4"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26.98</w:t>
            </w:r>
          </w:p>
        </w:tc>
        <w:tc>
          <w:tcPr>
            <w:tcW w:w="846" w:type="dxa"/>
            <w:tcBorders>
              <w:top w:val="nil"/>
              <w:left w:val="nil"/>
              <w:bottom w:val="single" w:sz="4" w:space="0" w:color="auto"/>
              <w:right w:val="single" w:sz="4" w:space="0" w:color="auto"/>
            </w:tcBorders>
            <w:shd w:val="clear" w:color="auto" w:fill="auto"/>
            <w:noWrap/>
            <w:vAlign w:val="center"/>
            <w:hideMark/>
          </w:tcPr>
          <w:p w14:paraId="01799D02" w14:textId="407CCD78"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8.59</w:t>
            </w:r>
          </w:p>
        </w:tc>
        <w:tc>
          <w:tcPr>
            <w:tcW w:w="846" w:type="dxa"/>
            <w:tcBorders>
              <w:top w:val="nil"/>
              <w:left w:val="nil"/>
              <w:bottom w:val="single" w:sz="4" w:space="0" w:color="auto"/>
              <w:right w:val="single" w:sz="8" w:space="0" w:color="auto"/>
            </w:tcBorders>
            <w:shd w:val="clear" w:color="auto" w:fill="auto"/>
            <w:noWrap/>
            <w:vAlign w:val="center"/>
            <w:hideMark/>
          </w:tcPr>
          <w:p w14:paraId="3188F74C" w14:textId="3FDD7A2A" w:rsidR="00A24166" w:rsidRDefault="00A24166" w:rsidP="00A24166">
            <w:pPr>
              <w:jc w:val="right"/>
              <w:rPr>
                <w:rFonts w:ascii="Calibri" w:hAnsi="Calibri" w:cs="Calibri"/>
                <w:color w:val="000000"/>
                <w:sz w:val="22"/>
                <w:szCs w:val="22"/>
              </w:rPr>
            </w:pPr>
            <w:r>
              <w:rPr>
                <w:rFonts w:ascii="Calibri" w:hAnsi="Calibri" w:cs="Calibri"/>
                <w:color w:val="000000"/>
                <w:sz w:val="22"/>
                <w:szCs w:val="22"/>
              </w:rPr>
              <w:t>22.24</w:t>
            </w:r>
          </w:p>
        </w:tc>
      </w:tr>
    </w:tbl>
    <w:p w14:paraId="1432AE7B" w14:textId="77777777" w:rsidR="00296732" w:rsidRPr="00DE444D" w:rsidRDefault="00296732" w:rsidP="00DE444D">
      <w:pPr>
        <w:ind w:right="-22"/>
        <w:rPr>
          <w:lang w:val="en-US"/>
        </w:rPr>
      </w:pPr>
    </w:p>
    <w:p w14:paraId="1836D8BE" w14:textId="2AA0FA81" w:rsidR="00DE444D" w:rsidRPr="00DE444D" w:rsidRDefault="00DE444D" w:rsidP="00DE444D">
      <w:pPr>
        <w:ind w:right="-22"/>
        <w:rPr>
          <w:lang w:val="en-US"/>
        </w:rPr>
      </w:pPr>
      <w:r w:rsidRPr="00DE444D">
        <w:rPr>
          <w:lang w:val="en-US"/>
        </w:rPr>
        <w:t>TO requirements</w:t>
      </w:r>
    </w:p>
    <w:p w14:paraId="0B25BF1A" w14:textId="77777777" w:rsidR="00DE444D" w:rsidRDefault="00DE444D" w:rsidP="00DE444D">
      <w:pPr>
        <w:ind w:right="-22"/>
        <w:rPr>
          <w:lang w:val="en-US"/>
        </w:rPr>
      </w:pPr>
    </w:p>
    <w:p w14:paraId="2B31ACA8" w14:textId="493933AD" w:rsidR="00FC22DB" w:rsidRDefault="00FC22DB" w:rsidP="00DE444D">
      <w:pPr>
        <w:ind w:right="-22"/>
        <w:rPr>
          <w:lang w:val="en-US"/>
        </w:rPr>
      </w:pPr>
      <w:r w:rsidRPr="00FC22DB">
        <w:rPr>
          <w:lang w:val="en-US"/>
        </w:rPr>
        <w:t xml:space="preserve">Time offset </w:t>
      </w:r>
      <w:r w:rsidR="00BC0240">
        <w:rPr>
          <w:lang w:val="en-US"/>
        </w:rPr>
        <w:t xml:space="preserve">estimation </w:t>
      </w:r>
      <w:r w:rsidRPr="00FC22DB">
        <w:rPr>
          <w:lang w:val="en-US"/>
        </w:rPr>
        <w:t xml:space="preserve">error </w:t>
      </w:r>
      <w:r w:rsidR="00003C00">
        <w:rPr>
          <w:lang w:val="en-US"/>
        </w:rPr>
        <w:t>values</w:t>
      </w:r>
      <w:r w:rsidRPr="00FC22DB">
        <w:rPr>
          <w:lang w:val="en-US"/>
        </w:rPr>
        <w:t xml:space="preserve"> as a percentage of the cyclic prefix (% of CP) are show</w:t>
      </w:r>
      <w:r w:rsidR="00003C00">
        <w:rPr>
          <w:lang w:val="en-US"/>
        </w:rPr>
        <w:t>n</w:t>
      </w:r>
      <w:r w:rsidRPr="00FC22DB">
        <w:rPr>
          <w:lang w:val="en-US"/>
        </w:rPr>
        <w:t xml:space="preserve"> in</w:t>
      </w:r>
      <w:r w:rsidRPr="00FC22DB">
        <w:rPr>
          <w:lang w:val="en-US"/>
        </w:rPr>
        <w:t xml:space="preserve"> </w:t>
      </w:r>
      <w:r w:rsidR="005934CE">
        <w:rPr>
          <w:lang w:val="en-US"/>
        </w:rPr>
        <w:fldChar w:fldCharType="begin"/>
      </w:r>
      <w:r w:rsidR="005934CE">
        <w:rPr>
          <w:lang w:val="en-US"/>
        </w:rPr>
        <w:instrText xml:space="preserve"> REF _Ref189857370 \h </w:instrText>
      </w:r>
      <w:r w:rsidR="005934CE">
        <w:rPr>
          <w:lang w:val="en-US"/>
        </w:rPr>
      </w:r>
      <w:r w:rsidR="005934CE">
        <w:rPr>
          <w:lang w:val="en-US"/>
        </w:rPr>
        <w:fldChar w:fldCharType="separate"/>
      </w:r>
      <w:r w:rsidR="005934CE">
        <w:t xml:space="preserve">Table </w:t>
      </w:r>
      <w:r w:rsidR="007D582D">
        <w:rPr>
          <w:noProof/>
        </w:rPr>
        <w:t>2</w:t>
      </w:r>
      <w:r w:rsidR="005934CE">
        <w:rPr>
          <w:lang w:val="en-US"/>
        </w:rPr>
        <w:fldChar w:fldCharType="end"/>
      </w:r>
      <w:r w:rsidRPr="00FC22DB">
        <w:rPr>
          <w:lang w:val="en-US"/>
        </w:rPr>
        <w:t>.</w:t>
      </w:r>
    </w:p>
    <w:p w14:paraId="2741C2E2" w14:textId="77777777" w:rsidR="005B2301" w:rsidRDefault="005B2301" w:rsidP="005B2301">
      <w:pPr>
        <w:pStyle w:val="ListParagraph"/>
        <w:numPr>
          <w:ilvl w:val="0"/>
          <w:numId w:val="43"/>
        </w:numPr>
        <w:rPr>
          <w:lang w:val="en-US"/>
        </w:rPr>
      </w:pPr>
      <w:r>
        <w:rPr>
          <w:lang w:val="en-US"/>
        </w:rPr>
        <w:t>Scenario 1: TRP1 and TRP2 transmitting only TRS</w:t>
      </w:r>
    </w:p>
    <w:p w14:paraId="20DE15C5" w14:textId="77777777" w:rsidR="005B2301" w:rsidRDefault="005B2301" w:rsidP="005B2301">
      <w:pPr>
        <w:pStyle w:val="ListParagraph"/>
        <w:numPr>
          <w:ilvl w:val="0"/>
          <w:numId w:val="43"/>
        </w:numPr>
        <w:rPr>
          <w:lang w:val="en-US"/>
        </w:rPr>
      </w:pPr>
      <w:r>
        <w:rPr>
          <w:lang w:val="en-US"/>
        </w:rPr>
        <w:t>Scenario 2: Data on all the OFDM symbols, except for the subcarriers carrying TRS symbols.</w:t>
      </w:r>
    </w:p>
    <w:p w14:paraId="02F5ECDA" w14:textId="77777777" w:rsidR="005B2301" w:rsidRDefault="005B2301" w:rsidP="005B2301">
      <w:pPr>
        <w:pStyle w:val="ListParagraph"/>
        <w:numPr>
          <w:ilvl w:val="0"/>
          <w:numId w:val="43"/>
        </w:numPr>
        <w:rPr>
          <w:lang w:val="en-US"/>
        </w:rPr>
      </w:pPr>
      <w:r>
        <w:rPr>
          <w:lang w:val="en-US"/>
        </w:rPr>
        <w:t>Scenario 3: Data on all the OFDM symbols; except for the TRS symbols.</w:t>
      </w:r>
    </w:p>
    <w:p w14:paraId="31CB284B" w14:textId="3089C889" w:rsidR="00BC0240" w:rsidRDefault="00364A48" w:rsidP="00BC0240">
      <w:pPr>
        <w:ind w:right="-22"/>
        <w:rPr>
          <w:lang w:val="en-US"/>
        </w:rPr>
      </w:pPr>
      <w:r>
        <w:rPr>
          <w:lang w:val="en-US"/>
        </w:rPr>
        <w:t>Scenario 1: TRP1 and TRP2 transmitting only TRS</w:t>
      </w:r>
    </w:p>
    <w:p w14:paraId="3FB2D3C8" w14:textId="49749B9A" w:rsidR="00BC0240" w:rsidRPr="000C7568" w:rsidRDefault="00BC0240" w:rsidP="00BC0240">
      <w:pPr>
        <w:pStyle w:val="Caption"/>
        <w:rPr>
          <w:lang w:val="en-US"/>
        </w:rPr>
      </w:pPr>
      <w:bookmarkStart w:id="46" w:name="_Ref189857370"/>
      <w:r>
        <w:t xml:space="preserve">Table </w:t>
      </w:r>
      <w:r>
        <w:fldChar w:fldCharType="begin"/>
      </w:r>
      <w:r>
        <w:instrText xml:space="preserve"> SEQ Table \* ARABIC </w:instrText>
      </w:r>
      <w:r>
        <w:fldChar w:fldCharType="separate"/>
      </w:r>
      <w:r w:rsidR="007D582D">
        <w:rPr>
          <w:noProof/>
        </w:rPr>
        <w:t>2</w:t>
      </w:r>
      <w:r>
        <w:fldChar w:fldCharType="end"/>
      </w:r>
      <w:bookmarkEnd w:id="46"/>
      <w:r>
        <w:t>: Time</w:t>
      </w:r>
      <w:r w:rsidRPr="00F44797">
        <w:t xml:space="preserve"> offset estimation error </w:t>
      </w:r>
      <w:r>
        <w:t>(</w:t>
      </w:r>
      <w:r w:rsidR="005934CE">
        <w:t>% of CP</w:t>
      </w:r>
      <w:r>
        <w:t>).</w:t>
      </w:r>
    </w:p>
    <w:tbl>
      <w:tblPr>
        <w:tblW w:w="9424" w:type="dxa"/>
        <w:tblInd w:w="-20" w:type="dxa"/>
        <w:tblLayout w:type="fixed"/>
        <w:tblLook w:val="04A0" w:firstRow="1" w:lastRow="0" w:firstColumn="1" w:lastColumn="0" w:noHBand="0" w:noVBand="1"/>
      </w:tblPr>
      <w:tblGrid>
        <w:gridCol w:w="1107"/>
        <w:gridCol w:w="781"/>
        <w:gridCol w:w="735"/>
        <w:gridCol w:w="735"/>
        <w:gridCol w:w="1011"/>
        <w:gridCol w:w="1011"/>
        <w:gridCol w:w="1011"/>
        <w:gridCol w:w="1011"/>
        <w:gridCol w:w="1011"/>
        <w:gridCol w:w="1011"/>
        <w:tblGridChange w:id="47">
          <w:tblGrid>
            <w:gridCol w:w="1107"/>
            <w:gridCol w:w="781"/>
            <w:gridCol w:w="735"/>
            <w:gridCol w:w="735"/>
            <w:gridCol w:w="1011"/>
            <w:gridCol w:w="1011"/>
            <w:gridCol w:w="1011"/>
            <w:gridCol w:w="1011"/>
            <w:gridCol w:w="1011"/>
            <w:gridCol w:w="1011"/>
          </w:tblGrid>
        </w:tblGridChange>
      </w:tblGrid>
      <w:tr w:rsidR="00A85E8F" w14:paraId="72322096" w14:textId="77777777" w:rsidTr="00411A31">
        <w:trPr>
          <w:trHeight w:val="304"/>
        </w:trPr>
        <w:tc>
          <w:tcPr>
            <w:tcW w:w="110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1F77AD47" w14:textId="77777777" w:rsidR="00FC22DB" w:rsidRDefault="00FC22DB">
            <w:pPr>
              <w:jc w:val="center"/>
              <w:rPr>
                <w:rFonts w:ascii="Calibri" w:hAnsi="Calibri" w:cs="Calibri"/>
                <w:b/>
                <w:bCs/>
                <w:color w:val="000000"/>
                <w:sz w:val="22"/>
                <w:szCs w:val="22"/>
              </w:rPr>
            </w:pPr>
            <w:r>
              <w:rPr>
                <w:rFonts w:ascii="Calibri" w:hAnsi="Calibri" w:cs="Calibri"/>
                <w:b/>
                <w:bCs/>
                <w:color w:val="000000"/>
                <w:sz w:val="22"/>
                <w:szCs w:val="22"/>
              </w:rPr>
              <w:t>Quantization Levels</w:t>
            </w:r>
          </w:p>
        </w:tc>
        <w:tc>
          <w:tcPr>
            <w:tcW w:w="78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D3F3284" w14:textId="77777777" w:rsidR="00FC22DB" w:rsidRDefault="00FC22DB">
            <w:pPr>
              <w:jc w:val="center"/>
              <w:rPr>
                <w:rFonts w:ascii="Calibri" w:hAnsi="Calibri" w:cs="Calibri"/>
                <w:b/>
                <w:bCs/>
                <w:color w:val="000000"/>
                <w:sz w:val="22"/>
                <w:szCs w:val="22"/>
              </w:rPr>
            </w:pPr>
            <w:r>
              <w:rPr>
                <w:rFonts w:ascii="Calibri" w:hAnsi="Calibri" w:cs="Calibri"/>
                <w:b/>
                <w:bCs/>
                <w:color w:val="000000"/>
                <w:sz w:val="22"/>
                <w:szCs w:val="22"/>
              </w:rPr>
              <w:t>TO (% CP)</w:t>
            </w:r>
          </w:p>
        </w:tc>
        <w:tc>
          <w:tcPr>
            <w:tcW w:w="73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C81D4DD" w14:textId="77777777" w:rsidR="00FC22DB" w:rsidRDefault="00FC22DB">
            <w:pPr>
              <w:jc w:val="center"/>
              <w:rPr>
                <w:rFonts w:ascii="Calibri" w:hAnsi="Calibri" w:cs="Calibri"/>
                <w:b/>
                <w:bCs/>
                <w:color w:val="000000"/>
                <w:sz w:val="22"/>
                <w:szCs w:val="22"/>
              </w:rPr>
            </w:pPr>
            <w:r>
              <w:rPr>
                <w:rFonts w:ascii="Calibri" w:hAnsi="Calibri" w:cs="Calibri"/>
                <w:b/>
                <w:bCs/>
                <w:color w:val="000000"/>
                <w:sz w:val="22"/>
                <w:szCs w:val="22"/>
              </w:rPr>
              <w:t>SCS</w:t>
            </w:r>
          </w:p>
        </w:tc>
        <w:tc>
          <w:tcPr>
            <w:tcW w:w="735"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6BCFCCC4" w14:textId="77777777" w:rsidR="00FC22DB" w:rsidRDefault="00FC22DB">
            <w:pPr>
              <w:jc w:val="center"/>
              <w:rPr>
                <w:rFonts w:ascii="Calibri" w:hAnsi="Calibri" w:cs="Calibri"/>
                <w:b/>
                <w:bCs/>
                <w:color w:val="000000"/>
                <w:sz w:val="22"/>
                <w:szCs w:val="22"/>
              </w:rPr>
            </w:pPr>
            <w:r>
              <w:rPr>
                <w:rFonts w:ascii="Calibri" w:hAnsi="Calibri" w:cs="Calibri"/>
                <w:b/>
                <w:bCs/>
                <w:color w:val="000000"/>
                <w:sz w:val="22"/>
                <w:szCs w:val="22"/>
              </w:rPr>
              <w:t>SNR</w:t>
            </w:r>
          </w:p>
        </w:tc>
        <w:tc>
          <w:tcPr>
            <w:tcW w:w="2022" w:type="dxa"/>
            <w:gridSpan w:val="2"/>
            <w:tcBorders>
              <w:top w:val="single" w:sz="8" w:space="0" w:color="auto"/>
              <w:left w:val="nil"/>
              <w:bottom w:val="single" w:sz="4" w:space="0" w:color="auto"/>
              <w:right w:val="single" w:sz="8" w:space="0" w:color="000000"/>
            </w:tcBorders>
            <w:shd w:val="clear" w:color="auto" w:fill="auto"/>
            <w:vAlign w:val="center"/>
            <w:hideMark/>
          </w:tcPr>
          <w:p w14:paraId="1DEF7B09" w14:textId="77777777" w:rsidR="00FC22DB" w:rsidRDefault="00FC22DB">
            <w:pPr>
              <w:jc w:val="center"/>
              <w:rPr>
                <w:rFonts w:ascii="Calibri" w:hAnsi="Calibri" w:cs="Calibri"/>
                <w:b/>
                <w:bCs/>
                <w:color w:val="000000"/>
                <w:sz w:val="22"/>
                <w:szCs w:val="22"/>
              </w:rPr>
            </w:pPr>
            <w:r>
              <w:rPr>
                <w:rFonts w:ascii="Calibri" w:hAnsi="Calibri" w:cs="Calibri"/>
                <w:b/>
                <w:bCs/>
                <w:color w:val="000000"/>
                <w:sz w:val="22"/>
                <w:szCs w:val="22"/>
              </w:rPr>
              <w:t>Scenario 1</w:t>
            </w:r>
          </w:p>
        </w:tc>
        <w:tc>
          <w:tcPr>
            <w:tcW w:w="2022" w:type="dxa"/>
            <w:gridSpan w:val="2"/>
            <w:tcBorders>
              <w:top w:val="single" w:sz="8" w:space="0" w:color="auto"/>
              <w:left w:val="nil"/>
              <w:bottom w:val="single" w:sz="4" w:space="0" w:color="auto"/>
              <w:right w:val="single" w:sz="8" w:space="0" w:color="000000"/>
            </w:tcBorders>
            <w:shd w:val="clear" w:color="auto" w:fill="auto"/>
            <w:vAlign w:val="center"/>
            <w:hideMark/>
          </w:tcPr>
          <w:p w14:paraId="074FB741" w14:textId="77777777" w:rsidR="00FC22DB" w:rsidRDefault="00FC22DB">
            <w:pPr>
              <w:jc w:val="center"/>
              <w:rPr>
                <w:rFonts w:ascii="Calibri" w:hAnsi="Calibri" w:cs="Calibri"/>
                <w:b/>
                <w:bCs/>
                <w:color w:val="000000"/>
                <w:sz w:val="22"/>
                <w:szCs w:val="22"/>
              </w:rPr>
            </w:pPr>
            <w:r>
              <w:rPr>
                <w:rFonts w:ascii="Calibri" w:hAnsi="Calibri" w:cs="Calibri"/>
                <w:b/>
                <w:bCs/>
                <w:color w:val="000000"/>
                <w:sz w:val="22"/>
                <w:szCs w:val="22"/>
              </w:rPr>
              <w:t>Scenario 2</w:t>
            </w:r>
          </w:p>
        </w:tc>
        <w:tc>
          <w:tcPr>
            <w:tcW w:w="2022" w:type="dxa"/>
            <w:gridSpan w:val="2"/>
            <w:tcBorders>
              <w:top w:val="single" w:sz="8" w:space="0" w:color="auto"/>
              <w:left w:val="nil"/>
              <w:bottom w:val="single" w:sz="4" w:space="0" w:color="auto"/>
              <w:right w:val="single" w:sz="8" w:space="0" w:color="000000"/>
            </w:tcBorders>
            <w:shd w:val="clear" w:color="auto" w:fill="auto"/>
            <w:vAlign w:val="center"/>
            <w:hideMark/>
          </w:tcPr>
          <w:p w14:paraId="1835E7D2" w14:textId="77777777" w:rsidR="00FC22DB" w:rsidRDefault="00FC22DB">
            <w:pPr>
              <w:jc w:val="center"/>
              <w:rPr>
                <w:rFonts w:ascii="Calibri" w:hAnsi="Calibri" w:cs="Calibri"/>
                <w:b/>
                <w:bCs/>
                <w:color w:val="000000"/>
                <w:sz w:val="22"/>
                <w:szCs w:val="22"/>
              </w:rPr>
            </w:pPr>
            <w:r>
              <w:rPr>
                <w:rFonts w:ascii="Calibri" w:hAnsi="Calibri" w:cs="Calibri"/>
                <w:b/>
                <w:bCs/>
                <w:color w:val="000000"/>
                <w:sz w:val="22"/>
                <w:szCs w:val="22"/>
              </w:rPr>
              <w:t>Scenario 3</w:t>
            </w:r>
          </w:p>
        </w:tc>
      </w:tr>
      <w:tr w:rsidR="006F1EB4" w14:paraId="09D4495F" w14:textId="77777777" w:rsidTr="00A86A29">
        <w:trPr>
          <w:trHeight w:val="319"/>
        </w:trPr>
        <w:tc>
          <w:tcPr>
            <w:tcW w:w="1107" w:type="dxa"/>
            <w:vMerge/>
            <w:tcBorders>
              <w:top w:val="single" w:sz="8" w:space="0" w:color="auto"/>
              <w:left w:val="single" w:sz="4" w:space="0" w:color="auto"/>
              <w:bottom w:val="single" w:sz="4" w:space="0" w:color="auto"/>
              <w:right w:val="single" w:sz="4" w:space="0" w:color="auto"/>
            </w:tcBorders>
            <w:vAlign w:val="center"/>
            <w:hideMark/>
          </w:tcPr>
          <w:p w14:paraId="5EA3F47D" w14:textId="77777777" w:rsidR="00FC22DB" w:rsidRDefault="00FC22DB">
            <w:pPr>
              <w:rPr>
                <w:rFonts w:ascii="Calibri" w:hAnsi="Calibri" w:cs="Calibri"/>
                <w:b/>
                <w:bCs/>
                <w:color w:val="000000"/>
                <w:sz w:val="22"/>
                <w:szCs w:val="22"/>
              </w:rPr>
            </w:pPr>
          </w:p>
        </w:tc>
        <w:tc>
          <w:tcPr>
            <w:tcW w:w="781" w:type="dxa"/>
            <w:vMerge/>
            <w:tcBorders>
              <w:top w:val="single" w:sz="8" w:space="0" w:color="auto"/>
              <w:left w:val="single" w:sz="4" w:space="0" w:color="auto"/>
              <w:bottom w:val="single" w:sz="8" w:space="0" w:color="000000"/>
              <w:right w:val="single" w:sz="4" w:space="0" w:color="auto"/>
            </w:tcBorders>
            <w:vAlign w:val="center"/>
            <w:hideMark/>
          </w:tcPr>
          <w:p w14:paraId="52E75A71" w14:textId="77777777" w:rsidR="00FC22DB" w:rsidRDefault="00FC22DB">
            <w:pPr>
              <w:rPr>
                <w:rFonts w:ascii="Calibri" w:hAnsi="Calibri" w:cs="Calibri"/>
                <w:b/>
                <w:bCs/>
                <w:color w:val="000000"/>
                <w:sz w:val="22"/>
                <w:szCs w:val="22"/>
              </w:rPr>
            </w:pPr>
          </w:p>
        </w:tc>
        <w:tc>
          <w:tcPr>
            <w:tcW w:w="735" w:type="dxa"/>
            <w:vMerge/>
            <w:tcBorders>
              <w:top w:val="single" w:sz="8" w:space="0" w:color="auto"/>
              <w:left w:val="single" w:sz="4" w:space="0" w:color="auto"/>
              <w:bottom w:val="single" w:sz="8" w:space="0" w:color="000000"/>
              <w:right w:val="single" w:sz="4" w:space="0" w:color="auto"/>
            </w:tcBorders>
            <w:vAlign w:val="center"/>
            <w:hideMark/>
          </w:tcPr>
          <w:p w14:paraId="108584A2" w14:textId="77777777" w:rsidR="00FC22DB" w:rsidRDefault="00FC22DB">
            <w:pPr>
              <w:rPr>
                <w:rFonts w:ascii="Calibri" w:hAnsi="Calibri" w:cs="Calibri"/>
                <w:b/>
                <w:bCs/>
                <w:color w:val="000000"/>
                <w:sz w:val="22"/>
                <w:szCs w:val="22"/>
              </w:rPr>
            </w:pPr>
          </w:p>
        </w:tc>
        <w:tc>
          <w:tcPr>
            <w:tcW w:w="735" w:type="dxa"/>
            <w:vMerge/>
            <w:tcBorders>
              <w:top w:val="single" w:sz="8" w:space="0" w:color="auto"/>
              <w:left w:val="single" w:sz="4" w:space="0" w:color="auto"/>
              <w:bottom w:val="single" w:sz="8" w:space="0" w:color="000000"/>
              <w:right w:val="single" w:sz="8" w:space="0" w:color="auto"/>
            </w:tcBorders>
            <w:vAlign w:val="center"/>
            <w:hideMark/>
          </w:tcPr>
          <w:p w14:paraId="6D3DFDAF" w14:textId="77777777" w:rsidR="00FC22DB" w:rsidRDefault="00FC22DB">
            <w:pPr>
              <w:rPr>
                <w:rFonts w:ascii="Calibri" w:hAnsi="Calibri" w:cs="Calibri"/>
                <w:b/>
                <w:bCs/>
                <w:color w:val="000000"/>
                <w:sz w:val="22"/>
                <w:szCs w:val="22"/>
              </w:rPr>
            </w:pPr>
          </w:p>
        </w:tc>
        <w:tc>
          <w:tcPr>
            <w:tcW w:w="1011" w:type="dxa"/>
            <w:tcBorders>
              <w:top w:val="nil"/>
              <w:left w:val="nil"/>
              <w:bottom w:val="single" w:sz="8" w:space="0" w:color="auto"/>
              <w:right w:val="single" w:sz="4" w:space="0" w:color="auto"/>
            </w:tcBorders>
            <w:shd w:val="clear" w:color="auto" w:fill="auto"/>
            <w:vAlign w:val="center"/>
            <w:hideMark/>
          </w:tcPr>
          <w:p w14:paraId="7E3A23AC" w14:textId="77777777" w:rsidR="00FC22DB" w:rsidRDefault="00FC22DB">
            <w:pPr>
              <w:jc w:val="center"/>
              <w:rPr>
                <w:rFonts w:ascii="Calibri" w:hAnsi="Calibri" w:cs="Calibri"/>
                <w:b/>
                <w:bCs/>
                <w:color w:val="000000"/>
                <w:sz w:val="22"/>
                <w:szCs w:val="22"/>
              </w:rPr>
            </w:pPr>
            <w:r>
              <w:rPr>
                <w:rFonts w:ascii="Calibri" w:hAnsi="Calibri" w:cs="Calibri"/>
                <w:b/>
                <w:bCs/>
                <w:color w:val="000000"/>
                <w:sz w:val="22"/>
                <w:szCs w:val="22"/>
              </w:rPr>
              <w:t>P50</w:t>
            </w:r>
          </w:p>
        </w:tc>
        <w:tc>
          <w:tcPr>
            <w:tcW w:w="1011" w:type="dxa"/>
            <w:tcBorders>
              <w:top w:val="nil"/>
              <w:left w:val="nil"/>
              <w:bottom w:val="single" w:sz="8" w:space="0" w:color="auto"/>
              <w:right w:val="single" w:sz="8" w:space="0" w:color="auto"/>
            </w:tcBorders>
            <w:shd w:val="clear" w:color="auto" w:fill="auto"/>
            <w:vAlign w:val="center"/>
            <w:hideMark/>
          </w:tcPr>
          <w:p w14:paraId="17777C7E" w14:textId="77777777" w:rsidR="00FC22DB" w:rsidRDefault="00FC22DB">
            <w:pPr>
              <w:jc w:val="center"/>
              <w:rPr>
                <w:rFonts w:ascii="Calibri" w:hAnsi="Calibri" w:cs="Calibri"/>
                <w:b/>
                <w:bCs/>
                <w:color w:val="000000"/>
                <w:sz w:val="22"/>
                <w:szCs w:val="22"/>
              </w:rPr>
            </w:pPr>
            <w:r>
              <w:rPr>
                <w:rFonts w:ascii="Calibri" w:hAnsi="Calibri" w:cs="Calibri"/>
                <w:b/>
                <w:bCs/>
                <w:color w:val="000000"/>
                <w:sz w:val="22"/>
                <w:szCs w:val="22"/>
              </w:rPr>
              <w:t>P90</w:t>
            </w:r>
          </w:p>
        </w:tc>
        <w:tc>
          <w:tcPr>
            <w:tcW w:w="1011" w:type="dxa"/>
            <w:tcBorders>
              <w:top w:val="nil"/>
              <w:left w:val="nil"/>
              <w:bottom w:val="single" w:sz="8" w:space="0" w:color="auto"/>
              <w:right w:val="single" w:sz="4" w:space="0" w:color="auto"/>
            </w:tcBorders>
            <w:shd w:val="clear" w:color="auto" w:fill="auto"/>
            <w:vAlign w:val="center"/>
            <w:hideMark/>
          </w:tcPr>
          <w:p w14:paraId="5DEF9CC1" w14:textId="77777777" w:rsidR="00FC22DB" w:rsidRDefault="00FC22DB">
            <w:pPr>
              <w:jc w:val="center"/>
              <w:rPr>
                <w:rFonts w:ascii="Calibri" w:hAnsi="Calibri" w:cs="Calibri"/>
                <w:b/>
                <w:bCs/>
                <w:color w:val="000000"/>
                <w:sz w:val="22"/>
                <w:szCs w:val="22"/>
              </w:rPr>
            </w:pPr>
            <w:r>
              <w:rPr>
                <w:rFonts w:ascii="Calibri" w:hAnsi="Calibri" w:cs="Calibri"/>
                <w:b/>
                <w:bCs/>
                <w:color w:val="000000"/>
                <w:sz w:val="22"/>
                <w:szCs w:val="22"/>
              </w:rPr>
              <w:t>P50</w:t>
            </w:r>
          </w:p>
        </w:tc>
        <w:tc>
          <w:tcPr>
            <w:tcW w:w="1011" w:type="dxa"/>
            <w:tcBorders>
              <w:top w:val="nil"/>
              <w:left w:val="nil"/>
              <w:bottom w:val="single" w:sz="8" w:space="0" w:color="auto"/>
              <w:right w:val="single" w:sz="8" w:space="0" w:color="auto"/>
            </w:tcBorders>
            <w:shd w:val="clear" w:color="auto" w:fill="auto"/>
            <w:vAlign w:val="center"/>
            <w:hideMark/>
          </w:tcPr>
          <w:p w14:paraId="4C5D6DAE" w14:textId="77777777" w:rsidR="00FC22DB" w:rsidRDefault="00FC22DB">
            <w:pPr>
              <w:jc w:val="center"/>
              <w:rPr>
                <w:rFonts w:ascii="Calibri" w:hAnsi="Calibri" w:cs="Calibri"/>
                <w:b/>
                <w:bCs/>
                <w:color w:val="000000"/>
                <w:sz w:val="22"/>
                <w:szCs w:val="22"/>
              </w:rPr>
            </w:pPr>
            <w:r>
              <w:rPr>
                <w:rFonts w:ascii="Calibri" w:hAnsi="Calibri" w:cs="Calibri"/>
                <w:b/>
                <w:bCs/>
                <w:color w:val="000000"/>
                <w:sz w:val="22"/>
                <w:szCs w:val="22"/>
              </w:rPr>
              <w:t>P90</w:t>
            </w:r>
          </w:p>
        </w:tc>
        <w:tc>
          <w:tcPr>
            <w:tcW w:w="1011" w:type="dxa"/>
            <w:tcBorders>
              <w:top w:val="nil"/>
              <w:left w:val="nil"/>
              <w:bottom w:val="single" w:sz="8" w:space="0" w:color="auto"/>
              <w:right w:val="single" w:sz="4" w:space="0" w:color="auto"/>
            </w:tcBorders>
            <w:shd w:val="clear" w:color="auto" w:fill="auto"/>
            <w:vAlign w:val="center"/>
            <w:hideMark/>
          </w:tcPr>
          <w:p w14:paraId="374596AF" w14:textId="77777777" w:rsidR="00FC22DB" w:rsidRDefault="00FC22DB">
            <w:pPr>
              <w:jc w:val="center"/>
              <w:rPr>
                <w:rFonts w:ascii="Calibri" w:hAnsi="Calibri" w:cs="Calibri"/>
                <w:b/>
                <w:bCs/>
                <w:color w:val="000000"/>
                <w:sz w:val="22"/>
                <w:szCs w:val="22"/>
              </w:rPr>
            </w:pPr>
            <w:r>
              <w:rPr>
                <w:rFonts w:ascii="Calibri" w:hAnsi="Calibri" w:cs="Calibri"/>
                <w:b/>
                <w:bCs/>
                <w:color w:val="000000"/>
                <w:sz w:val="22"/>
                <w:szCs w:val="22"/>
              </w:rPr>
              <w:t>P50</w:t>
            </w:r>
          </w:p>
        </w:tc>
        <w:tc>
          <w:tcPr>
            <w:tcW w:w="1011" w:type="dxa"/>
            <w:tcBorders>
              <w:top w:val="nil"/>
              <w:left w:val="nil"/>
              <w:bottom w:val="single" w:sz="8" w:space="0" w:color="auto"/>
              <w:right w:val="single" w:sz="8" w:space="0" w:color="auto"/>
            </w:tcBorders>
            <w:shd w:val="clear" w:color="auto" w:fill="auto"/>
            <w:vAlign w:val="center"/>
            <w:hideMark/>
          </w:tcPr>
          <w:p w14:paraId="03B295B0" w14:textId="77777777" w:rsidR="00FC22DB" w:rsidRDefault="00FC22DB">
            <w:pPr>
              <w:jc w:val="center"/>
              <w:rPr>
                <w:rFonts w:ascii="Calibri" w:hAnsi="Calibri" w:cs="Calibri"/>
                <w:b/>
                <w:bCs/>
                <w:color w:val="000000"/>
                <w:sz w:val="22"/>
                <w:szCs w:val="22"/>
              </w:rPr>
            </w:pPr>
            <w:r>
              <w:rPr>
                <w:rFonts w:ascii="Calibri" w:hAnsi="Calibri" w:cs="Calibri"/>
                <w:b/>
                <w:bCs/>
                <w:color w:val="000000"/>
                <w:sz w:val="22"/>
                <w:szCs w:val="22"/>
              </w:rPr>
              <w:t>P90</w:t>
            </w:r>
          </w:p>
        </w:tc>
      </w:tr>
      <w:tr w:rsidR="00A85E8F" w14:paraId="5D3CA9C1" w14:textId="77777777" w:rsidTr="007A6398">
        <w:trPr>
          <w:trHeight w:val="304"/>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0BE60"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32</w:t>
            </w:r>
          </w:p>
        </w:tc>
        <w:tc>
          <w:tcPr>
            <w:tcW w:w="781" w:type="dxa"/>
            <w:tcBorders>
              <w:top w:val="nil"/>
              <w:left w:val="nil"/>
              <w:bottom w:val="single" w:sz="4" w:space="0" w:color="auto"/>
              <w:right w:val="single" w:sz="4" w:space="0" w:color="auto"/>
            </w:tcBorders>
            <w:shd w:val="clear" w:color="auto" w:fill="auto"/>
            <w:noWrap/>
            <w:vAlign w:val="center"/>
            <w:hideMark/>
          </w:tcPr>
          <w:p w14:paraId="49B46003"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50</w:t>
            </w:r>
          </w:p>
        </w:tc>
        <w:tc>
          <w:tcPr>
            <w:tcW w:w="735" w:type="dxa"/>
            <w:tcBorders>
              <w:top w:val="nil"/>
              <w:left w:val="nil"/>
              <w:bottom w:val="single" w:sz="4" w:space="0" w:color="auto"/>
              <w:right w:val="single" w:sz="4" w:space="0" w:color="auto"/>
            </w:tcBorders>
            <w:shd w:val="clear" w:color="auto" w:fill="auto"/>
            <w:noWrap/>
            <w:vAlign w:val="center"/>
            <w:hideMark/>
          </w:tcPr>
          <w:p w14:paraId="27D425BD"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15</w:t>
            </w:r>
          </w:p>
        </w:tc>
        <w:tc>
          <w:tcPr>
            <w:tcW w:w="735" w:type="dxa"/>
            <w:tcBorders>
              <w:top w:val="nil"/>
              <w:left w:val="nil"/>
              <w:bottom w:val="single" w:sz="4" w:space="0" w:color="auto"/>
              <w:right w:val="single" w:sz="8" w:space="0" w:color="auto"/>
            </w:tcBorders>
            <w:shd w:val="clear" w:color="auto" w:fill="auto"/>
            <w:noWrap/>
            <w:vAlign w:val="center"/>
            <w:hideMark/>
          </w:tcPr>
          <w:p w14:paraId="10B8848D"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w:t>
            </w:r>
          </w:p>
        </w:tc>
        <w:tc>
          <w:tcPr>
            <w:tcW w:w="1011" w:type="dxa"/>
            <w:tcBorders>
              <w:top w:val="nil"/>
              <w:left w:val="nil"/>
              <w:bottom w:val="single" w:sz="4" w:space="0" w:color="auto"/>
              <w:right w:val="single" w:sz="4" w:space="0" w:color="auto"/>
            </w:tcBorders>
            <w:shd w:val="clear" w:color="auto" w:fill="auto"/>
            <w:noWrap/>
            <w:vAlign w:val="center"/>
            <w:hideMark/>
          </w:tcPr>
          <w:p w14:paraId="11C1D43E"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0.76 %</w:t>
            </w:r>
          </w:p>
        </w:tc>
        <w:tc>
          <w:tcPr>
            <w:tcW w:w="1011" w:type="dxa"/>
            <w:tcBorders>
              <w:top w:val="nil"/>
              <w:left w:val="nil"/>
              <w:bottom w:val="single" w:sz="4" w:space="0" w:color="auto"/>
              <w:right w:val="single" w:sz="8" w:space="0" w:color="auto"/>
            </w:tcBorders>
            <w:shd w:val="clear" w:color="auto" w:fill="auto"/>
            <w:noWrap/>
            <w:vAlign w:val="center"/>
            <w:hideMark/>
          </w:tcPr>
          <w:p w14:paraId="53F7F8C8"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1.76 %</w:t>
            </w:r>
          </w:p>
        </w:tc>
        <w:tc>
          <w:tcPr>
            <w:tcW w:w="1011" w:type="dxa"/>
            <w:tcBorders>
              <w:top w:val="nil"/>
              <w:left w:val="nil"/>
              <w:bottom w:val="single" w:sz="4" w:space="0" w:color="auto"/>
              <w:right w:val="single" w:sz="4" w:space="0" w:color="auto"/>
            </w:tcBorders>
            <w:shd w:val="clear" w:color="auto" w:fill="auto"/>
            <w:noWrap/>
            <w:vAlign w:val="center"/>
            <w:hideMark/>
          </w:tcPr>
          <w:p w14:paraId="6B0FFB94"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1.35 %</w:t>
            </w:r>
          </w:p>
        </w:tc>
        <w:tc>
          <w:tcPr>
            <w:tcW w:w="1011" w:type="dxa"/>
            <w:tcBorders>
              <w:top w:val="nil"/>
              <w:left w:val="nil"/>
              <w:bottom w:val="single" w:sz="4" w:space="0" w:color="auto"/>
              <w:right w:val="single" w:sz="8" w:space="0" w:color="auto"/>
            </w:tcBorders>
            <w:shd w:val="clear" w:color="auto" w:fill="auto"/>
            <w:noWrap/>
            <w:vAlign w:val="center"/>
            <w:hideMark/>
          </w:tcPr>
          <w:p w14:paraId="5F333E52"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3.53 %</w:t>
            </w:r>
          </w:p>
        </w:tc>
        <w:tc>
          <w:tcPr>
            <w:tcW w:w="1011" w:type="dxa"/>
            <w:tcBorders>
              <w:top w:val="nil"/>
              <w:left w:val="nil"/>
              <w:bottom w:val="single" w:sz="4" w:space="0" w:color="auto"/>
              <w:right w:val="single" w:sz="4" w:space="0" w:color="auto"/>
            </w:tcBorders>
            <w:shd w:val="clear" w:color="auto" w:fill="auto"/>
            <w:noWrap/>
            <w:vAlign w:val="center"/>
            <w:hideMark/>
          </w:tcPr>
          <w:p w14:paraId="4BEABCCF"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1.33 %</w:t>
            </w:r>
          </w:p>
        </w:tc>
        <w:tc>
          <w:tcPr>
            <w:tcW w:w="1011" w:type="dxa"/>
            <w:tcBorders>
              <w:top w:val="nil"/>
              <w:left w:val="nil"/>
              <w:bottom w:val="single" w:sz="4" w:space="0" w:color="auto"/>
              <w:right w:val="single" w:sz="8" w:space="0" w:color="auto"/>
            </w:tcBorders>
            <w:shd w:val="clear" w:color="auto" w:fill="auto"/>
            <w:noWrap/>
            <w:vAlign w:val="center"/>
            <w:hideMark/>
          </w:tcPr>
          <w:p w14:paraId="075A360E"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3.61 %</w:t>
            </w:r>
          </w:p>
        </w:tc>
      </w:tr>
      <w:tr w:rsidR="00A85E8F" w14:paraId="219FA565" w14:textId="77777777" w:rsidTr="007A6398">
        <w:trPr>
          <w:trHeight w:val="304"/>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FF09A"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32</w:t>
            </w:r>
          </w:p>
        </w:tc>
        <w:tc>
          <w:tcPr>
            <w:tcW w:w="781" w:type="dxa"/>
            <w:tcBorders>
              <w:top w:val="nil"/>
              <w:left w:val="nil"/>
              <w:bottom w:val="single" w:sz="4" w:space="0" w:color="auto"/>
              <w:right w:val="single" w:sz="4" w:space="0" w:color="auto"/>
            </w:tcBorders>
            <w:shd w:val="clear" w:color="auto" w:fill="auto"/>
            <w:noWrap/>
            <w:vAlign w:val="center"/>
            <w:hideMark/>
          </w:tcPr>
          <w:p w14:paraId="0CDE231C"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50</w:t>
            </w:r>
          </w:p>
        </w:tc>
        <w:tc>
          <w:tcPr>
            <w:tcW w:w="735" w:type="dxa"/>
            <w:tcBorders>
              <w:top w:val="nil"/>
              <w:left w:val="nil"/>
              <w:bottom w:val="single" w:sz="4" w:space="0" w:color="auto"/>
              <w:right w:val="single" w:sz="4" w:space="0" w:color="auto"/>
            </w:tcBorders>
            <w:shd w:val="clear" w:color="auto" w:fill="auto"/>
            <w:noWrap/>
            <w:vAlign w:val="center"/>
            <w:hideMark/>
          </w:tcPr>
          <w:p w14:paraId="40F59082"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15</w:t>
            </w:r>
          </w:p>
        </w:tc>
        <w:tc>
          <w:tcPr>
            <w:tcW w:w="735" w:type="dxa"/>
            <w:tcBorders>
              <w:top w:val="nil"/>
              <w:left w:val="nil"/>
              <w:bottom w:val="single" w:sz="4" w:space="0" w:color="auto"/>
              <w:right w:val="single" w:sz="8" w:space="0" w:color="auto"/>
            </w:tcBorders>
            <w:shd w:val="clear" w:color="auto" w:fill="auto"/>
            <w:noWrap/>
            <w:vAlign w:val="center"/>
            <w:hideMark/>
          </w:tcPr>
          <w:p w14:paraId="27B5B2EE"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w:t>
            </w:r>
          </w:p>
        </w:tc>
        <w:tc>
          <w:tcPr>
            <w:tcW w:w="1011" w:type="dxa"/>
            <w:tcBorders>
              <w:top w:val="nil"/>
              <w:left w:val="nil"/>
              <w:bottom w:val="single" w:sz="4" w:space="0" w:color="auto"/>
              <w:right w:val="single" w:sz="4" w:space="0" w:color="auto"/>
            </w:tcBorders>
            <w:shd w:val="clear" w:color="auto" w:fill="auto"/>
            <w:noWrap/>
            <w:vAlign w:val="center"/>
            <w:hideMark/>
          </w:tcPr>
          <w:p w14:paraId="009E16ED"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0.74 %</w:t>
            </w:r>
          </w:p>
        </w:tc>
        <w:tc>
          <w:tcPr>
            <w:tcW w:w="1011" w:type="dxa"/>
            <w:tcBorders>
              <w:top w:val="nil"/>
              <w:left w:val="nil"/>
              <w:bottom w:val="single" w:sz="4" w:space="0" w:color="auto"/>
              <w:right w:val="single" w:sz="8" w:space="0" w:color="auto"/>
            </w:tcBorders>
            <w:shd w:val="clear" w:color="auto" w:fill="auto"/>
            <w:noWrap/>
            <w:vAlign w:val="center"/>
            <w:hideMark/>
          </w:tcPr>
          <w:p w14:paraId="4BE239FE"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1.56 %</w:t>
            </w:r>
          </w:p>
        </w:tc>
        <w:tc>
          <w:tcPr>
            <w:tcW w:w="1011" w:type="dxa"/>
            <w:tcBorders>
              <w:top w:val="nil"/>
              <w:left w:val="nil"/>
              <w:bottom w:val="single" w:sz="4" w:space="0" w:color="auto"/>
              <w:right w:val="single" w:sz="4" w:space="0" w:color="auto"/>
            </w:tcBorders>
            <w:shd w:val="clear" w:color="auto" w:fill="auto"/>
            <w:noWrap/>
            <w:vAlign w:val="center"/>
            <w:hideMark/>
          </w:tcPr>
          <w:p w14:paraId="40D7B272"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1.27 %</w:t>
            </w:r>
          </w:p>
        </w:tc>
        <w:tc>
          <w:tcPr>
            <w:tcW w:w="1011" w:type="dxa"/>
            <w:tcBorders>
              <w:top w:val="nil"/>
              <w:left w:val="nil"/>
              <w:bottom w:val="single" w:sz="4" w:space="0" w:color="auto"/>
              <w:right w:val="single" w:sz="8" w:space="0" w:color="auto"/>
            </w:tcBorders>
            <w:shd w:val="clear" w:color="auto" w:fill="auto"/>
            <w:noWrap/>
            <w:vAlign w:val="center"/>
            <w:hideMark/>
          </w:tcPr>
          <w:p w14:paraId="2DE5974E"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3.62 %</w:t>
            </w:r>
          </w:p>
        </w:tc>
        <w:tc>
          <w:tcPr>
            <w:tcW w:w="1011" w:type="dxa"/>
            <w:tcBorders>
              <w:top w:val="nil"/>
              <w:left w:val="nil"/>
              <w:bottom w:val="single" w:sz="4" w:space="0" w:color="auto"/>
              <w:right w:val="single" w:sz="4" w:space="0" w:color="auto"/>
            </w:tcBorders>
            <w:shd w:val="clear" w:color="auto" w:fill="auto"/>
            <w:noWrap/>
            <w:vAlign w:val="center"/>
            <w:hideMark/>
          </w:tcPr>
          <w:p w14:paraId="5BEA67A5"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1.28 %</w:t>
            </w:r>
          </w:p>
        </w:tc>
        <w:tc>
          <w:tcPr>
            <w:tcW w:w="1011" w:type="dxa"/>
            <w:tcBorders>
              <w:top w:val="nil"/>
              <w:left w:val="nil"/>
              <w:bottom w:val="single" w:sz="4" w:space="0" w:color="auto"/>
              <w:right w:val="single" w:sz="8" w:space="0" w:color="auto"/>
            </w:tcBorders>
            <w:shd w:val="clear" w:color="auto" w:fill="auto"/>
            <w:noWrap/>
            <w:vAlign w:val="center"/>
            <w:hideMark/>
          </w:tcPr>
          <w:p w14:paraId="4A971CC0"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3.32 %</w:t>
            </w:r>
          </w:p>
        </w:tc>
      </w:tr>
      <w:tr w:rsidR="00A85E8F" w14:paraId="42BB59EA" w14:textId="77777777" w:rsidTr="007A6398">
        <w:trPr>
          <w:trHeight w:val="304"/>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1C69D"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32</w:t>
            </w:r>
          </w:p>
        </w:tc>
        <w:tc>
          <w:tcPr>
            <w:tcW w:w="781" w:type="dxa"/>
            <w:tcBorders>
              <w:top w:val="nil"/>
              <w:left w:val="nil"/>
              <w:bottom w:val="single" w:sz="4" w:space="0" w:color="auto"/>
              <w:right w:val="single" w:sz="4" w:space="0" w:color="auto"/>
            </w:tcBorders>
            <w:shd w:val="clear" w:color="auto" w:fill="auto"/>
            <w:noWrap/>
            <w:vAlign w:val="center"/>
            <w:hideMark/>
          </w:tcPr>
          <w:p w14:paraId="1E6D4B94"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50</w:t>
            </w:r>
          </w:p>
        </w:tc>
        <w:tc>
          <w:tcPr>
            <w:tcW w:w="735" w:type="dxa"/>
            <w:tcBorders>
              <w:top w:val="nil"/>
              <w:left w:val="nil"/>
              <w:bottom w:val="single" w:sz="4" w:space="0" w:color="auto"/>
              <w:right w:val="single" w:sz="4" w:space="0" w:color="auto"/>
            </w:tcBorders>
            <w:shd w:val="clear" w:color="auto" w:fill="auto"/>
            <w:noWrap/>
            <w:vAlign w:val="center"/>
            <w:hideMark/>
          </w:tcPr>
          <w:p w14:paraId="61F93EBC"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15</w:t>
            </w:r>
          </w:p>
        </w:tc>
        <w:tc>
          <w:tcPr>
            <w:tcW w:w="735" w:type="dxa"/>
            <w:tcBorders>
              <w:top w:val="nil"/>
              <w:left w:val="nil"/>
              <w:bottom w:val="single" w:sz="4" w:space="0" w:color="auto"/>
              <w:right w:val="single" w:sz="8" w:space="0" w:color="auto"/>
            </w:tcBorders>
            <w:shd w:val="clear" w:color="auto" w:fill="auto"/>
            <w:noWrap/>
            <w:vAlign w:val="center"/>
            <w:hideMark/>
          </w:tcPr>
          <w:p w14:paraId="31E8A790"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w:t>
            </w:r>
          </w:p>
        </w:tc>
        <w:tc>
          <w:tcPr>
            <w:tcW w:w="1011" w:type="dxa"/>
            <w:tcBorders>
              <w:top w:val="nil"/>
              <w:left w:val="nil"/>
              <w:bottom w:val="single" w:sz="4" w:space="0" w:color="auto"/>
              <w:right w:val="single" w:sz="4" w:space="0" w:color="auto"/>
            </w:tcBorders>
            <w:shd w:val="clear" w:color="auto" w:fill="auto"/>
            <w:noWrap/>
            <w:vAlign w:val="center"/>
            <w:hideMark/>
          </w:tcPr>
          <w:p w14:paraId="4570FD0E"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0.74 %</w:t>
            </w:r>
          </w:p>
        </w:tc>
        <w:tc>
          <w:tcPr>
            <w:tcW w:w="1011" w:type="dxa"/>
            <w:tcBorders>
              <w:top w:val="nil"/>
              <w:left w:val="nil"/>
              <w:bottom w:val="single" w:sz="4" w:space="0" w:color="auto"/>
              <w:right w:val="single" w:sz="8" w:space="0" w:color="auto"/>
            </w:tcBorders>
            <w:shd w:val="clear" w:color="auto" w:fill="auto"/>
            <w:noWrap/>
            <w:vAlign w:val="center"/>
            <w:hideMark/>
          </w:tcPr>
          <w:p w14:paraId="1AA8CF57"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1.48 %</w:t>
            </w:r>
          </w:p>
        </w:tc>
        <w:tc>
          <w:tcPr>
            <w:tcW w:w="1011" w:type="dxa"/>
            <w:tcBorders>
              <w:top w:val="nil"/>
              <w:left w:val="nil"/>
              <w:bottom w:val="single" w:sz="4" w:space="0" w:color="auto"/>
              <w:right w:val="single" w:sz="4" w:space="0" w:color="auto"/>
            </w:tcBorders>
            <w:shd w:val="clear" w:color="auto" w:fill="auto"/>
            <w:noWrap/>
            <w:vAlign w:val="center"/>
            <w:hideMark/>
          </w:tcPr>
          <w:p w14:paraId="5926FA7F"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1.21 %</w:t>
            </w:r>
          </w:p>
        </w:tc>
        <w:tc>
          <w:tcPr>
            <w:tcW w:w="1011" w:type="dxa"/>
            <w:tcBorders>
              <w:top w:val="nil"/>
              <w:left w:val="nil"/>
              <w:bottom w:val="single" w:sz="4" w:space="0" w:color="auto"/>
              <w:right w:val="single" w:sz="8" w:space="0" w:color="auto"/>
            </w:tcBorders>
            <w:shd w:val="clear" w:color="auto" w:fill="auto"/>
            <w:noWrap/>
            <w:vAlign w:val="center"/>
            <w:hideMark/>
          </w:tcPr>
          <w:p w14:paraId="4764B553"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3.42 %</w:t>
            </w:r>
          </w:p>
        </w:tc>
        <w:tc>
          <w:tcPr>
            <w:tcW w:w="1011" w:type="dxa"/>
            <w:tcBorders>
              <w:top w:val="nil"/>
              <w:left w:val="nil"/>
              <w:bottom w:val="single" w:sz="4" w:space="0" w:color="auto"/>
              <w:right w:val="single" w:sz="4" w:space="0" w:color="auto"/>
            </w:tcBorders>
            <w:shd w:val="clear" w:color="auto" w:fill="auto"/>
            <w:noWrap/>
            <w:vAlign w:val="center"/>
            <w:hideMark/>
          </w:tcPr>
          <w:p w14:paraId="7D8D0D29"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1.24 %</w:t>
            </w:r>
          </w:p>
        </w:tc>
        <w:tc>
          <w:tcPr>
            <w:tcW w:w="1011" w:type="dxa"/>
            <w:tcBorders>
              <w:top w:val="nil"/>
              <w:left w:val="nil"/>
              <w:bottom w:val="single" w:sz="4" w:space="0" w:color="auto"/>
              <w:right w:val="single" w:sz="8" w:space="0" w:color="auto"/>
            </w:tcBorders>
            <w:shd w:val="clear" w:color="auto" w:fill="auto"/>
            <w:noWrap/>
            <w:vAlign w:val="center"/>
            <w:hideMark/>
          </w:tcPr>
          <w:p w14:paraId="273EE032"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3.49 %</w:t>
            </w:r>
          </w:p>
        </w:tc>
      </w:tr>
      <w:tr w:rsidR="00A85E8F" w14:paraId="4D11A1B6" w14:textId="77777777" w:rsidTr="007A6398">
        <w:trPr>
          <w:trHeight w:val="304"/>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549A8"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32</w:t>
            </w:r>
          </w:p>
        </w:tc>
        <w:tc>
          <w:tcPr>
            <w:tcW w:w="781" w:type="dxa"/>
            <w:tcBorders>
              <w:top w:val="nil"/>
              <w:left w:val="nil"/>
              <w:bottom w:val="single" w:sz="4" w:space="0" w:color="auto"/>
              <w:right w:val="single" w:sz="4" w:space="0" w:color="auto"/>
            </w:tcBorders>
            <w:shd w:val="clear" w:color="auto" w:fill="auto"/>
            <w:noWrap/>
            <w:vAlign w:val="center"/>
            <w:hideMark/>
          </w:tcPr>
          <w:p w14:paraId="5A878EA4"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50</w:t>
            </w:r>
          </w:p>
        </w:tc>
        <w:tc>
          <w:tcPr>
            <w:tcW w:w="735" w:type="dxa"/>
            <w:tcBorders>
              <w:top w:val="nil"/>
              <w:left w:val="nil"/>
              <w:bottom w:val="single" w:sz="4" w:space="0" w:color="auto"/>
              <w:right w:val="single" w:sz="4" w:space="0" w:color="auto"/>
            </w:tcBorders>
            <w:shd w:val="clear" w:color="auto" w:fill="auto"/>
            <w:noWrap/>
            <w:vAlign w:val="center"/>
            <w:hideMark/>
          </w:tcPr>
          <w:p w14:paraId="1D7816E7"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30</w:t>
            </w:r>
          </w:p>
        </w:tc>
        <w:tc>
          <w:tcPr>
            <w:tcW w:w="735" w:type="dxa"/>
            <w:tcBorders>
              <w:top w:val="nil"/>
              <w:left w:val="nil"/>
              <w:bottom w:val="single" w:sz="4" w:space="0" w:color="auto"/>
              <w:right w:val="single" w:sz="8" w:space="0" w:color="auto"/>
            </w:tcBorders>
            <w:shd w:val="clear" w:color="auto" w:fill="auto"/>
            <w:noWrap/>
            <w:vAlign w:val="center"/>
            <w:hideMark/>
          </w:tcPr>
          <w:p w14:paraId="23134FEC"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w:t>
            </w:r>
          </w:p>
        </w:tc>
        <w:tc>
          <w:tcPr>
            <w:tcW w:w="1011" w:type="dxa"/>
            <w:tcBorders>
              <w:top w:val="nil"/>
              <w:left w:val="nil"/>
              <w:bottom w:val="single" w:sz="4" w:space="0" w:color="auto"/>
              <w:right w:val="single" w:sz="4" w:space="0" w:color="auto"/>
            </w:tcBorders>
            <w:shd w:val="clear" w:color="auto" w:fill="auto"/>
            <w:noWrap/>
            <w:vAlign w:val="center"/>
            <w:hideMark/>
          </w:tcPr>
          <w:p w14:paraId="36EDC675"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0.82 %</w:t>
            </w:r>
          </w:p>
        </w:tc>
        <w:tc>
          <w:tcPr>
            <w:tcW w:w="1011" w:type="dxa"/>
            <w:tcBorders>
              <w:top w:val="nil"/>
              <w:left w:val="nil"/>
              <w:bottom w:val="single" w:sz="4" w:space="0" w:color="auto"/>
              <w:right w:val="single" w:sz="8" w:space="0" w:color="auto"/>
            </w:tcBorders>
            <w:shd w:val="clear" w:color="auto" w:fill="auto"/>
            <w:noWrap/>
            <w:vAlign w:val="center"/>
            <w:hideMark/>
          </w:tcPr>
          <w:p w14:paraId="5AE35968"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1.77 %</w:t>
            </w:r>
          </w:p>
        </w:tc>
        <w:tc>
          <w:tcPr>
            <w:tcW w:w="1011" w:type="dxa"/>
            <w:tcBorders>
              <w:top w:val="nil"/>
              <w:left w:val="nil"/>
              <w:bottom w:val="single" w:sz="4" w:space="0" w:color="auto"/>
              <w:right w:val="single" w:sz="4" w:space="0" w:color="auto"/>
            </w:tcBorders>
            <w:shd w:val="clear" w:color="auto" w:fill="auto"/>
            <w:noWrap/>
            <w:vAlign w:val="center"/>
            <w:hideMark/>
          </w:tcPr>
          <w:p w14:paraId="5EE9E1FE"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1.30 %</w:t>
            </w:r>
          </w:p>
        </w:tc>
        <w:tc>
          <w:tcPr>
            <w:tcW w:w="1011" w:type="dxa"/>
            <w:tcBorders>
              <w:top w:val="nil"/>
              <w:left w:val="nil"/>
              <w:bottom w:val="single" w:sz="4" w:space="0" w:color="auto"/>
              <w:right w:val="single" w:sz="8" w:space="0" w:color="auto"/>
            </w:tcBorders>
            <w:shd w:val="clear" w:color="auto" w:fill="auto"/>
            <w:noWrap/>
            <w:vAlign w:val="center"/>
            <w:hideMark/>
          </w:tcPr>
          <w:p w14:paraId="4D8FA6BD"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3.54 %</w:t>
            </w:r>
          </w:p>
        </w:tc>
        <w:tc>
          <w:tcPr>
            <w:tcW w:w="1011" w:type="dxa"/>
            <w:tcBorders>
              <w:top w:val="nil"/>
              <w:left w:val="nil"/>
              <w:bottom w:val="single" w:sz="4" w:space="0" w:color="auto"/>
              <w:right w:val="single" w:sz="4" w:space="0" w:color="auto"/>
            </w:tcBorders>
            <w:shd w:val="clear" w:color="auto" w:fill="auto"/>
            <w:noWrap/>
            <w:vAlign w:val="center"/>
            <w:hideMark/>
          </w:tcPr>
          <w:p w14:paraId="1AFC75DB"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1.35 %</w:t>
            </w:r>
          </w:p>
        </w:tc>
        <w:tc>
          <w:tcPr>
            <w:tcW w:w="1011" w:type="dxa"/>
            <w:tcBorders>
              <w:top w:val="nil"/>
              <w:left w:val="nil"/>
              <w:bottom w:val="single" w:sz="4" w:space="0" w:color="auto"/>
              <w:right w:val="single" w:sz="8" w:space="0" w:color="auto"/>
            </w:tcBorders>
            <w:shd w:val="clear" w:color="auto" w:fill="auto"/>
            <w:noWrap/>
            <w:vAlign w:val="center"/>
            <w:hideMark/>
          </w:tcPr>
          <w:p w14:paraId="62421A30"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3.51 %</w:t>
            </w:r>
          </w:p>
        </w:tc>
      </w:tr>
      <w:tr w:rsidR="00A85E8F" w14:paraId="7F95B8EB" w14:textId="77777777" w:rsidTr="007A6398">
        <w:trPr>
          <w:trHeight w:val="304"/>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9A852"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32</w:t>
            </w:r>
          </w:p>
        </w:tc>
        <w:tc>
          <w:tcPr>
            <w:tcW w:w="781" w:type="dxa"/>
            <w:tcBorders>
              <w:top w:val="nil"/>
              <w:left w:val="nil"/>
              <w:bottom w:val="single" w:sz="4" w:space="0" w:color="auto"/>
              <w:right w:val="single" w:sz="4" w:space="0" w:color="auto"/>
            </w:tcBorders>
            <w:shd w:val="clear" w:color="auto" w:fill="auto"/>
            <w:noWrap/>
            <w:vAlign w:val="center"/>
            <w:hideMark/>
          </w:tcPr>
          <w:p w14:paraId="7D4B294D"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50</w:t>
            </w:r>
          </w:p>
        </w:tc>
        <w:tc>
          <w:tcPr>
            <w:tcW w:w="735" w:type="dxa"/>
            <w:tcBorders>
              <w:top w:val="nil"/>
              <w:left w:val="nil"/>
              <w:bottom w:val="single" w:sz="4" w:space="0" w:color="auto"/>
              <w:right w:val="single" w:sz="4" w:space="0" w:color="auto"/>
            </w:tcBorders>
            <w:shd w:val="clear" w:color="auto" w:fill="auto"/>
            <w:noWrap/>
            <w:vAlign w:val="center"/>
            <w:hideMark/>
          </w:tcPr>
          <w:p w14:paraId="477C752B"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30</w:t>
            </w:r>
          </w:p>
        </w:tc>
        <w:tc>
          <w:tcPr>
            <w:tcW w:w="735" w:type="dxa"/>
            <w:tcBorders>
              <w:top w:val="nil"/>
              <w:left w:val="nil"/>
              <w:bottom w:val="single" w:sz="4" w:space="0" w:color="auto"/>
              <w:right w:val="single" w:sz="8" w:space="0" w:color="auto"/>
            </w:tcBorders>
            <w:shd w:val="clear" w:color="auto" w:fill="auto"/>
            <w:noWrap/>
            <w:vAlign w:val="center"/>
            <w:hideMark/>
          </w:tcPr>
          <w:p w14:paraId="0CA7D8C0"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w:t>
            </w:r>
          </w:p>
        </w:tc>
        <w:tc>
          <w:tcPr>
            <w:tcW w:w="1011" w:type="dxa"/>
            <w:tcBorders>
              <w:top w:val="nil"/>
              <w:left w:val="nil"/>
              <w:bottom w:val="single" w:sz="4" w:space="0" w:color="auto"/>
              <w:right w:val="single" w:sz="4" w:space="0" w:color="auto"/>
            </w:tcBorders>
            <w:shd w:val="clear" w:color="auto" w:fill="auto"/>
            <w:noWrap/>
            <w:vAlign w:val="center"/>
            <w:hideMark/>
          </w:tcPr>
          <w:p w14:paraId="1E330755"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0.75 %</w:t>
            </w:r>
          </w:p>
        </w:tc>
        <w:tc>
          <w:tcPr>
            <w:tcW w:w="1011" w:type="dxa"/>
            <w:tcBorders>
              <w:top w:val="nil"/>
              <w:left w:val="nil"/>
              <w:bottom w:val="single" w:sz="4" w:space="0" w:color="auto"/>
              <w:right w:val="single" w:sz="8" w:space="0" w:color="auto"/>
            </w:tcBorders>
            <w:shd w:val="clear" w:color="auto" w:fill="auto"/>
            <w:noWrap/>
            <w:vAlign w:val="center"/>
            <w:hideMark/>
          </w:tcPr>
          <w:p w14:paraId="26AD0998"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1.54 %</w:t>
            </w:r>
          </w:p>
        </w:tc>
        <w:tc>
          <w:tcPr>
            <w:tcW w:w="1011" w:type="dxa"/>
            <w:tcBorders>
              <w:top w:val="nil"/>
              <w:left w:val="nil"/>
              <w:bottom w:val="single" w:sz="4" w:space="0" w:color="auto"/>
              <w:right w:val="single" w:sz="4" w:space="0" w:color="auto"/>
            </w:tcBorders>
            <w:shd w:val="clear" w:color="auto" w:fill="auto"/>
            <w:noWrap/>
            <w:vAlign w:val="center"/>
            <w:hideMark/>
          </w:tcPr>
          <w:p w14:paraId="5755CB28"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1.29 %</w:t>
            </w:r>
          </w:p>
        </w:tc>
        <w:tc>
          <w:tcPr>
            <w:tcW w:w="1011" w:type="dxa"/>
            <w:tcBorders>
              <w:top w:val="nil"/>
              <w:left w:val="nil"/>
              <w:bottom w:val="single" w:sz="4" w:space="0" w:color="auto"/>
              <w:right w:val="single" w:sz="8" w:space="0" w:color="auto"/>
            </w:tcBorders>
            <w:shd w:val="clear" w:color="auto" w:fill="auto"/>
            <w:noWrap/>
            <w:vAlign w:val="center"/>
            <w:hideMark/>
          </w:tcPr>
          <w:p w14:paraId="115FAD8D"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3.59 %</w:t>
            </w:r>
          </w:p>
        </w:tc>
        <w:tc>
          <w:tcPr>
            <w:tcW w:w="1011" w:type="dxa"/>
            <w:tcBorders>
              <w:top w:val="nil"/>
              <w:left w:val="nil"/>
              <w:bottom w:val="single" w:sz="4" w:space="0" w:color="auto"/>
              <w:right w:val="single" w:sz="4" w:space="0" w:color="auto"/>
            </w:tcBorders>
            <w:shd w:val="clear" w:color="auto" w:fill="auto"/>
            <w:noWrap/>
            <w:vAlign w:val="center"/>
            <w:hideMark/>
          </w:tcPr>
          <w:p w14:paraId="1E91C2E8"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1.33 %</w:t>
            </w:r>
          </w:p>
        </w:tc>
        <w:tc>
          <w:tcPr>
            <w:tcW w:w="1011" w:type="dxa"/>
            <w:tcBorders>
              <w:top w:val="nil"/>
              <w:left w:val="nil"/>
              <w:bottom w:val="single" w:sz="4" w:space="0" w:color="auto"/>
              <w:right w:val="single" w:sz="8" w:space="0" w:color="auto"/>
            </w:tcBorders>
            <w:shd w:val="clear" w:color="auto" w:fill="auto"/>
            <w:noWrap/>
            <w:vAlign w:val="center"/>
            <w:hideMark/>
          </w:tcPr>
          <w:p w14:paraId="58EEF919"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3.41 %</w:t>
            </w:r>
          </w:p>
        </w:tc>
      </w:tr>
      <w:tr w:rsidR="00A85E8F" w14:paraId="3C69AF94" w14:textId="77777777" w:rsidTr="007A6398">
        <w:trPr>
          <w:trHeight w:val="304"/>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43842"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32</w:t>
            </w:r>
          </w:p>
        </w:tc>
        <w:tc>
          <w:tcPr>
            <w:tcW w:w="781" w:type="dxa"/>
            <w:tcBorders>
              <w:top w:val="nil"/>
              <w:left w:val="nil"/>
              <w:bottom w:val="single" w:sz="4" w:space="0" w:color="auto"/>
              <w:right w:val="single" w:sz="4" w:space="0" w:color="auto"/>
            </w:tcBorders>
            <w:shd w:val="clear" w:color="auto" w:fill="auto"/>
            <w:noWrap/>
            <w:vAlign w:val="center"/>
            <w:hideMark/>
          </w:tcPr>
          <w:p w14:paraId="317F2E65"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50</w:t>
            </w:r>
          </w:p>
        </w:tc>
        <w:tc>
          <w:tcPr>
            <w:tcW w:w="735" w:type="dxa"/>
            <w:tcBorders>
              <w:top w:val="nil"/>
              <w:left w:val="nil"/>
              <w:bottom w:val="single" w:sz="4" w:space="0" w:color="auto"/>
              <w:right w:val="single" w:sz="4" w:space="0" w:color="auto"/>
            </w:tcBorders>
            <w:shd w:val="clear" w:color="auto" w:fill="auto"/>
            <w:noWrap/>
            <w:vAlign w:val="center"/>
            <w:hideMark/>
          </w:tcPr>
          <w:p w14:paraId="77239A2D"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30</w:t>
            </w:r>
          </w:p>
        </w:tc>
        <w:tc>
          <w:tcPr>
            <w:tcW w:w="735" w:type="dxa"/>
            <w:tcBorders>
              <w:top w:val="nil"/>
              <w:left w:val="nil"/>
              <w:bottom w:val="single" w:sz="4" w:space="0" w:color="auto"/>
              <w:right w:val="single" w:sz="8" w:space="0" w:color="auto"/>
            </w:tcBorders>
            <w:shd w:val="clear" w:color="auto" w:fill="auto"/>
            <w:noWrap/>
            <w:vAlign w:val="center"/>
            <w:hideMark/>
          </w:tcPr>
          <w:p w14:paraId="2BDEA71C"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w:t>
            </w:r>
          </w:p>
        </w:tc>
        <w:tc>
          <w:tcPr>
            <w:tcW w:w="1011" w:type="dxa"/>
            <w:tcBorders>
              <w:top w:val="nil"/>
              <w:left w:val="nil"/>
              <w:bottom w:val="single" w:sz="4" w:space="0" w:color="auto"/>
              <w:right w:val="single" w:sz="4" w:space="0" w:color="auto"/>
            </w:tcBorders>
            <w:shd w:val="clear" w:color="auto" w:fill="auto"/>
            <w:noWrap/>
            <w:vAlign w:val="center"/>
            <w:hideMark/>
          </w:tcPr>
          <w:p w14:paraId="17BDB344"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0.74 %</w:t>
            </w:r>
          </w:p>
        </w:tc>
        <w:tc>
          <w:tcPr>
            <w:tcW w:w="1011" w:type="dxa"/>
            <w:tcBorders>
              <w:top w:val="nil"/>
              <w:left w:val="nil"/>
              <w:bottom w:val="single" w:sz="4" w:space="0" w:color="auto"/>
              <w:right w:val="single" w:sz="8" w:space="0" w:color="auto"/>
            </w:tcBorders>
            <w:shd w:val="clear" w:color="auto" w:fill="auto"/>
            <w:noWrap/>
            <w:vAlign w:val="center"/>
            <w:hideMark/>
          </w:tcPr>
          <w:p w14:paraId="6393063A"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1.48 %</w:t>
            </w:r>
          </w:p>
        </w:tc>
        <w:tc>
          <w:tcPr>
            <w:tcW w:w="1011" w:type="dxa"/>
            <w:tcBorders>
              <w:top w:val="nil"/>
              <w:left w:val="nil"/>
              <w:bottom w:val="single" w:sz="4" w:space="0" w:color="auto"/>
              <w:right w:val="single" w:sz="4" w:space="0" w:color="auto"/>
            </w:tcBorders>
            <w:shd w:val="clear" w:color="auto" w:fill="auto"/>
            <w:noWrap/>
            <w:vAlign w:val="center"/>
            <w:hideMark/>
          </w:tcPr>
          <w:p w14:paraId="1A62C6B3"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1.19 %</w:t>
            </w:r>
          </w:p>
        </w:tc>
        <w:tc>
          <w:tcPr>
            <w:tcW w:w="1011" w:type="dxa"/>
            <w:tcBorders>
              <w:top w:val="nil"/>
              <w:left w:val="nil"/>
              <w:bottom w:val="single" w:sz="4" w:space="0" w:color="auto"/>
              <w:right w:val="single" w:sz="8" w:space="0" w:color="auto"/>
            </w:tcBorders>
            <w:shd w:val="clear" w:color="auto" w:fill="auto"/>
            <w:noWrap/>
            <w:vAlign w:val="center"/>
            <w:hideMark/>
          </w:tcPr>
          <w:p w14:paraId="5A6D7C85"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3.44 %</w:t>
            </w:r>
          </w:p>
        </w:tc>
        <w:tc>
          <w:tcPr>
            <w:tcW w:w="1011" w:type="dxa"/>
            <w:tcBorders>
              <w:top w:val="nil"/>
              <w:left w:val="nil"/>
              <w:bottom w:val="single" w:sz="4" w:space="0" w:color="auto"/>
              <w:right w:val="single" w:sz="4" w:space="0" w:color="auto"/>
            </w:tcBorders>
            <w:shd w:val="clear" w:color="auto" w:fill="auto"/>
            <w:noWrap/>
            <w:vAlign w:val="center"/>
            <w:hideMark/>
          </w:tcPr>
          <w:p w14:paraId="354EDCB3"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1.17 %</w:t>
            </w:r>
          </w:p>
        </w:tc>
        <w:tc>
          <w:tcPr>
            <w:tcW w:w="1011" w:type="dxa"/>
            <w:tcBorders>
              <w:top w:val="nil"/>
              <w:left w:val="nil"/>
              <w:bottom w:val="single" w:sz="4" w:space="0" w:color="auto"/>
              <w:right w:val="single" w:sz="8" w:space="0" w:color="auto"/>
            </w:tcBorders>
            <w:shd w:val="clear" w:color="auto" w:fill="auto"/>
            <w:noWrap/>
            <w:vAlign w:val="center"/>
            <w:hideMark/>
          </w:tcPr>
          <w:p w14:paraId="2D758576"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3.47 %</w:t>
            </w:r>
          </w:p>
        </w:tc>
      </w:tr>
      <w:tr w:rsidR="00A85E8F" w14:paraId="562B7150" w14:textId="77777777" w:rsidTr="007A6398">
        <w:trPr>
          <w:trHeight w:val="304"/>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B836C"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32</w:t>
            </w:r>
          </w:p>
        </w:tc>
        <w:tc>
          <w:tcPr>
            <w:tcW w:w="781" w:type="dxa"/>
            <w:tcBorders>
              <w:top w:val="nil"/>
              <w:left w:val="nil"/>
              <w:bottom w:val="single" w:sz="4" w:space="0" w:color="auto"/>
              <w:right w:val="single" w:sz="4" w:space="0" w:color="auto"/>
            </w:tcBorders>
            <w:shd w:val="clear" w:color="auto" w:fill="auto"/>
            <w:noWrap/>
            <w:vAlign w:val="center"/>
            <w:hideMark/>
          </w:tcPr>
          <w:p w14:paraId="33DD895F"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100</w:t>
            </w:r>
          </w:p>
        </w:tc>
        <w:tc>
          <w:tcPr>
            <w:tcW w:w="735" w:type="dxa"/>
            <w:tcBorders>
              <w:top w:val="nil"/>
              <w:left w:val="nil"/>
              <w:bottom w:val="single" w:sz="4" w:space="0" w:color="auto"/>
              <w:right w:val="single" w:sz="4" w:space="0" w:color="auto"/>
            </w:tcBorders>
            <w:shd w:val="clear" w:color="auto" w:fill="auto"/>
            <w:noWrap/>
            <w:vAlign w:val="center"/>
            <w:hideMark/>
          </w:tcPr>
          <w:p w14:paraId="54EBD1C2"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15</w:t>
            </w:r>
          </w:p>
        </w:tc>
        <w:tc>
          <w:tcPr>
            <w:tcW w:w="735" w:type="dxa"/>
            <w:tcBorders>
              <w:top w:val="nil"/>
              <w:left w:val="nil"/>
              <w:bottom w:val="single" w:sz="4" w:space="0" w:color="auto"/>
              <w:right w:val="single" w:sz="8" w:space="0" w:color="auto"/>
            </w:tcBorders>
            <w:shd w:val="clear" w:color="auto" w:fill="auto"/>
            <w:noWrap/>
            <w:vAlign w:val="center"/>
            <w:hideMark/>
          </w:tcPr>
          <w:p w14:paraId="75DAEDEB"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w:t>
            </w:r>
          </w:p>
        </w:tc>
        <w:tc>
          <w:tcPr>
            <w:tcW w:w="1011" w:type="dxa"/>
            <w:tcBorders>
              <w:top w:val="nil"/>
              <w:left w:val="nil"/>
              <w:bottom w:val="single" w:sz="4" w:space="0" w:color="auto"/>
              <w:right w:val="single" w:sz="4" w:space="0" w:color="auto"/>
            </w:tcBorders>
            <w:shd w:val="clear" w:color="auto" w:fill="auto"/>
            <w:noWrap/>
            <w:vAlign w:val="center"/>
            <w:hideMark/>
          </w:tcPr>
          <w:p w14:paraId="6AE64688"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1.62 %</w:t>
            </w:r>
          </w:p>
        </w:tc>
        <w:tc>
          <w:tcPr>
            <w:tcW w:w="1011" w:type="dxa"/>
            <w:tcBorders>
              <w:top w:val="nil"/>
              <w:left w:val="nil"/>
              <w:bottom w:val="single" w:sz="4" w:space="0" w:color="auto"/>
              <w:right w:val="single" w:sz="8" w:space="0" w:color="auto"/>
            </w:tcBorders>
            <w:shd w:val="clear" w:color="auto" w:fill="auto"/>
            <w:noWrap/>
            <w:vAlign w:val="center"/>
            <w:hideMark/>
          </w:tcPr>
          <w:p w14:paraId="1F2CBA7B"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2.96 %</w:t>
            </w:r>
          </w:p>
        </w:tc>
        <w:tc>
          <w:tcPr>
            <w:tcW w:w="1011" w:type="dxa"/>
            <w:tcBorders>
              <w:top w:val="nil"/>
              <w:left w:val="nil"/>
              <w:bottom w:val="single" w:sz="4" w:space="0" w:color="auto"/>
              <w:right w:val="single" w:sz="4" w:space="0" w:color="auto"/>
            </w:tcBorders>
            <w:shd w:val="clear" w:color="auto" w:fill="auto"/>
            <w:noWrap/>
            <w:vAlign w:val="center"/>
            <w:hideMark/>
          </w:tcPr>
          <w:p w14:paraId="11FAC9E4"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1.96 %</w:t>
            </w:r>
          </w:p>
        </w:tc>
        <w:tc>
          <w:tcPr>
            <w:tcW w:w="1011" w:type="dxa"/>
            <w:tcBorders>
              <w:top w:val="nil"/>
              <w:left w:val="nil"/>
              <w:bottom w:val="single" w:sz="4" w:space="0" w:color="auto"/>
              <w:right w:val="single" w:sz="8" w:space="0" w:color="auto"/>
            </w:tcBorders>
            <w:shd w:val="clear" w:color="auto" w:fill="auto"/>
            <w:noWrap/>
            <w:vAlign w:val="center"/>
            <w:hideMark/>
          </w:tcPr>
          <w:p w14:paraId="5D1FF50F"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4.65 %</w:t>
            </w:r>
          </w:p>
        </w:tc>
        <w:tc>
          <w:tcPr>
            <w:tcW w:w="1011" w:type="dxa"/>
            <w:tcBorders>
              <w:top w:val="nil"/>
              <w:left w:val="nil"/>
              <w:bottom w:val="single" w:sz="4" w:space="0" w:color="auto"/>
              <w:right w:val="single" w:sz="4" w:space="0" w:color="auto"/>
            </w:tcBorders>
            <w:shd w:val="clear" w:color="auto" w:fill="auto"/>
            <w:noWrap/>
            <w:vAlign w:val="center"/>
            <w:hideMark/>
          </w:tcPr>
          <w:p w14:paraId="2E093A5C"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2.09 %</w:t>
            </w:r>
          </w:p>
        </w:tc>
        <w:tc>
          <w:tcPr>
            <w:tcW w:w="1011" w:type="dxa"/>
            <w:tcBorders>
              <w:top w:val="nil"/>
              <w:left w:val="nil"/>
              <w:bottom w:val="single" w:sz="4" w:space="0" w:color="auto"/>
              <w:right w:val="single" w:sz="8" w:space="0" w:color="auto"/>
            </w:tcBorders>
            <w:shd w:val="clear" w:color="auto" w:fill="auto"/>
            <w:noWrap/>
            <w:vAlign w:val="center"/>
            <w:hideMark/>
          </w:tcPr>
          <w:p w14:paraId="3310A334"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4.61 %</w:t>
            </w:r>
          </w:p>
        </w:tc>
      </w:tr>
      <w:tr w:rsidR="00A85E8F" w14:paraId="1D941726" w14:textId="77777777" w:rsidTr="007A6398">
        <w:trPr>
          <w:trHeight w:val="304"/>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E9D0B"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32</w:t>
            </w:r>
          </w:p>
        </w:tc>
        <w:tc>
          <w:tcPr>
            <w:tcW w:w="781" w:type="dxa"/>
            <w:tcBorders>
              <w:top w:val="nil"/>
              <w:left w:val="nil"/>
              <w:bottom w:val="single" w:sz="4" w:space="0" w:color="auto"/>
              <w:right w:val="single" w:sz="4" w:space="0" w:color="auto"/>
            </w:tcBorders>
            <w:shd w:val="clear" w:color="auto" w:fill="auto"/>
            <w:noWrap/>
            <w:vAlign w:val="center"/>
            <w:hideMark/>
          </w:tcPr>
          <w:p w14:paraId="5E5B7F8B"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100</w:t>
            </w:r>
          </w:p>
        </w:tc>
        <w:tc>
          <w:tcPr>
            <w:tcW w:w="735" w:type="dxa"/>
            <w:tcBorders>
              <w:top w:val="nil"/>
              <w:left w:val="nil"/>
              <w:bottom w:val="single" w:sz="4" w:space="0" w:color="auto"/>
              <w:right w:val="single" w:sz="4" w:space="0" w:color="auto"/>
            </w:tcBorders>
            <w:shd w:val="clear" w:color="auto" w:fill="auto"/>
            <w:noWrap/>
            <w:vAlign w:val="center"/>
            <w:hideMark/>
          </w:tcPr>
          <w:p w14:paraId="7738DB73"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15</w:t>
            </w:r>
          </w:p>
        </w:tc>
        <w:tc>
          <w:tcPr>
            <w:tcW w:w="735" w:type="dxa"/>
            <w:tcBorders>
              <w:top w:val="nil"/>
              <w:left w:val="nil"/>
              <w:bottom w:val="single" w:sz="4" w:space="0" w:color="auto"/>
              <w:right w:val="single" w:sz="8" w:space="0" w:color="auto"/>
            </w:tcBorders>
            <w:shd w:val="clear" w:color="auto" w:fill="auto"/>
            <w:noWrap/>
            <w:vAlign w:val="center"/>
            <w:hideMark/>
          </w:tcPr>
          <w:p w14:paraId="5B47B074"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w:t>
            </w:r>
          </w:p>
        </w:tc>
        <w:tc>
          <w:tcPr>
            <w:tcW w:w="1011" w:type="dxa"/>
            <w:tcBorders>
              <w:top w:val="nil"/>
              <w:left w:val="nil"/>
              <w:bottom w:val="single" w:sz="4" w:space="0" w:color="auto"/>
              <w:right w:val="single" w:sz="4" w:space="0" w:color="auto"/>
            </w:tcBorders>
            <w:shd w:val="clear" w:color="auto" w:fill="auto"/>
            <w:noWrap/>
            <w:vAlign w:val="center"/>
            <w:hideMark/>
          </w:tcPr>
          <w:p w14:paraId="68493EB6"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1.65 %</w:t>
            </w:r>
          </w:p>
        </w:tc>
        <w:tc>
          <w:tcPr>
            <w:tcW w:w="1011" w:type="dxa"/>
            <w:tcBorders>
              <w:top w:val="nil"/>
              <w:left w:val="nil"/>
              <w:bottom w:val="single" w:sz="4" w:space="0" w:color="auto"/>
              <w:right w:val="single" w:sz="8" w:space="0" w:color="auto"/>
            </w:tcBorders>
            <w:shd w:val="clear" w:color="auto" w:fill="auto"/>
            <w:noWrap/>
            <w:vAlign w:val="center"/>
            <w:hideMark/>
          </w:tcPr>
          <w:p w14:paraId="5CF7AD86"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2.93 %</w:t>
            </w:r>
          </w:p>
        </w:tc>
        <w:tc>
          <w:tcPr>
            <w:tcW w:w="1011" w:type="dxa"/>
            <w:tcBorders>
              <w:top w:val="nil"/>
              <w:left w:val="nil"/>
              <w:bottom w:val="single" w:sz="4" w:space="0" w:color="auto"/>
              <w:right w:val="single" w:sz="4" w:space="0" w:color="auto"/>
            </w:tcBorders>
            <w:shd w:val="clear" w:color="auto" w:fill="auto"/>
            <w:noWrap/>
            <w:vAlign w:val="center"/>
            <w:hideMark/>
          </w:tcPr>
          <w:p w14:paraId="24C8CC9E"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2.02 %</w:t>
            </w:r>
          </w:p>
        </w:tc>
        <w:tc>
          <w:tcPr>
            <w:tcW w:w="1011" w:type="dxa"/>
            <w:tcBorders>
              <w:top w:val="nil"/>
              <w:left w:val="nil"/>
              <w:bottom w:val="single" w:sz="4" w:space="0" w:color="auto"/>
              <w:right w:val="single" w:sz="8" w:space="0" w:color="auto"/>
            </w:tcBorders>
            <w:shd w:val="clear" w:color="auto" w:fill="auto"/>
            <w:noWrap/>
            <w:vAlign w:val="center"/>
            <w:hideMark/>
          </w:tcPr>
          <w:p w14:paraId="465E8232"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4.35 %</w:t>
            </w:r>
          </w:p>
        </w:tc>
        <w:tc>
          <w:tcPr>
            <w:tcW w:w="1011" w:type="dxa"/>
            <w:tcBorders>
              <w:top w:val="nil"/>
              <w:left w:val="nil"/>
              <w:bottom w:val="single" w:sz="4" w:space="0" w:color="auto"/>
              <w:right w:val="single" w:sz="4" w:space="0" w:color="auto"/>
            </w:tcBorders>
            <w:shd w:val="clear" w:color="auto" w:fill="auto"/>
            <w:noWrap/>
            <w:vAlign w:val="center"/>
            <w:hideMark/>
          </w:tcPr>
          <w:p w14:paraId="32B585DE"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1.89 %</w:t>
            </w:r>
          </w:p>
        </w:tc>
        <w:tc>
          <w:tcPr>
            <w:tcW w:w="1011" w:type="dxa"/>
            <w:tcBorders>
              <w:top w:val="nil"/>
              <w:left w:val="nil"/>
              <w:bottom w:val="single" w:sz="4" w:space="0" w:color="auto"/>
              <w:right w:val="single" w:sz="8" w:space="0" w:color="auto"/>
            </w:tcBorders>
            <w:shd w:val="clear" w:color="auto" w:fill="auto"/>
            <w:noWrap/>
            <w:vAlign w:val="center"/>
            <w:hideMark/>
          </w:tcPr>
          <w:p w14:paraId="78DD56FC"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4.47 %</w:t>
            </w:r>
          </w:p>
        </w:tc>
      </w:tr>
      <w:tr w:rsidR="00A85E8F" w14:paraId="47027E25" w14:textId="77777777" w:rsidTr="007A6398">
        <w:trPr>
          <w:trHeight w:val="304"/>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97E9C"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32</w:t>
            </w:r>
          </w:p>
        </w:tc>
        <w:tc>
          <w:tcPr>
            <w:tcW w:w="781" w:type="dxa"/>
            <w:tcBorders>
              <w:top w:val="nil"/>
              <w:left w:val="nil"/>
              <w:bottom w:val="single" w:sz="4" w:space="0" w:color="auto"/>
              <w:right w:val="single" w:sz="4" w:space="0" w:color="auto"/>
            </w:tcBorders>
            <w:shd w:val="clear" w:color="auto" w:fill="auto"/>
            <w:noWrap/>
            <w:vAlign w:val="center"/>
            <w:hideMark/>
          </w:tcPr>
          <w:p w14:paraId="41EAEF21"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100</w:t>
            </w:r>
          </w:p>
        </w:tc>
        <w:tc>
          <w:tcPr>
            <w:tcW w:w="735" w:type="dxa"/>
            <w:tcBorders>
              <w:top w:val="nil"/>
              <w:left w:val="nil"/>
              <w:bottom w:val="single" w:sz="4" w:space="0" w:color="auto"/>
              <w:right w:val="single" w:sz="4" w:space="0" w:color="auto"/>
            </w:tcBorders>
            <w:shd w:val="clear" w:color="auto" w:fill="auto"/>
            <w:noWrap/>
            <w:vAlign w:val="center"/>
            <w:hideMark/>
          </w:tcPr>
          <w:p w14:paraId="6CE49143"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15</w:t>
            </w:r>
          </w:p>
        </w:tc>
        <w:tc>
          <w:tcPr>
            <w:tcW w:w="735" w:type="dxa"/>
            <w:tcBorders>
              <w:top w:val="nil"/>
              <w:left w:val="nil"/>
              <w:bottom w:val="single" w:sz="4" w:space="0" w:color="auto"/>
              <w:right w:val="single" w:sz="8" w:space="0" w:color="auto"/>
            </w:tcBorders>
            <w:shd w:val="clear" w:color="auto" w:fill="auto"/>
            <w:noWrap/>
            <w:vAlign w:val="center"/>
            <w:hideMark/>
          </w:tcPr>
          <w:p w14:paraId="17A5B419"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w:t>
            </w:r>
          </w:p>
        </w:tc>
        <w:tc>
          <w:tcPr>
            <w:tcW w:w="1011" w:type="dxa"/>
            <w:tcBorders>
              <w:top w:val="nil"/>
              <w:left w:val="nil"/>
              <w:bottom w:val="single" w:sz="4" w:space="0" w:color="auto"/>
              <w:right w:val="single" w:sz="4" w:space="0" w:color="auto"/>
            </w:tcBorders>
            <w:shd w:val="clear" w:color="auto" w:fill="auto"/>
            <w:noWrap/>
            <w:vAlign w:val="center"/>
            <w:hideMark/>
          </w:tcPr>
          <w:p w14:paraId="4AFAE731"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1.61 %</w:t>
            </w:r>
          </w:p>
        </w:tc>
        <w:tc>
          <w:tcPr>
            <w:tcW w:w="1011" w:type="dxa"/>
            <w:tcBorders>
              <w:top w:val="nil"/>
              <w:left w:val="nil"/>
              <w:bottom w:val="single" w:sz="4" w:space="0" w:color="auto"/>
              <w:right w:val="single" w:sz="8" w:space="0" w:color="auto"/>
            </w:tcBorders>
            <w:shd w:val="clear" w:color="auto" w:fill="auto"/>
            <w:noWrap/>
            <w:vAlign w:val="center"/>
            <w:hideMark/>
          </w:tcPr>
          <w:p w14:paraId="168420EA"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2.95 %</w:t>
            </w:r>
          </w:p>
        </w:tc>
        <w:tc>
          <w:tcPr>
            <w:tcW w:w="1011" w:type="dxa"/>
            <w:tcBorders>
              <w:top w:val="nil"/>
              <w:left w:val="nil"/>
              <w:bottom w:val="single" w:sz="4" w:space="0" w:color="auto"/>
              <w:right w:val="single" w:sz="4" w:space="0" w:color="auto"/>
            </w:tcBorders>
            <w:shd w:val="clear" w:color="auto" w:fill="auto"/>
            <w:noWrap/>
            <w:vAlign w:val="center"/>
            <w:hideMark/>
          </w:tcPr>
          <w:p w14:paraId="65EF69E0"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1.86 %</w:t>
            </w:r>
          </w:p>
        </w:tc>
        <w:tc>
          <w:tcPr>
            <w:tcW w:w="1011" w:type="dxa"/>
            <w:tcBorders>
              <w:top w:val="nil"/>
              <w:left w:val="nil"/>
              <w:bottom w:val="single" w:sz="4" w:space="0" w:color="auto"/>
              <w:right w:val="single" w:sz="8" w:space="0" w:color="auto"/>
            </w:tcBorders>
            <w:shd w:val="clear" w:color="auto" w:fill="auto"/>
            <w:noWrap/>
            <w:vAlign w:val="center"/>
            <w:hideMark/>
          </w:tcPr>
          <w:p w14:paraId="2CBDB169"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4.13 %</w:t>
            </w:r>
          </w:p>
        </w:tc>
        <w:tc>
          <w:tcPr>
            <w:tcW w:w="1011" w:type="dxa"/>
            <w:tcBorders>
              <w:top w:val="nil"/>
              <w:left w:val="nil"/>
              <w:bottom w:val="single" w:sz="4" w:space="0" w:color="auto"/>
              <w:right w:val="single" w:sz="4" w:space="0" w:color="auto"/>
            </w:tcBorders>
            <w:shd w:val="clear" w:color="auto" w:fill="auto"/>
            <w:noWrap/>
            <w:vAlign w:val="center"/>
            <w:hideMark/>
          </w:tcPr>
          <w:p w14:paraId="044BC65D"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1.73 %</w:t>
            </w:r>
          </w:p>
        </w:tc>
        <w:tc>
          <w:tcPr>
            <w:tcW w:w="1011" w:type="dxa"/>
            <w:tcBorders>
              <w:top w:val="nil"/>
              <w:left w:val="nil"/>
              <w:bottom w:val="single" w:sz="4" w:space="0" w:color="auto"/>
              <w:right w:val="single" w:sz="8" w:space="0" w:color="auto"/>
            </w:tcBorders>
            <w:shd w:val="clear" w:color="auto" w:fill="auto"/>
            <w:noWrap/>
            <w:vAlign w:val="center"/>
            <w:hideMark/>
          </w:tcPr>
          <w:p w14:paraId="6A05A09E"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4.34 %</w:t>
            </w:r>
          </w:p>
        </w:tc>
      </w:tr>
      <w:tr w:rsidR="00A85E8F" w14:paraId="23106577" w14:textId="77777777" w:rsidTr="007A6398">
        <w:trPr>
          <w:trHeight w:val="304"/>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AA3A0"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32</w:t>
            </w:r>
          </w:p>
        </w:tc>
        <w:tc>
          <w:tcPr>
            <w:tcW w:w="781" w:type="dxa"/>
            <w:tcBorders>
              <w:top w:val="nil"/>
              <w:left w:val="nil"/>
              <w:bottom w:val="single" w:sz="4" w:space="0" w:color="auto"/>
              <w:right w:val="single" w:sz="4" w:space="0" w:color="auto"/>
            </w:tcBorders>
            <w:shd w:val="clear" w:color="auto" w:fill="auto"/>
            <w:noWrap/>
            <w:vAlign w:val="center"/>
            <w:hideMark/>
          </w:tcPr>
          <w:p w14:paraId="4D0411C8"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100</w:t>
            </w:r>
          </w:p>
        </w:tc>
        <w:tc>
          <w:tcPr>
            <w:tcW w:w="735" w:type="dxa"/>
            <w:tcBorders>
              <w:top w:val="nil"/>
              <w:left w:val="nil"/>
              <w:bottom w:val="single" w:sz="4" w:space="0" w:color="auto"/>
              <w:right w:val="single" w:sz="4" w:space="0" w:color="auto"/>
            </w:tcBorders>
            <w:shd w:val="clear" w:color="auto" w:fill="auto"/>
            <w:noWrap/>
            <w:vAlign w:val="center"/>
            <w:hideMark/>
          </w:tcPr>
          <w:p w14:paraId="302B0BA3"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30</w:t>
            </w:r>
          </w:p>
        </w:tc>
        <w:tc>
          <w:tcPr>
            <w:tcW w:w="735" w:type="dxa"/>
            <w:tcBorders>
              <w:top w:val="nil"/>
              <w:left w:val="nil"/>
              <w:bottom w:val="single" w:sz="4" w:space="0" w:color="auto"/>
              <w:right w:val="single" w:sz="8" w:space="0" w:color="auto"/>
            </w:tcBorders>
            <w:shd w:val="clear" w:color="auto" w:fill="auto"/>
            <w:noWrap/>
            <w:vAlign w:val="center"/>
            <w:hideMark/>
          </w:tcPr>
          <w:p w14:paraId="7E6A27DB"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w:t>
            </w:r>
          </w:p>
        </w:tc>
        <w:tc>
          <w:tcPr>
            <w:tcW w:w="1011" w:type="dxa"/>
            <w:tcBorders>
              <w:top w:val="nil"/>
              <w:left w:val="nil"/>
              <w:bottom w:val="single" w:sz="4" w:space="0" w:color="auto"/>
              <w:right w:val="single" w:sz="4" w:space="0" w:color="auto"/>
            </w:tcBorders>
            <w:shd w:val="clear" w:color="auto" w:fill="auto"/>
            <w:noWrap/>
            <w:vAlign w:val="center"/>
            <w:hideMark/>
          </w:tcPr>
          <w:p w14:paraId="4987ECE0"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1.59 %</w:t>
            </w:r>
          </w:p>
        </w:tc>
        <w:tc>
          <w:tcPr>
            <w:tcW w:w="1011" w:type="dxa"/>
            <w:tcBorders>
              <w:top w:val="nil"/>
              <w:left w:val="nil"/>
              <w:bottom w:val="single" w:sz="4" w:space="0" w:color="auto"/>
              <w:right w:val="single" w:sz="8" w:space="0" w:color="auto"/>
            </w:tcBorders>
            <w:shd w:val="clear" w:color="auto" w:fill="auto"/>
            <w:noWrap/>
            <w:vAlign w:val="center"/>
            <w:hideMark/>
          </w:tcPr>
          <w:p w14:paraId="7E973200"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3.00 %</w:t>
            </w:r>
          </w:p>
        </w:tc>
        <w:tc>
          <w:tcPr>
            <w:tcW w:w="1011" w:type="dxa"/>
            <w:tcBorders>
              <w:top w:val="nil"/>
              <w:left w:val="nil"/>
              <w:bottom w:val="single" w:sz="4" w:space="0" w:color="auto"/>
              <w:right w:val="single" w:sz="4" w:space="0" w:color="auto"/>
            </w:tcBorders>
            <w:shd w:val="clear" w:color="auto" w:fill="auto"/>
            <w:noWrap/>
            <w:vAlign w:val="center"/>
            <w:hideMark/>
          </w:tcPr>
          <w:p w14:paraId="09662808"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1.92 %</w:t>
            </w:r>
          </w:p>
        </w:tc>
        <w:tc>
          <w:tcPr>
            <w:tcW w:w="1011" w:type="dxa"/>
            <w:tcBorders>
              <w:top w:val="nil"/>
              <w:left w:val="nil"/>
              <w:bottom w:val="single" w:sz="4" w:space="0" w:color="auto"/>
              <w:right w:val="single" w:sz="8" w:space="0" w:color="auto"/>
            </w:tcBorders>
            <w:shd w:val="clear" w:color="auto" w:fill="auto"/>
            <w:noWrap/>
            <w:vAlign w:val="center"/>
            <w:hideMark/>
          </w:tcPr>
          <w:p w14:paraId="2F1A8277"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4.50 %</w:t>
            </w:r>
          </w:p>
        </w:tc>
        <w:tc>
          <w:tcPr>
            <w:tcW w:w="1011" w:type="dxa"/>
            <w:tcBorders>
              <w:top w:val="nil"/>
              <w:left w:val="nil"/>
              <w:bottom w:val="single" w:sz="4" w:space="0" w:color="auto"/>
              <w:right w:val="single" w:sz="4" w:space="0" w:color="auto"/>
            </w:tcBorders>
            <w:shd w:val="clear" w:color="auto" w:fill="auto"/>
            <w:noWrap/>
            <w:vAlign w:val="center"/>
            <w:hideMark/>
          </w:tcPr>
          <w:p w14:paraId="270BD49E"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1.83 %</w:t>
            </w:r>
          </w:p>
        </w:tc>
        <w:tc>
          <w:tcPr>
            <w:tcW w:w="1011" w:type="dxa"/>
            <w:tcBorders>
              <w:top w:val="nil"/>
              <w:left w:val="nil"/>
              <w:bottom w:val="single" w:sz="4" w:space="0" w:color="auto"/>
              <w:right w:val="single" w:sz="8" w:space="0" w:color="auto"/>
            </w:tcBorders>
            <w:shd w:val="clear" w:color="auto" w:fill="auto"/>
            <w:noWrap/>
            <w:vAlign w:val="center"/>
            <w:hideMark/>
          </w:tcPr>
          <w:p w14:paraId="0BE86C85"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4.51 %</w:t>
            </w:r>
          </w:p>
        </w:tc>
      </w:tr>
      <w:tr w:rsidR="00A85E8F" w14:paraId="71944A16" w14:textId="77777777" w:rsidTr="007A6398">
        <w:trPr>
          <w:trHeight w:val="304"/>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E28BC"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32</w:t>
            </w:r>
          </w:p>
        </w:tc>
        <w:tc>
          <w:tcPr>
            <w:tcW w:w="781" w:type="dxa"/>
            <w:tcBorders>
              <w:top w:val="nil"/>
              <w:left w:val="nil"/>
              <w:bottom w:val="single" w:sz="4" w:space="0" w:color="auto"/>
              <w:right w:val="single" w:sz="4" w:space="0" w:color="auto"/>
            </w:tcBorders>
            <w:shd w:val="clear" w:color="auto" w:fill="auto"/>
            <w:noWrap/>
            <w:vAlign w:val="center"/>
            <w:hideMark/>
          </w:tcPr>
          <w:p w14:paraId="09BD7916"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100</w:t>
            </w:r>
          </w:p>
        </w:tc>
        <w:tc>
          <w:tcPr>
            <w:tcW w:w="735" w:type="dxa"/>
            <w:tcBorders>
              <w:top w:val="nil"/>
              <w:left w:val="nil"/>
              <w:bottom w:val="single" w:sz="4" w:space="0" w:color="auto"/>
              <w:right w:val="single" w:sz="4" w:space="0" w:color="auto"/>
            </w:tcBorders>
            <w:shd w:val="clear" w:color="auto" w:fill="auto"/>
            <w:noWrap/>
            <w:vAlign w:val="center"/>
            <w:hideMark/>
          </w:tcPr>
          <w:p w14:paraId="44DAEABA"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30</w:t>
            </w:r>
          </w:p>
        </w:tc>
        <w:tc>
          <w:tcPr>
            <w:tcW w:w="735" w:type="dxa"/>
            <w:tcBorders>
              <w:top w:val="nil"/>
              <w:left w:val="nil"/>
              <w:bottom w:val="single" w:sz="4" w:space="0" w:color="auto"/>
              <w:right w:val="single" w:sz="8" w:space="0" w:color="auto"/>
            </w:tcBorders>
            <w:shd w:val="clear" w:color="auto" w:fill="auto"/>
            <w:noWrap/>
            <w:vAlign w:val="center"/>
            <w:hideMark/>
          </w:tcPr>
          <w:p w14:paraId="1D6BC215"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w:t>
            </w:r>
          </w:p>
        </w:tc>
        <w:tc>
          <w:tcPr>
            <w:tcW w:w="1011" w:type="dxa"/>
            <w:tcBorders>
              <w:top w:val="nil"/>
              <w:left w:val="nil"/>
              <w:bottom w:val="single" w:sz="4" w:space="0" w:color="auto"/>
              <w:right w:val="single" w:sz="4" w:space="0" w:color="auto"/>
            </w:tcBorders>
            <w:shd w:val="clear" w:color="auto" w:fill="auto"/>
            <w:noWrap/>
            <w:vAlign w:val="center"/>
            <w:hideMark/>
          </w:tcPr>
          <w:p w14:paraId="4A01514E"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1.51 %</w:t>
            </w:r>
          </w:p>
        </w:tc>
        <w:tc>
          <w:tcPr>
            <w:tcW w:w="1011" w:type="dxa"/>
            <w:tcBorders>
              <w:top w:val="nil"/>
              <w:left w:val="nil"/>
              <w:bottom w:val="single" w:sz="4" w:space="0" w:color="auto"/>
              <w:right w:val="single" w:sz="8" w:space="0" w:color="auto"/>
            </w:tcBorders>
            <w:shd w:val="clear" w:color="auto" w:fill="auto"/>
            <w:noWrap/>
            <w:vAlign w:val="center"/>
            <w:hideMark/>
          </w:tcPr>
          <w:p w14:paraId="2F990796"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2.89 %</w:t>
            </w:r>
          </w:p>
        </w:tc>
        <w:tc>
          <w:tcPr>
            <w:tcW w:w="1011" w:type="dxa"/>
            <w:tcBorders>
              <w:top w:val="nil"/>
              <w:left w:val="nil"/>
              <w:bottom w:val="single" w:sz="4" w:space="0" w:color="auto"/>
              <w:right w:val="single" w:sz="4" w:space="0" w:color="auto"/>
            </w:tcBorders>
            <w:shd w:val="clear" w:color="auto" w:fill="auto"/>
            <w:noWrap/>
            <w:vAlign w:val="center"/>
            <w:hideMark/>
          </w:tcPr>
          <w:p w14:paraId="1CC4CEB3"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1.99 %</w:t>
            </w:r>
          </w:p>
        </w:tc>
        <w:tc>
          <w:tcPr>
            <w:tcW w:w="1011" w:type="dxa"/>
            <w:tcBorders>
              <w:top w:val="nil"/>
              <w:left w:val="nil"/>
              <w:bottom w:val="single" w:sz="4" w:space="0" w:color="auto"/>
              <w:right w:val="single" w:sz="8" w:space="0" w:color="auto"/>
            </w:tcBorders>
            <w:shd w:val="clear" w:color="auto" w:fill="auto"/>
            <w:noWrap/>
            <w:vAlign w:val="center"/>
            <w:hideMark/>
          </w:tcPr>
          <w:p w14:paraId="453A6E43"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4.52 %</w:t>
            </w:r>
          </w:p>
        </w:tc>
        <w:tc>
          <w:tcPr>
            <w:tcW w:w="1011" w:type="dxa"/>
            <w:tcBorders>
              <w:top w:val="nil"/>
              <w:left w:val="nil"/>
              <w:bottom w:val="single" w:sz="4" w:space="0" w:color="auto"/>
              <w:right w:val="single" w:sz="4" w:space="0" w:color="auto"/>
            </w:tcBorders>
            <w:shd w:val="clear" w:color="auto" w:fill="auto"/>
            <w:noWrap/>
            <w:vAlign w:val="center"/>
            <w:hideMark/>
          </w:tcPr>
          <w:p w14:paraId="6DA4D3E2"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1.78 %</w:t>
            </w:r>
          </w:p>
        </w:tc>
        <w:tc>
          <w:tcPr>
            <w:tcW w:w="1011" w:type="dxa"/>
            <w:tcBorders>
              <w:top w:val="nil"/>
              <w:left w:val="nil"/>
              <w:bottom w:val="single" w:sz="4" w:space="0" w:color="auto"/>
              <w:right w:val="single" w:sz="8" w:space="0" w:color="auto"/>
            </w:tcBorders>
            <w:shd w:val="clear" w:color="auto" w:fill="auto"/>
            <w:noWrap/>
            <w:vAlign w:val="center"/>
            <w:hideMark/>
          </w:tcPr>
          <w:p w14:paraId="6761733E"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4.43 %</w:t>
            </w:r>
          </w:p>
        </w:tc>
      </w:tr>
      <w:tr w:rsidR="00A85E8F" w14:paraId="1EF07077" w14:textId="77777777" w:rsidTr="007A6398">
        <w:trPr>
          <w:trHeight w:val="319"/>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9190A"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32</w:t>
            </w:r>
          </w:p>
        </w:tc>
        <w:tc>
          <w:tcPr>
            <w:tcW w:w="781" w:type="dxa"/>
            <w:tcBorders>
              <w:top w:val="nil"/>
              <w:left w:val="nil"/>
              <w:bottom w:val="nil"/>
              <w:right w:val="single" w:sz="4" w:space="0" w:color="auto"/>
            </w:tcBorders>
            <w:shd w:val="clear" w:color="auto" w:fill="auto"/>
            <w:noWrap/>
            <w:vAlign w:val="center"/>
            <w:hideMark/>
          </w:tcPr>
          <w:p w14:paraId="2D8265DB"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100</w:t>
            </w:r>
          </w:p>
        </w:tc>
        <w:tc>
          <w:tcPr>
            <w:tcW w:w="735" w:type="dxa"/>
            <w:tcBorders>
              <w:top w:val="nil"/>
              <w:left w:val="nil"/>
              <w:bottom w:val="nil"/>
              <w:right w:val="single" w:sz="4" w:space="0" w:color="auto"/>
            </w:tcBorders>
            <w:shd w:val="clear" w:color="auto" w:fill="auto"/>
            <w:noWrap/>
            <w:vAlign w:val="center"/>
            <w:hideMark/>
          </w:tcPr>
          <w:p w14:paraId="7E8A587F"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30</w:t>
            </w:r>
          </w:p>
        </w:tc>
        <w:tc>
          <w:tcPr>
            <w:tcW w:w="735" w:type="dxa"/>
            <w:tcBorders>
              <w:top w:val="nil"/>
              <w:left w:val="nil"/>
              <w:bottom w:val="nil"/>
              <w:right w:val="single" w:sz="8" w:space="0" w:color="auto"/>
            </w:tcBorders>
            <w:shd w:val="clear" w:color="auto" w:fill="auto"/>
            <w:noWrap/>
            <w:vAlign w:val="center"/>
            <w:hideMark/>
          </w:tcPr>
          <w:p w14:paraId="1C720D74"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w:t>
            </w:r>
          </w:p>
        </w:tc>
        <w:tc>
          <w:tcPr>
            <w:tcW w:w="1011" w:type="dxa"/>
            <w:tcBorders>
              <w:top w:val="nil"/>
              <w:left w:val="nil"/>
              <w:bottom w:val="nil"/>
              <w:right w:val="single" w:sz="4" w:space="0" w:color="auto"/>
            </w:tcBorders>
            <w:shd w:val="clear" w:color="auto" w:fill="auto"/>
            <w:noWrap/>
            <w:vAlign w:val="center"/>
            <w:hideMark/>
          </w:tcPr>
          <w:p w14:paraId="5E7AE4CB"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1.49 %</w:t>
            </w:r>
          </w:p>
        </w:tc>
        <w:tc>
          <w:tcPr>
            <w:tcW w:w="1011" w:type="dxa"/>
            <w:tcBorders>
              <w:top w:val="nil"/>
              <w:left w:val="nil"/>
              <w:bottom w:val="nil"/>
              <w:right w:val="single" w:sz="8" w:space="0" w:color="auto"/>
            </w:tcBorders>
            <w:shd w:val="clear" w:color="auto" w:fill="auto"/>
            <w:noWrap/>
            <w:vAlign w:val="center"/>
            <w:hideMark/>
          </w:tcPr>
          <w:p w14:paraId="2BA82ECB"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2.84 %</w:t>
            </w:r>
          </w:p>
        </w:tc>
        <w:tc>
          <w:tcPr>
            <w:tcW w:w="1011" w:type="dxa"/>
            <w:tcBorders>
              <w:top w:val="nil"/>
              <w:left w:val="nil"/>
              <w:bottom w:val="nil"/>
              <w:right w:val="single" w:sz="4" w:space="0" w:color="auto"/>
            </w:tcBorders>
            <w:shd w:val="clear" w:color="auto" w:fill="auto"/>
            <w:noWrap/>
            <w:vAlign w:val="center"/>
            <w:hideMark/>
          </w:tcPr>
          <w:p w14:paraId="6E17DC90"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1.88 %</w:t>
            </w:r>
          </w:p>
        </w:tc>
        <w:tc>
          <w:tcPr>
            <w:tcW w:w="1011" w:type="dxa"/>
            <w:tcBorders>
              <w:top w:val="nil"/>
              <w:left w:val="nil"/>
              <w:bottom w:val="nil"/>
              <w:right w:val="single" w:sz="8" w:space="0" w:color="auto"/>
            </w:tcBorders>
            <w:shd w:val="clear" w:color="auto" w:fill="auto"/>
            <w:noWrap/>
            <w:vAlign w:val="center"/>
            <w:hideMark/>
          </w:tcPr>
          <w:p w14:paraId="247570B5"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4.15 %</w:t>
            </w:r>
          </w:p>
        </w:tc>
        <w:tc>
          <w:tcPr>
            <w:tcW w:w="1011" w:type="dxa"/>
            <w:tcBorders>
              <w:top w:val="nil"/>
              <w:left w:val="nil"/>
              <w:bottom w:val="nil"/>
              <w:right w:val="single" w:sz="4" w:space="0" w:color="auto"/>
            </w:tcBorders>
            <w:shd w:val="clear" w:color="auto" w:fill="auto"/>
            <w:noWrap/>
            <w:vAlign w:val="center"/>
            <w:hideMark/>
          </w:tcPr>
          <w:p w14:paraId="487194EA"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1.82 %</w:t>
            </w:r>
          </w:p>
        </w:tc>
        <w:tc>
          <w:tcPr>
            <w:tcW w:w="1011" w:type="dxa"/>
            <w:tcBorders>
              <w:top w:val="nil"/>
              <w:left w:val="nil"/>
              <w:bottom w:val="nil"/>
              <w:right w:val="single" w:sz="8" w:space="0" w:color="auto"/>
            </w:tcBorders>
            <w:shd w:val="clear" w:color="auto" w:fill="auto"/>
            <w:noWrap/>
            <w:vAlign w:val="center"/>
            <w:hideMark/>
          </w:tcPr>
          <w:p w14:paraId="486AA196"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4.21 %</w:t>
            </w:r>
          </w:p>
        </w:tc>
      </w:tr>
      <w:tr w:rsidR="00A85E8F" w14:paraId="7E3A95B2" w14:textId="77777777" w:rsidTr="007A6398">
        <w:trPr>
          <w:trHeight w:val="304"/>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3B9F4"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256</w:t>
            </w:r>
          </w:p>
        </w:tc>
        <w:tc>
          <w:tcPr>
            <w:tcW w:w="781" w:type="dxa"/>
            <w:tcBorders>
              <w:top w:val="single" w:sz="8" w:space="0" w:color="auto"/>
              <w:left w:val="nil"/>
              <w:bottom w:val="single" w:sz="4" w:space="0" w:color="auto"/>
              <w:right w:val="single" w:sz="4" w:space="0" w:color="auto"/>
            </w:tcBorders>
            <w:shd w:val="clear" w:color="auto" w:fill="auto"/>
            <w:noWrap/>
            <w:vAlign w:val="center"/>
            <w:hideMark/>
          </w:tcPr>
          <w:p w14:paraId="3631748C"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50</w:t>
            </w:r>
          </w:p>
        </w:tc>
        <w:tc>
          <w:tcPr>
            <w:tcW w:w="735" w:type="dxa"/>
            <w:tcBorders>
              <w:top w:val="single" w:sz="8" w:space="0" w:color="auto"/>
              <w:left w:val="nil"/>
              <w:bottom w:val="single" w:sz="4" w:space="0" w:color="auto"/>
              <w:right w:val="single" w:sz="4" w:space="0" w:color="auto"/>
            </w:tcBorders>
            <w:shd w:val="clear" w:color="auto" w:fill="auto"/>
            <w:noWrap/>
            <w:vAlign w:val="center"/>
            <w:hideMark/>
          </w:tcPr>
          <w:p w14:paraId="2250ED76"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15</w:t>
            </w:r>
          </w:p>
        </w:tc>
        <w:tc>
          <w:tcPr>
            <w:tcW w:w="735" w:type="dxa"/>
            <w:tcBorders>
              <w:top w:val="single" w:sz="8" w:space="0" w:color="auto"/>
              <w:left w:val="nil"/>
              <w:bottom w:val="single" w:sz="4" w:space="0" w:color="auto"/>
              <w:right w:val="single" w:sz="8" w:space="0" w:color="auto"/>
            </w:tcBorders>
            <w:shd w:val="clear" w:color="auto" w:fill="auto"/>
            <w:noWrap/>
            <w:vAlign w:val="center"/>
            <w:hideMark/>
          </w:tcPr>
          <w:p w14:paraId="15B2901A"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w:t>
            </w:r>
          </w:p>
        </w:tc>
        <w:tc>
          <w:tcPr>
            <w:tcW w:w="1011" w:type="dxa"/>
            <w:tcBorders>
              <w:top w:val="single" w:sz="8" w:space="0" w:color="auto"/>
              <w:left w:val="nil"/>
              <w:bottom w:val="single" w:sz="4" w:space="0" w:color="auto"/>
              <w:right w:val="single" w:sz="4" w:space="0" w:color="auto"/>
            </w:tcBorders>
            <w:shd w:val="clear" w:color="auto" w:fill="auto"/>
            <w:noWrap/>
            <w:vAlign w:val="center"/>
            <w:hideMark/>
          </w:tcPr>
          <w:p w14:paraId="7E4EECD0"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0.18 %</w:t>
            </w:r>
          </w:p>
        </w:tc>
        <w:tc>
          <w:tcPr>
            <w:tcW w:w="1011" w:type="dxa"/>
            <w:tcBorders>
              <w:top w:val="single" w:sz="8" w:space="0" w:color="auto"/>
              <w:left w:val="nil"/>
              <w:bottom w:val="single" w:sz="4" w:space="0" w:color="auto"/>
              <w:right w:val="single" w:sz="8" w:space="0" w:color="auto"/>
            </w:tcBorders>
            <w:shd w:val="clear" w:color="auto" w:fill="auto"/>
            <w:noWrap/>
            <w:vAlign w:val="center"/>
            <w:hideMark/>
          </w:tcPr>
          <w:p w14:paraId="34DFF0AF"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0.43 %</w:t>
            </w:r>
          </w:p>
        </w:tc>
        <w:tc>
          <w:tcPr>
            <w:tcW w:w="1011" w:type="dxa"/>
            <w:tcBorders>
              <w:top w:val="single" w:sz="8" w:space="0" w:color="auto"/>
              <w:left w:val="nil"/>
              <w:bottom w:val="single" w:sz="4" w:space="0" w:color="auto"/>
              <w:right w:val="single" w:sz="4" w:space="0" w:color="auto"/>
            </w:tcBorders>
            <w:shd w:val="clear" w:color="auto" w:fill="auto"/>
            <w:noWrap/>
            <w:vAlign w:val="center"/>
            <w:hideMark/>
          </w:tcPr>
          <w:p w14:paraId="0E212CA3"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0.30 %</w:t>
            </w:r>
          </w:p>
        </w:tc>
        <w:tc>
          <w:tcPr>
            <w:tcW w:w="1011" w:type="dxa"/>
            <w:tcBorders>
              <w:top w:val="single" w:sz="8" w:space="0" w:color="auto"/>
              <w:left w:val="nil"/>
              <w:bottom w:val="single" w:sz="4" w:space="0" w:color="auto"/>
              <w:right w:val="single" w:sz="8" w:space="0" w:color="auto"/>
            </w:tcBorders>
            <w:shd w:val="clear" w:color="auto" w:fill="auto"/>
            <w:noWrap/>
            <w:vAlign w:val="center"/>
            <w:hideMark/>
          </w:tcPr>
          <w:p w14:paraId="29BA327F"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2.98 %</w:t>
            </w:r>
          </w:p>
        </w:tc>
        <w:tc>
          <w:tcPr>
            <w:tcW w:w="1011" w:type="dxa"/>
            <w:tcBorders>
              <w:top w:val="single" w:sz="8" w:space="0" w:color="auto"/>
              <w:left w:val="nil"/>
              <w:bottom w:val="single" w:sz="4" w:space="0" w:color="auto"/>
              <w:right w:val="single" w:sz="4" w:space="0" w:color="auto"/>
            </w:tcBorders>
            <w:shd w:val="clear" w:color="auto" w:fill="auto"/>
            <w:noWrap/>
            <w:vAlign w:val="center"/>
            <w:hideMark/>
          </w:tcPr>
          <w:p w14:paraId="672FFE56"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0.31 %</w:t>
            </w:r>
          </w:p>
        </w:tc>
        <w:tc>
          <w:tcPr>
            <w:tcW w:w="1011" w:type="dxa"/>
            <w:tcBorders>
              <w:top w:val="single" w:sz="8" w:space="0" w:color="auto"/>
              <w:left w:val="nil"/>
              <w:bottom w:val="single" w:sz="4" w:space="0" w:color="auto"/>
              <w:right w:val="single" w:sz="8" w:space="0" w:color="auto"/>
            </w:tcBorders>
            <w:shd w:val="clear" w:color="auto" w:fill="auto"/>
            <w:noWrap/>
            <w:vAlign w:val="center"/>
            <w:hideMark/>
          </w:tcPr>
          <w:p w14:paraId="373D1F08"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3.03 %</w:t>
            </w:r>
          </w:p>
        </w:tc>
      </w:tr>
      <w:tr w:rsidR="00A85E8F" w14:paraId="3ABF9B0B" w14:textId="77777777" w:rsidTr="007A6398">
        <w:trPr>
          <w:trHeight w:val="304"/>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68EA4"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256</w:t>
            </w:r>
          </w:p>
        </w:tc>
        <w:tc>
          <w:tcPr>
            <w:tcW w:w="781" w:type="dxa"/>
            <w:tcBorders>
              <w:top w:val="nil"/>
              <w:left w:val="nil"/>
              <w:bottom w:val="single" w:sz="4" w:space="0" w:color="auto"/>
              <w:right w:val="single" w:sz="4" w:space="0" w:color="auto"/>
            </w:tcBorders>
            <w:shd w:val="clear" w:color="auto" w:fill="auto"/>
            <w:noWrap/>
            <w:vAlign w:val="center"/>
            <w:hideMark/>
          </w:tcPr>
          <w:p w14:paraId="52DB127A"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50</w:t>
            </w:r>
          </w:p>
        </w:tc>
        <w:tc>
          <w:tcPr>
            <w:tcW w:w="735" w:type="dxa"/>
            <w:tcBorders>
              <w:top w:val="nil"/>
              <w:left w:val="nil"/>
              <w:bottom w:val="single" w:sz="4" w:space="0" w:color="auto"/>
              <w:right w:val="single" w:sz="4" w:space="0" w:color="auto"/>
            </w:tcBorders>
            <w:shd w:val="clear" w:color="auto" w:fill="auto"/>
            <w:noWrap/>
            <w:vAlign w:val="center"/>
            <w:hideMark/>
          </w:tcPr>
          <w:p w14:paraId="3960B78D"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15</w:t>
            </w:r>
          </w:p>
        </w:tc>
        <w:tc>
          <w:tcPr>
            <w:tcW w:w="735" w:type="dxa"/>
            <w:tcBorders>
              <w:top w:val="nil"/>
              <w:left w:val="nil"/>
              <w:bottom w:val="single" w:sz="4" w:space="0" w:color="auto"/>
              <w:right w:val="single" w:sz="8" w:space="0" w:color="auto"/>
            </w:tcBorders>
            <w:shd w:val="clear" w:color="auto" w:fill="auto"/>
            <w:noWrap/>
            <w:vAlign w:val="center"/>
            <w:hideMark/>
          </w:tcPr>
          <w:p w14:paraId="4E6E5EE9"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w:t>
            </w:r>
          </w:p>
        </w:tc>
        <w:tc>
          <w:tcPr>
            <w:tcW w:w="1011" w:type="dxa"/>
            <w:tcBorders>
              <w:top w:val="nil"/>
              <w:left w:val="nil"/>
              <w:bottom w:val="single" w:sz="4" w:space="0" w:color="auto"/>
              <w:right w:val="single" w:sz="4" w:space="0" w:color="auto"/>
            </w:tcBorders>
            <w:shd w:val="clear" w:color="auto" w:fill="auto"/>
            <w:noWrap/>
            <w:vAlign w:val="center"/>
            <w:hideMark/>
          </w:tcPr>
          <w:p w14:paraId="7B3BDD71"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0.17 %</w:t>
            </w:r>
          </w:p>
        </w:tc>
        <w:tc>
          <w:tcPr>
            <w:tcW w:w="1011" w:type="dxa"/>
            <w:tcBorders>
              <w:top w:val="nil"/>
              <w:left w:val="nil"/>
              <w:bottom w:val="single" w:sz="4" w:space="0" w:color="auto"/>
              <w:right w:val="single" w:sz="8" w:space="0" w:color="auto"/>
            </w:tcBorders>
            <w:shd w:val="clear" w:color="auto" w:fill="auto"/>
            <w:noWrap/>
            <w:vAlign w:val="center"/>
            <w:hideMark/>
          </w:tcPr>
          <w:p w14:paraId="42AB3F39"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0.38 %</w:t>
            </w:r>
          </w:p>
        </w:tc>
        <w:tc>
          <w:tcPr>
            <w:tcW w:w="1011" w:type="dxa"/>
            <w:tcBorders>
              <w:top w:val="nil"/>
              <w:left w:val="nil"/>
              <w:bottom w:val="single" w:sz="4" w:space="0" w:color="auto"/>
              <w:right w:val="single" w:sz="4" w:space="0" w:color="auto"/>
            </w:tcBorders>
            <w:shd w:val="clear" w:color="auto" w:fill="auto"/>
            <w:noWrap/>
            <w:vAlign w:val="center"/>
            <w:hideMark/>
          </w:tcPr>
          <w:p w14:paraId="3EA53B42"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0.25 %</w:t>
            </w:r>
          </w:p>
        </w:tc>
        <w:tc>
          <w:tcPr>
            <w:tcW w:w="1011" w:type="dxa"/>
            <w:tcBorders>
              <w:top w:val="nil"/>
              <w:left w:val="nil"/>
              <w:bottom w:val="single" w:sz="4" w:space="0" w:color="auto"/>
              <w:right w:val="single" w:sz="8" w:space="0" w:color="auto"/>
            </w:tcBorders>
            <w:shd w:val="clear" w:color="auto" w:fill="auto"/>
            <w:noWrap/>
            <w:vAlign w:val="center"/>
            <w:hideMark/>
          </w:tcPr>
          <w:p w14:paraId="63DF2CBD"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2.95 %</w:t>
            </w:r>
          </w:p>
        </w:tc>
        <w:tc>
          <w:tcPr>
            <w:tcW w:w="1011" w:type="dxa"/>
            <w:tcBorders>
              <w:top w:val="nil"/>
              <w:left w:val="nil"/>
              <w:bottom w:val="single" w:sz="4" w:space="0" w:color="auto"/>
              <w:right w:val="single" w:sz="4" w:space="0" w:color="auto"/>
            </w:tcBorders>
            <w:shd w:val="clear" w:color="auto" w:fill="auto"/>
            <w:noWrap/>
            <w:vAlign w:val="center"/>
            <w:hideMark/>
          </w:tcPr>
          <w:p w14:paraId="03C43FBB"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0.27 %</w:t>
            </w:r>
          </w:p>
        </w:tc>
        <w:tc>
          <w:tcPr>
            <w:tcW w:w="1011" w:type="dxa"/>
            <w:tcBorders>
              <w:top w:val="nil"/>
              <w:left w:val="nil"/>
              <w:bottom w:val="single" w:sz="4" w:space="0" w:color="auto"/>
              <w:right w:val="single" w:sz="8" w:space="0" w:color="auto"/>
            </w:tcBorders>
            <w:shd w:val="clear" w:color="auto" w:fill="auto"/>
            <w:noWrap/>
            <w:vAlign w:val="center"/>
            <w:hideMark/>
          </w:tcPr>
          <w:p w14:paraId="1ACDA015"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2.99 %</w:t>
            </w:r>
          </w:p>
        </w:tc>
      </w:tr>
      <w:tr w:rsidR="00A85E8F" w14:paraId="308BA428" w14:textId="77777777" w:rsidTr="007A6398">
        <w:trPr>
          <w:trHeight w:val="304"/>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9AB95"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256</w:t>
            </w:r>
          </w:p>
        </w:tc>
        <w:tc>
          <w:tcPr>
            <w:tcW w:w="781" w:type="dxa"/>
            <w:tcBorders>
              <w:top w:val="nil"/>
              <w:left w:val="nil"/>
              <w:bottom w:val="single" w:sz="4" w:space="0" w:color="auto"/>
              <w:right w:val="single" w:sz="4" w:space="0" w:color="auto"/>
            </w:tcBorders>
            <w:shd w:val="clear" w:color="auto" w:fill="auto"/>
            <w:noWrap/>
            <w:vAlign w:val="center"/>
            <w:hideMark/>
          </w:tcPr>
          <w:p w14:paraId="1A887881"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50</w:t>
            </w:r>
          </w:p>
        </w:tc>
        <w:tc>
          <w:tcPr>
            <w:tcW w:w="735" w:type="dxa"/>
            <w:tcBorders>
              <w:top w:val="nil"/>
              <w:left w:val="nil"/>
              <w:bottom w:val="single" w:sz="4" w:space="0" w:color="auto"/>
              <w:right w:val="single" w:sz="4" w:space="0" w:color="auto"/>
            </w:tcBorders>
            <w:shd w:val="clear" w:color="auto" w:fill="auto"/>
            <w:noWrap/>
            <w:vAlign w:val="center"/>
            <w:hideMark/>
          </w:tcPr>
          <w:p w14:paraId="0083ACA2"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15</w:t>
            </w:r>
          </w:p>
        </w:tc>
        <w:tc>
          <w:tcPr>
            <w:tcW w:w="735" w:type="dxa"/>
            <w:tcBorders>
              <w:top w:val="nil"/>
              <w:left w:val="nil"/>
              <w:bottom w:val="single" w:sz="4" w:space="0" w:color="auto"/>
              <w:right w:val="single" w:sz="8" w:space="0" w:color="auto"/>
            </w:tcBorders>
            <w:shd w:val="clear" w:color="auto" w:fill="auto"/>
            <w:noWrap/>
            <w:vAlign w:val="center"/>
            <w:hideMark/>
          </w:tcPr>
          <w:p w14:paraId="56826611"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w:t>
            </w:r>
          </w:p>
        </w:tc>
        <w:tc>
          <w:tcPr>
            <w:tcW w:w="1011" w:type="dxa"/>
            <w:tcBorders>
              <w:top w:val="nil"/>
              <w:left w:val="nil"/>
              <w:bottom w:val="single" w:sz="4" w:space="0" w:color="auto"/>
              <w:right w:val="single" w:sz="4" w:space="0" w:color="auto"/>
            </w:tcBorders>
            <w:shd w:val="clear" w:color="auto" w:fill="auto"/>
            <w:noWrap/>
            <w:vAlign w:val="center"/>
            <w:hideMark/>
          </w:tcPr>
          <w:p w14:paraId="63928240"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0.17 %</w:t>
            </w:r>
          </w:p>
        </w:tc>
        <w:tc>
          <w:tcPr>
            <w:tcW w:w="1011" w:type="dxa"/>
            <w:tcBorders>
              <w:top w:val="nil"/>
              <w:left w:val="nil"/>
              <w:bottom w:val="single" w:sz="4" w:space="0" w:color="auto"/>
              <w:right w:val="single" w:sz="8" w:space="0" w:color="auto"/>
            </w:tcBorders>
            <w:shd w:val="clear" w:color="auto" w:fill="auto"/>
            <w:noWrap/>
            <w:vAlign w:val="center"/>
            <w:hideMark/>
          </w:tcPr>
          <w:p w14:paraId="069BC205"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0.38 %</w:t>
            </w:r>
          </w:p>
        </w:tc>
        <w:tc>
          <w:tcPr>
            <w:tcW w:w="1011" w:type="dxa"/>
            <w:tcBorders>
              <w:top w:val="nil"/>
              <w:left w:val="nil"/>
              <w:bottom w:val="single" w:sz="4" w:space="0" w:color="auto"/>
              <w:right w:val="single" w:sz="4" w:space="0" w:color="auto"/>
            </w:tcBorders>
            <w:shd w:val="clear" w:color="auto" w:fill="auto"/>
            <w:noWrap/>
            <w:vAlign w:val="center"/>
            <w:hideMark/>
          </w:tcPr>
          <w:p w14:paraId="206EFB75"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0.23 %</w:t>
            </w:r>
          </w:p>
        </w:tc>
        <w:tc>
          <w:tcPr>
            <w:tcW w:w="1011" w:type="dxa"/>
            <w:tcBorders>
              <w:top w:val="nil"/>
              <w:left w:val="nil"/>
              <w:bottom w:val="single" w:sz="4" w:space="0" w:color="auto"/>
              <w:right w:val="single" w:sz="8" w:space="0" w:color="auto"/>
            </w:tcBorders>
            <w:shd w:val="clear" w:color="auto" w:fill="auto"/>
            <w:noWrap/>
            <w:vAlign w:val="center"/>
            <w:hideMark/>
          </w:tcPr>
          <w:p w14:paraId="5CB16F79"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2.89 %</w:t>
            </w:r>
          </w:p>
        </w:tc>
        <w:tc>
          <w:tcPr>
            <w:tcW w:w="1011" w:type="dxa"/>
            <w:tcBorders>
              <w:top w:val="nil"/>
              <w:left w:val="nil"/>
              <w:bottom w:val="single" w:sz="4" w:space="0" w:color="auto"/>
              <w:right w:val="single" w:sz="4" w:space="0" w:color="auto"/>
            </w:tcBorders>
            <w:shd w:val="clear" w:color="auto" w:fill="auto"/>
            <w:noWrap/>
            <w:vAlign w:val="center"/>
            <w:hideMark/>
          </w:tcPr>
          <w:p w14:paraId="1E0E6919"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0.25 %</w:t>
            </w:r>
          </w:p>
        </w:tc>
        <w:tc>
          <w:tcPr>
            <w:tcW w:w="1011" w:type="dxa"/>
            <w:tcBorders>
              <w:top w:val="nil"/>
              <w:left w:val="nil"/>
              <w:bottom w:val="single" w:sz="4" w:space="0" w:color="auto"/>
              <w:right w:val="single" w:sz="8" w:space="0" w:color="auto"/>
            </w:tcBorders>
            <w:shd w:val="clear" w:color="auto" w:fill="auto"/>
            <w:noWrap/>
            <w:vAlign w:val="center"/>
            <w:hideMark/>
          </w:tcPr>
          <w:p w14:paraId="29E2AC64"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2.95 %</w:t>
            </w:r>
          </w:p>
        </w:tc>
      </w:tr>
      <w:tr w:rsidR="00A85E8F" w14:paraId="13E1ADB0" w14:textId="77777777" w:rsidTr="007A6398">
        <w:trPr>
          <w:trHeight w:val="304"/>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E01D6"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256</w:t>
            </w:r>
          </w:p>
        </w:tc>
        <w:tc>
          <w:tcPr>
            <w:tcW w:w="781" w:type="dxa"/>
            <w:tcBorders>
              <w:top w:val="nil"/>
              <w:left w:val="nil"/>
              <w:bottom w:val="single" w:sz="4" w:space="0" w:color="auto"/>
              <w:right w:val="single" w:sz="4" w:space="0" w:color="auto"/>
            </w:tcBorders>
            <w:shd w:val="clear" w:color="auto" w:fill="auto"/>
            <w:noWrap/>
            <w:vAlign w:val="center"/>
            <w:hideMark/>
          </w:tcPr>
          <w:p w14:paraId="515953E5"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50</w:t>
            </w:r>
          </w:p>
        </w:tc>
        <w:tc>
          <w:tcPr>
            <w:tcW w:w="735" w:type="dxa"/>
            <w:tcBorders>
              <w:top w:val="nil"/>
              <w:left w:val="nil"/>
              <w:bottom w:val="single" w:sz="4" w:space="0" w:color="auto"/>
              <w:right w:val="single" w:sz="4" w:space="0" w:color="auto"/>
            </w:tcBorders>
            <w:shd w:val="clear" w:color="auto" w:fill="auto"/>
            <w:noWrap/>
            <w:vAlign w:val="center"/>
            <w:hideMark/>
          </w:tcPr>
          <w:p w14:paraId="6AF45A45"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30</w:t>
            </w:r>
          </w:p>
        </w:tc>
        <w:tc>
          <w:tcPr>
            <w:tcW w:w="735" w:type="dxa"/>
            <w:tcBorders>
              <w:top w:val="nil"/>
              <w:left w:val="nil"/>
              <w:bottom w:val="single" w:sz="4" w:space="0" w:color="auto"/>
              <w:right w:val="single" w:sz="8" w:space="0" w:color="auto"/>
            </w:tcBorders>
            <w:shd w:val="clear" w:color="auto" w:fill="auto"/>
            <w:noWrap/>
            <w:vAlign w:val="center"/>
            <w:hideMark/>
          </w:tcPr>
          <w:p w14:paraId="3B38005A"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w:t>
            </w:r>
          </w:p>
        </w:tc>
        <w:tc>
          <w:tcPr>
            <w:tcW w:w="1011" w:type="dxa"/>
            <w:tcBorders>
              <w:top w:val="nil"/>
              <w:left w:val="nil"/>
              <w:bottom w:val="single" w:sz="4" w:space="0" w:color="auto"/>
              <w:right w:val="single" w:sz="4" w:space="0" w:color="auto"/>
            </w:tcBorders>
            <w:shd w:val="clear" w:color="auto" w:fill="auto"/>
            <w:noWrap/>
            <w:vAlign w:val="center"/>
            <w:hideMark/>
          </w:tcPr>
          <w:p w14:paraId="6E725D20"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0.19 %</w:t>
            </w:r>
          </w:p>
        </w:tc>
        <w:tc>
          <w:tcPr>
            <w:tcW w:w="1011" w:type="dxa"/>
            <w:tcBorders>
              <w:top w:val="nil"/>
              <w:left w:val="nil"/>
              <w:bottom w:val="single" w:sz="4" w:space="0" w:color="auto"/>
              <w:right w:val="single" w:sz="8" w:space="0" w:color="auto"/>
            </w:tcBorders>
            <w:shd w:val="clear" w:color="auto" w:fill="auto"/>
            <w:noWrap/>
            <w:vAlign w:val="center"/>
            <w:hideMark/>
          </w:tcPr>
          <w:p w14:paraId="346B8C10"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0.41 %</w:t>
            </w:r>
          </w:p>
        </w:tc>
        <w:tc>
          <w:tcPr>
            <w:tcW w:w="1011" w:type="dxa"/>
            <w:tcBorders>
              <w:top w:val="nil"/>
              <w:left w:val="nil"/>
              <w:bottom w:val="single" w:sz="4" w:space="0" w:color="auto"/>
              <w:right w:val="single" w:sz="4" w:space="0" w:color="auto"/>
            </w:tcBorders>
            <w:shd w:val="clear" w:color="auto" w:fill="auto"/>
            <w:noWrap/>
            <w:vAlign w:val="center"/>
            <w:hideMark/>
          </w:tcPr>
          <w:p w14:paraId="1CE909F9"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0.27 %</w:t>
            </w:r>
          </w:p>
        </w:tc>
        <w:tc>
          <w:tcPr>
            <w:tcW w:w="1011" w:type="dxa"/>
            <w:tcBorders>
              <w:top w:val="nil"/>
              <w:left w:val="nil"/>
              <w:bottom w:val="single" w:sz="4" w:space="0" w:color="auto"/>
              <w:right w:val="single" w:sz="8" w:space="0" w:color="auto"/>
            </w:tcBorders>
            <w:shd w:val="clear" w:color="auto" w:fill="auto"/>
            <w:noWrap/>
            <w:vAlign w:val="center"/>
            <w:hideMark/>
          </w:tcPr>
          <w:p w14:paraId="333045DD"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3.00 %</w:t>
            </w:r>
          </w:p>
        </w:tc>
        <w:tc>
          <w:tcPr>
            <w:tcW w:w="1011" w:type="dxa"/>
            <w:tcBorders>
              <w:top w:val="nil"/>
              <w:left w:val="nil"/>
              <w:bottom w:val="single" w:sz="4" w:space="0" w:color="auto"/>
              <w:right w:val="single" w:sz="4" w:space="0" w:color="auto"/>
            </w:tcBorders>
            <w:shd w:val="clear" w:color="auto" w:fill="auto"/>
            <w:noWrap/>
            <w:vAlign w:val="center"/>
            <w:hideMark/>
          </w:tcPr>
          <w:p w14:paraId="5DF4EFCC"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0.31 %</w:t>
            </w:r>
          </w:p>
        </w:tc>
        <w:tc>
          <w:tcPr>
            <w:tcW w:w="1011" w:type="dxa"/>
            <w:tcBorders>
              <w:top w:val="nil"/>
              <w:left w:val="nil"/>
              <w:bottom w:val="single" w:sz="4" w:space="0" w:color="auto"/>
              <w:right w:val="single" w:sz="8" w:space="0" w:color="auto"/>
            </w:tcBorders>
            <w:shd w:val="clear" w:color="auto" w:fill="auto"/>
            <w:noWrap/>
            <w:vAlign w:val="center"/>
            <w:hideMark/>
          </w:tcPr>
          <w:p w14:paraId="18A04E03"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3.03 %</w:t>
            </w:r>
          </w:p>
        </w:tc>
      </w:tr>
      <w:tr w:rsidR="00A85E8F" w14:paraId="2ACF6E58" w14:textId="77777777" w:rsidTr="007A6398">
        <w:trPr>
          <w:trHeight w:val="304"/>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0471A"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256</w:t>
            </w:r>
          </w:p>
        </w:tc>
        <w:tc>
          <w:tcPr>
            <w:tcW w:w="781" w:type="dxa"/>
            <w:tcBorders>
              <w:top w:val="nil"/>
              <w:left w:val="nil"/>
              <w:bottom w:val="single" w:sz="4" w:space="0" w:color="auto"/>
              <w:right w:val="single" w:sz="4" w:space="0" w:color="auto"/>
            </w:tcBorders>
            <w:shd w:val="clear" w:color="auto" w:fill="auto"/>
            <w:noWrap/>
            <w:vAlign w:val="center"/>
            <w:hideMark/>
          </w:tcPr>
          <w:p w14:paraId="08A49142"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50</w:t>
            </w:r>
          </w:p>
        </w:tc>
        <w:tc>
          <w:tcPr>
            <w:tcW w:w="735" w:type="dxa"/>
            <w:tcBorders>
              <w:top w:val="nil"/>
              <w:left w:val="nil"/>
              <w:bottom w:val="single" w:sz="4" w:space="0" w:color="auto"/>
              <w:right w:val="single" w:sz="4" w:space="0" w:color="auto"/>
            </w:tcBorders>
            <w:shd w:val="clear" w:color="auto" w:fill="auto"/>
            <w:noWrap/>
            <w:vAlign w:val="center"/>
            <w:hideMark/>
          </w:tcPr>
          <w:p w14:paraId="2C65382A"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30</w:t>
            </w:r>
          </w:p>
        </w:tc>
        <w:tc>
          <w:tcPr>
            <w:tcW w:w="735" w:type="dxa"/>
            <w:tcBorders>
              <w:top w:val="nil"/>
              <w:left w:val="nil"/>
              <w:bottom w:val="single" w:sz="4" w:space="0" w:color="auto"/>
              <w:right w:val="single" w:sz="8" w:space="0" w:color="auto"/>
            </w:tcBorders>
            <w:shd w:val="clear" w:color="auto" w:fill="auto"/>
            <w:noWrap/>
            <w:vAlign w:val="center"/>
            <w:hideMark/>
          </w:tcPr>
          <w:p w14:paraId="42287D06"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w:t>
            </w:r>
          </w:p>
        </w:tc>
        <w:tc>
          <w:tcPr>
            <w:tcW w:w="1011" w:type="dxa"/>
            <w:tcBorders>
              <w:top w:val="nil"/>
              <w:left w:val="nil"/>
              <w:bottom w:val="single" w:sz="4" w:space="0" w:color="auto"/>
              <w:right w:val="single" w:sz="4" w:space="0" w:color="auto"/>
            </w:tcBorders>
            <w:shd w:val="clear" w:color="auto" w:fill="auto"/>
            <w:noWrap/>
            <w:vAlign w:val="center"/>
            <w:hideMark/>
          </w:tcPr>
          <w:p w14:paraId="265119E3"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0.17 %</w:t>
            </w:r>
          </w:p>
        </w:tc>
        <w:tc>
          <w:tcPr>
            <w:tcW w:w="1011" w:type="dxa"/>
            <w:tcBorders>
              <w:top w:val="nil"/>
              <w:left w:val="nil"/>
              <w:bottom w:val="single" w:sz="4" w:space="0" w:color="auto"/>
              <w:right w:val="single" w:sz="8" w:space="0" w:color="auto"/>
            </w:tcBorders>
            <w:shd w:val="clear" w:color="auto" w:fill="auto"/>
            <w:noWrap/>
            <w:vAlign w:val="center"/>
            <w:hideMark/>
          </w:tcPr>
          <w:p w14:paraId="105AD09E"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0.39 %</w:t>
            </w:r>
          </w:p>
        </w:tc>
        <w:tc>
          <w:tcPr>
            <w:tcW w:w="1011" w:type="dxa"/>
            <w:tcBorders>
              <w:top w:val="nil"/>
              <w:left w:val="nil"/>
              <w:bottom w:val="single" w:sz="4" w:space="0" w:color="auto"/>
              <w:right w:val="single" w:sz="4" w:space="0" w:color="auto"/>
            </w:tcBorders>
            <w:shd w:val="clear" w:color="auto" w:fill="auto"/>
            <w:noWrap/>
            <w:vAlign w:val="center"/>
            <w:hideMark/>
          </w:tcPr>
          <w:p w14:paraId="0701E4E4"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0.26 %</w:t>
            </w:r>
          </w:p>
        </w:tc>
        <w:tc>
          <w:tcPr>
            <w:tcW w:w="1011" w:type="dxa"/>
            <w:tcBorders>
              <w:top w:val="nil"/>
              <w:left w:val="nil"/>
              <w:bottom w:val="single" w:sz="4" w:space="0" w:color="auto"/>
              <w:right w:val="single" w:sz="8" w:space="0" w:color="auto"/>
            </w:tcBorders>
            <w:shd w:val="clear" w:color="auto" w:fill="auto"/>
            <w:noWrap/>
            <w:vAlign w:val="center"/>
            <w:hideMark/>
          </w:tcPr>
          <w:p w14:paraId="6EB6A7BD"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2.98 %</w:t>
            </w:r>
          </w:p>
        </w:tc>
        <w:tc>
          <w:tcPr>
            <w:tcW w:w="1011" w:type="dxa"/>
            <w:tcBorders>
              <w:top w:val="nil"/>
              <w:left w:val="nil"/>
              <w:bottom w:val="single" w:sz="4" w:space="0" w:color="auto"/>
              <w:right w:val="single" w:sz="4" w:space="0" w:color="auto"/>
            </w:tcBorders>
            <w:shd w:val="clear" w:color="auto" w:fill="auto"/>
            <w:noWrap/>
            <w:vAlign w:val="center"/>
            <w:hideMark/>
          </w:tcPr>
          <w:p w14:paraId="704DDE3D"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0.25 %</w:t>
            </w:r>
          </w:p>
        </w:tc>
        <w:tc>
          <w:tcPr>
            <w:tcW w:w="1011" w:type="dxa"/>
            <w:tcBorders>
              <w:top w:val="nil"/>
              <w:left w:val="nil"/>
              <w:bottom w:val="single" w:sz="4" w:space="0" w:color="auto"/>
              <w:right w:val="single" w:sz="8" w:space="0" w:color="auto"/>
            </w:tcBorders>
            <w:shd w:val="clear" w:color="auto" w:fill="auto"/>
            <w:noWrap/>
            <w:vAlign w:val="center"/>
            <w:hideMark/>
          </w:tcPr>
          <w:p w14:paraId="7653CF9B"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2.95 %</w:t>
            </w:r>
          </w:p>
        </w:tc>
      </w:tr>
      <w:tr w:rsidR="00A85E8F" w14:paraId="19978154" w14:textId="77777777" w:rsidTr="007A6398">
        <w:trPr>
          <w:trHeight w:val="304"/>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70F60"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256</w:t>
            </w:r>
          </w:p>
        </w:tc>
        <w:tc>
          <w:tcPr>
            <w:tcW w:w="781" w:type="dxa"/>
            <w:tcBorders>
              <w:top w:val="nil"/>
              <w:left w:val="nil"/>
              <w:bottom w:val="single" w:sz="4" w:space="0" w:color="auto"/>
              <w:right w:val="single" w:sz="4" w:space="0" w:color="auto"/>
            </w:tcBorders>
            <w:shd w:val="clear" w:color="auto" w:fill="auto"/>
            <w:noWrap/>
            <w:vAlign w:val="center"/>
            <w:hideMark/>
          </w:tcPr>
          <w:p w14:paraId="64D58D8B"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50</w:t>
            </w:r>
          </w:p>
        </w:tc>
        <w:tc>
          <w:tcPr>
            <w:tcW w:w="735" w:type="dxa"/>
            <w:tcBorders>
              <w:top w:val="nil"/>
              <w:left w:val="nil"/>
              <w:bottom w:val="single" w:sz="4" w:space="0" w:color="auto"/>
              <w:right w:val="single" w:sz="4" w:space="0" w:color="auto"/>
            </w:tcBorders>
            <w:shd w:val="clear" w:color="auto" w:fill="auto"/>
            <w:noWrap/>
            <w:vAlign w:val="center"/>
            <w:hideMark/>
          </w:tcPr>
          <w:p w14:paraId="6FA40C1F"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30</w:t>
            </w:r>
          </w:p>
        </w:tc>
        <w:tc>
          <w:tcPr>
            <w:tcW w:w="735" w:type="dxa"/>
            <w:tcBorders>
              <w:top w:val="nil"/>
              <w:left w:val="nil"/>
              <w:bottom w:val="single" w:sz="4" w:space="0" w:color="auto"/>
              <w:right w:val="single" w:sz="8" w:space="0" w:color="auto"/>
            </w:tcBorders>
            <w:shd w:val="clear" w:color="auto" w:fill="auto"/>
            <w:noWrap/>
            <w:vAlign w:val="center"/>
            <w:hideMark/>
          </w:tcPr>
          <w:p w14:paraId="0372006B"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w:t>
            </w:r>
          </w:p>
        </w:tc>
        <w:tc>
          <w:tcPr>
            <w:tcW w:w="1011" w:type="dxa"/>
            <w:tcBorders>
              <w:top w:val="nil"/>
              <w:left w:val="nil"/>
              <w:bottom w:val="single" w:sz="4" w:space="0" w:color="auto"/>
              <w:right w:val="single" w:sz="4" w:space="0" w:color="auto"/>
            </w:tcBorders>
            <w:shd w:val="clear" w:color="auto" w:fill="auto"/>
            <w:noWrap/>
            <w:vAlign w:val="center"/>
            <w:hideMark/>
          </w:tcPr>
          <w:p w14:paraId="4786C5CA"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0.18 %</w:t>
            </w:r>
          </w:p>
        </w:tc>
        <w:tc>
          <w:tcPr>
            <w:tcW w:w="1011" w:type="dxa"/>
            <w:tcBorders>
              <w:top w:val="nil"/>
              <w:left w:val="nil"/>
              <w:bottom w:val="single" w:sz="4" w:space="0" w:color="auto"/>
              <w:right w:val="single" w:sz="8" w:space="0" w:color="auto"/>
            </w:tcBorders>
            <w:shd w:val="clear" w:color="auto" w:fill="auto"/>
            <w:noWrap/>
            <w:vAlign w:val="center"/>
            <w:hideMark/>
          </w:tcPr>
          <w:p w14:paraId="185EA3B6"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0.38 %</w:t>
            </w:r>
          </w:p>
        </w:tc>
        <w:tc>
          <w:tcPr>
            <w:tcW w:w="1011" w:type="dxa"/>
            <w:tcBorders>
              <w:top w:val="nil"/>
              <w:left w:val="nil"/>
              <w:bottom w:val="single" w:sz="4" w:space="0" w:color="auto"/>
              <w:right w:val="single" w:sz="4" w:space="0" w:color="auto"/>
            </w:tcBorders>
            <w:shd w:val="clear" w:color="auto" w:fill="auto"/>
            <w:noWrap/>
            <w:vAlign w:val="center"/>
            <w:hideMark/>
          </w:tcPr>
          <w:p w14:paraId="01BB41FB"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0.23 %</w:t>
            </w:r>
          </w:p>
        </w:tc>
        <w:tc>
          <w:tcPr>
            <w:tcW w:w="1011" w:type="dxa"/>
            <w:tcBorders>
              <w:top w:val="nil"/>
              <w:left w:val="nil"/>
              <w:bottom w:val="single" w:sz="4" w:space="0" w:color="auto"/>
              <w:right w:val="single" w:sz="8" w:space="0" w:color="auto"/>
            </w:tcBorders>
            <w:shd w:val="clear" w:color="auto" w:fill="auto"/>
            <w:noWrap/>
            <w:vAlign w:val="center"/>
            <w:hideMark/>
          </w:tcPr>
          <w:p w14:paraId="07DEEAE4"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2.90 %</w:t>
            </w:r>
          </w:p>
        </w:tc>
        <w:tc>
          <w:tcPr>
            <w:tcW w:w="1011" w:type="dxa"/>
            <w:tcBorders>
              <w:top w:val="nil"/>
              <w:left w:val="nil"/>
              <w:bottom w:val="single" w:sz="4" w:space="0" w:color="auto"/>
              <w:right w:val="single" w:sz="4" w:space="0" w:color="auto"/>
            </w:tcBorders>
            <w:shd w:val="clear" w:color="auto" w:fill="auto"/>
            <w:noWrap/>
            <w:vAlign w:val="center"/>
            <w:hideMark/>
          </w:tcPr>
          <w:p w14:paraId="0DE5E2DB"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0.25 %</w:t>
            </w:r>
          </w:p>
        </w:tc>
        <w:tc>
          <w:tcPr>
            <w:tcW w:w="1011" w:type="dxa"/>
            <w:tcBorders>
              <w:top w:val="nil"/>
              <w:left w:val="nil"/>
              <w:bottom w:val="single" w:sz="4" w:space="0" w:color="auto"/>
              <w:right w:val="single" w:sz="8" w:space="0" w:color="auto"/>
            </w:tcBorders>
            <w:shd w:val="clear" w:color="auto" w:fill="auto"/>
            <w:noWrap/>
            <w:vAlign w:val="center"/>
            <w:hideMark/>
          </w:tcPr>
          <w:p w14:paraId="473CB49B"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2.94 %</w:t>
            </w:r>
          </w:p>
        </w:tc>
      </w:tr>
      <w:tr w:rsidR="00537A10" w14:paraId="49FF5ECF" w14:textId="77777777" w:rsidTr="007A6398">
        <w:trPr>
          <w:trHeight w:val="304"/>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14C53"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256</w:t>
            </w:r>
          </w:p>
        </w:tc>
        <w:tc>
          <w:tcPr>
            <w:tcW w:w="781" w:type="dxa"/>
            <w:tcBorders>
              <w:top w:val="nil"/>
              <w:left w:val="nil"/>
              <w:bottom w:val="single" w:sz="4" w:space="0" w:color="auto"/>
              <w:right w:val="single" w:sz="4" w:space="0" w:color="auto"/>
            </w:tcBorders>
            <w:shd w:val="clear" w:color="auto" w:fill="auto"/>
            <w:noWrap/>
            <w:vAlign w:val="center"/>
            <w:hideMark/>
          </w:tcPr>
          <w:p w14:paraId="0619B25F"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100</w:t>
            </w:r>
          </w:p>
        </w:tc>
        <w:tc>
          <w:tcPr>
            <w:tcW w:w="735" w:type="dxa"/>
            <w:tcBorders>
              <w:top w:val="nil"/>
              <w:left w:val="nil"/>
              <w:bottom w:val="single" w:sz="4" w:space="0" w:color="auto"/>
              <w:right w:val="single" w:sz="4" w:space="0" w:color="auto"/>
            </w:tcBorders>
            <w:shd w:val="clear" w:color="auto" w:fill="auto"/>
            <w:noWrap/>
            <w:vAlign w:val="center"/>
            <w:hideMark/>
          </w:tcPr>
          <w:p w14:paraId="22DC8C0E"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15</w:t>
            </w:r>
          </w:p>
        </w:tc>
        <w:tc>
          <w:tcPr>
            <w:tcW w:w="735" w:type="dxa"/>
            <w:tcBorders>
              <w:top w:val="nil"/>
              <w:left w:val="nil"/>
              <w:bottom w:val="single" w:sz="4" w:space="0" w:color="auto"/>
              <w:right w:val="single" w:sz="8" w:space="0" w:color="auto"/>
            </w:tcBorders>
            <w:shd w:val="clear" w:color="auto" w:fill="auto"/>
            <w:noWrap/>
            <w:vAlign w:val="center"/>
            <w:hideMark/>
          </w:tcPr>
          <w:p w14:paraId="01F5A8A4"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w:t>
            </w:r>
          </w:p>
        </w:tc>
        <w:tc>
          <w:tcPr>
            <w:tcW w:w="1011" w:type="dxa"/>
            <w:tcBorders>
              <w:top w:val="nil"/>
              <w:left w:val="nil"/>
              <w:bottom w:val="single" w:sz="4" w:space="0" w:color="auto"/>
              <w:right w:val="single" w:sz="4" w:space="0" w:color="auto"/>
            </w:tcBorders>
            <w:shd w:val="clear" w:color="auto" w:fill="auto"/>
            <w:noWrap/>
            <w:vAlign w:val="center"/>
            <w:hideMark/>
          </w:tcPr>
          <w:p w14:paraId="48534DDB"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0.23 %</w:t>
            </w:r>
          </w:p>
        </w:tc>
        <w:tc>
          <w:tcPr>
            <w:tcW w:w="1011" w:type="dxa"/>
            <w:tcBorders>
              <w:top w:val="nil"/>
              <w:left w:val="nil"/>
              <w:bottom w:val="single" w:sz="4" w:space="0" w:color="auto"/>
              <w:right w:val="single" w:sz="8" w:space="0" w:color="auto"/>
            </w:tcBorders>
            <w:shd w:val="clear" w:color="auto" w:fill="auto"/>
            <w:noWrap/>
            <w:vAlign w:val="center"/>
            <w:hideMark/>
          </w:tcPr>
          <w:p w14:paraId="3EDE9FD4"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0.59 %</w:t>
            </w:r>
          </w:p>
        </w:tc>
        <w:tc>
          <w:tcPr>
            <w:tcW w:w="1011" w:type="dxa"/>
            <w:tcBorders>
              <w:top w:val="nil"/>
              <w:left w:val="nil"/>
              <w:bottom w:val="single" w:sz="4" w:space="0" w:color="auto"/>
              <w:right w:val="single" w:sz="4" w:space="0" w:color="auto"/>
            </w:tcBorders>
            <w:shd w:val="clear" w:color="auto" w:fill="auto"/>
            <w:noWrap/>
            <w:vAlign w:val="center"/>
            <w:hideMark/>
          </w:tcPr>
          <w:p w14:paraId="7DA66D9D"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0.38 %</w:t>
            </w:r>
          </w:p>
        </w:tc>
        <w:tc>
          <w:tcPr>
            <w:tcW w:w="1011" w:type="dxa"/>
            <w:tcBorders>
              <w:top w:val="nil"/>
              <w:left w:val="nil"/>
              <w:bottom w:val="single" w:sz="4" w:space="0" w:color="auto"/>
              <w:right w:val="single" w:sz="8" w:space="0" w:color="auto"/>
            </w:tcBorders>
            <w:shd w:val="clear" w:color="auto" w:fill="auto"/>
            <w:noWrap/>
            <w:vAlign w:val="center"/>
            <w:hideMark/>
          </w:tcPr>
          <w:p w14:paraId="74C82BEC"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3.15 %</w:t>
            </w:r>
          </w:p>
        </w:tc>
        <w:tc>
          <w:tcPr>
            <w:tcW w:w="1011" w:type="dxa"/>
            <w:tcBorders>
              <w:top w:val="nil"/>
              <w:left w:val="nil"/>
              <w:bottom w:val="single" w:sz="4" w:space="0" w:color="auto"/>
              <w:right w:val="single" w:sz="4" w:space="0" w:color="auto"/>
            </w:tcBorders>
            <w:shd w:val="clear" w:color="auto" w:fill="auto"/>
            <w:noWrap/>
            <w:vAlign w:val="center"/>
            <w:hideMark/>
          </w:tcPr>
          <w:p w14:paraId="3E4A01BC"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0.39 %</w:t>
            </w:r>
          </w:p>
        </w:tc>
        <w:tc>
          <w:tcPr>
            <w:tcW w:w="1011" w:type="dxa"/>
            <w:tcBorders>
              <w:top w:val="nil"/>
              <w:left w:val="nil"/>
              <w:bottom w:val="single" w:sz="4" w:space="0" w:color="auto"/>
              <w:right w:val="single" w:sz="8" w:space="0" w:color="auto"/>
            </w:tcBorders>
            <w:shd w:val="clear" w:color="auto" w:fill="auto"/>
            <w:noWrap/>
            <w:vAlign w:val="center"/>
            <w:hideMark/>
          </w:tcPr>
          <w:p w14:paraId="38314CA9"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3.11 %</w:t>
            </w:r>
          </w:p>
        </w:tc>
      </w:tr>
      <w:tr w:rsidR="00537A10" w14:paraId="51CF032F" w14:textId="77777777" w:rsidTr="007A6398">
        <w:trPr>
          <w:trHeight w:val="304"/>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28675"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256</w:t>
            </w:r>
          </w:p>
        </w:tc>
        <w:tc>
          <w:tcPr>
            <w:tcW w:w="781" w:type="dxa"/>
            <w:tcBorders>
              <w:top w:val="nil"/>
              <w:left w:val="nil"/>
              <w:bottom w:val="single" w:sz="4" w:space="0" w:color="auto"/>
              <w:right w:val="single" w:sz="4" w:space="0" w:color="auto"/>
            </w:tcBorders>
            <w:shd w:val="clear" w:color="auto" w:fill="auto"/>
            <w:noWrap/>
            <w:vAlign w:val="center"/>
            <w:hideMark/>
          </w:tcPr>
          <w:p w14:paraId="58ECF092"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100</w:t>
            </w:r>
          </w:p>
        </w:tc>
        <w:tc>
          <w:tcPr>
            <w:tcW w:w="735" w:type="dxa"/>
            <w:tcBorders>
              <w:top w:val="nil"/>
              <w:left w:val="nil"/>
              <w:bottom w:val="single" w:sz="4" w:space="0" w:color="auto"/>
              <w:right w:val="single" w:sz="4" w:space="0" w:color="auto"/>
            </w:tcBorders>
            <w:shd w:val="clear" w:color="auto" w:fill="auto"/>
            <w:noWrap/>
            <w:vAlign w:val="center"/>
            <w:hideMark/>
          </w:tcPr>
          <w:p w14:paraId="14D6087B"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15</w:t>
            </w:r>
          </w:p>
        </w:tc>
        <w:tc>
          <w:tcPr>
            <w:tcW w:w="735" w:type="dxa"/>
            <w:tcBorders>
              <w:top w:val="nil"/>
              <w:left w:val="nil"/>
              <w:bottom w:val="single" w:sz="4" w:space="0" w:color="auto"/>
              <w:right w:val="single" w:sz="8" w:space="0" w:color="auto"/>
            </w:tcBorders>
            <w:shd w:val="clear" w:color="auto" w:fill="auto"/>
            <w:noWrap/>
            <w:vAlign w:val="center"/>
            <w:hideMark/>
          </w:tcPr>
          <w:p w14:paraId="721003CA"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w:t>
            </w:r>
          </w:p>
        </w:tc>
        <w:tc>
          <w:tcPr>
            <w:tcW w:w="1011" w:type="dxa"/>
            <w:tcBorders>
              <w:top w:val="nil"/>
              <w:left w:val="nil"/>
              <w:bottom w:val="single" w:sz="4" w:space="0" w:color="auto"/>
              <w:right w:val="single" w:sz="4" w:space="0" w:color="auto"/>
            </w:tcBorders>
            <w:shd w:val="clear" w:color="auto" w:fill="auto"/>
            <w:noWrap/>
            <w:vAlign w:val="center"/>
            <w:hideMark/>
          </w:tcPr>
          <w:p w14:paraId="6B6E438F"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0.22 %</w:t>
            </w:r>
          </w:p>
        </w:tc>
        <w:tc>
          <w:tcPr>
            <w:tcW w:w="1011" w:type="dxa"/>
            <w:tcBorders>
              <w:top w:val="nil"/>
              <w:left w:val="nil"/>
              <w:bottom w:val="single" w:sz="4" w:space="0" w:color="auto"/>
              <w:right w:val="single" w:sz="8" w:space="0" w:color="auto"/>
            </w:tcBorders>
            <w:shd w:val="clear" w:color="auto" w:fill="auto"/>
            <w:noWrap/>
            <w:vAlign w:val="center"/>
            <w:hideMark/>
          </w:tcPr>
          <w:p w14:paraId="0022A370"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0.53 %</w:t>
            </w:r>
          </w:p>
        </w:tc>
        <w:tc>
          <w:tcPr>
            <w:tcW w:w="1011" w:type="dxa"/>
            <w:tcBorders>
              <w:top w:val="nil"/>
              <w:left w:val="nil"/>
              <w:bottom w:val="single" w:sz="4" w:space="0" w:color="auto"/>
              <w:right w:val="single" w:sz="4" w:space="0" w:color="auto"/>
            </w:tcBorders>
            <w:shd w:val="clear" w:color="auto" w:fill="auto"/>
            <w:noWrap/>
            <w:vAlign w:val="center"/>
            <w:hideMark/>
          </w:tcPr>
          <w:p w14:paraId="4BE4B51C"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0.34 %</w:t>
            </w:r>
          </w:p>
        </w:tc>
        <w:tc>
          <w:tcPr>
            <w:tcW w:w="1011" w:type="dxa"/>
            <w:tcBorders>
              <w:top w:val="nil"/>
              <w:left w:val="nil"/>
              <w:bottom w:val="single" w:sz="4" w:space="0" w:color="auto"/>
              <w:right w:val="single" w:sz="8" w:space="0" w:color="auto"/>
            </w:tcBorders>
            <w:shd w:val="clear" w:color="auto" w:fill="auto"/>
            <w:noWrap/>
            <w:vAlign w:val="center"/>
            <w:hideMark/>
          </w:tcPr>
          <w:p w14:paraId="2004E092"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3.07 %</w:t>
            </w:r>
          </w:p>
        </w:tc>
        <w:tc>
          <w:tcPr>
            <w:tcW w:w="1011" w:type="dxa"/>
            <w:tcBorders>
              <w:top w:val="nil"/>
              <w:left w:val="nil"/>
              <w:bottom w:val="single" w:sz="4" w:space="0" w:color="auto"/>
              <w:right w:val="single" w:sz="4" w:space="0" w:color="auto"/>
            </w:tcBorders>
            <w:shd w:val="clear" w:color="auto" w:fill="auto"/>
            <w:noWrap/>
            <w:vAlign w:val="center"/>
            <w:hideMark/>
          </w:tcPr>
          <w:p w14:paraId="76280A64"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0.33 %</w:t>
            </w:r>
          </w:p>
        </w:tc>
        <w:tc>
          <w:tcPr>
            <w:tcW w:w="1011" w:type="dxa"/>
            <w:tcBorders>
              <w:top w:val="nil"/>
              <w:left w:val="nil"/>
              <w:bottom w:val="single" w:sz="4" w:space="0" w:color="auto"/>
              <w:right w:val="single" w:sz="8" w:space="0" w:color="auto"/>
            </w:tcBorders>
            <w:shd w:val="clear" w:color="auto" w:fill="auto"/>
            <w:noWrap/>
            <w:vAlign w:val="center"/>
            <w:hideMark/>
          </w:tcPr>
          <w:p w14:paraId="792397DC"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3.11 %</w:t>
            </w:r>
          </w:p>
        </w:tc>
      </w:tr>
      <w:tr w:rsidR="00537A10" w14:paraId="09731E43" w14:textId="77777777" w:rsidTr="007A6398">
        <w:trPr>
          <w:trHeight w:val="304"/>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965DD"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256</w:t>
            </w:r>
          </w:p>
        </w:tc>
        <w:tc>
          <w:tcPr>
            <w:tcW w:w="781" w:type="dxa"/>
            <w:tcBorders>
              <w:top w:val="nil"/>
              <w:left w:val="nil"/>
              <w:bottom w:val="single" w:sz="4" w:space="0" w:color="auto"/>
              <w:right w:val="single" w:sz="4" w:space="0" w:color="auto"/>
            </w:tcBorders>
            <w:shd w:val="clear" w:color="auto" w:fill="auto"/>
            <w:noWrap/>
            <w:vAlign w:val="center"/>
            <w:hideMark/>
          </w:tcPr>
          <w:p w14:paraId="57259E2F"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100</w:t>
            </w:r>
          </w:p>
        </w:tc>
        <w:tc>
          <w:tcPr>
            <w:tcW w:w="735" w:type="dxa"/>
            <w:tcBorders>
              <w:top w:val="nil"/>
              <w:left w:val="nil"/>
              <w:bottom w:val="single" w:sz="4" w:space="0" w:color="auto"/>
              <w:right w:val="single" w:sz="4" w:space="0" w:color="auto"/>
            </w:tcBorders>
            <w:shd w:val="clear" w:color="auto" w:fill="auto"/>
            <w:noWrap/>
            <w:vAlign w:val="center"/>
            <w:hideMark/>
          </w:tcPr>
          <w:p w14:paraId="5932552D"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15</w:t>
            </w:r>
          </w:p>
        </w:tc>
        <w:tc>
          <w:tcPr>
            <w:tcW w:w="735" w:type="dxa"/>
            <w:tcBorders>
              <w:top w:val="nil"/>
              <w:left w:val="nil"/>
              <w:bottom w:val="single" w:sz="4" w:space="0" w:color="auto"/>
              <w:right w:val="single" w:sz="8" w:space="0" w:color="auto"/>
            </w:tcBorders>
            <w:shd w:val="clear" w:color="auto" w:fill="auto"/>
            <w:noWrap/>
            <w:vAlign w:val="center"/>
            <w:hideMark/>
          </w:tcPr>
          <w:p w14:paraId="7AFA92F5"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w:t>
            </w:r>
          </w:p>
        </w:tc>
        <w:tc>
          <w:tcPr>
            <w:tcW w:w="1011" w:type="dxa"/>
            <w:tcBorders>
              <w:top w:val="nil"/>
              <w:left w:val="nil"/>
              <w:bottom w:val="single" w:sz="4" w:space="0" w:color="auto"/>
              <w:right w:val="single" w:sz="4" w:space="0" w:color="auto"/>
            </w:tcBorders>
            <w:shd w:val="clear" w:color="auto" w:fill="auto"/>
            <w:noWrap/>
            <w:vAlign w:val="center"/>
            <w:hideMark/>
          </w:tcPr>
          <w:p w14:paraId="79E4CB9E"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0.21 %</w:t>
            </w:r>
          </w:p>
        </w:tc>
        <w:tc>
          <w:tcPr>
            <w:tcW w:w="1011" w:type="dxa"/>
            <w:tcBorders>
              <w:top w:val="nil"/>
              <w:left w:val="nil"/>
              <w:bottom w:val="single" w:sz="4" w:space="0" w:color="auto"/>
              <w:right w:val="single" w:sz="8" w:space="0" w:color="auto"/>
            </w:tcBorders>
            <w:shd w:val="clear" w:color="auto" w:fill="auto"/>
            <w:noWrap/>
            <w:vAlign w:val="center"/>
            <w:hideMark/>
          </w:tcPr>
          <w:p w14:paraId="59646E19"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0.50 %</w:t>
            </w:r>
          </w:p>
        </w:tc>
        <w:tc>
          <w:tcPr>
            <w:tcW w:w="1011" w:type="dxa"/>
            <w:tcBorders>
              <w:top w:val="nil"/>
              <w:left w:val="nil"/>
              <w:bottom w:val="single" w:sz="4" w:space="0" w:color="auto"/>
              <w:right w:val="single" w:sz="4" w:space="0" w:color="auto"/>
            </w:tcBorders>
            <w:shd w:val="clear" w:color="auto" w:fill="auto"/>
            <w:noWrap/>
            <w:vAlign w:val="center"/>
            <w:hideMark/>
          </w:tcPr>
          <w:p w14:paraId="7CE09F1A"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0.30 %</w:t>
            </w:r>
          </w:p>
        </w:tc>
        <w:tc>
          <w:tcPr>
            <w:tcW w:w="1011" w:type="dxa"/>
            <w:tcBorders>
              <w:top w:val="nil"/>
              <w:left w:val="nil"/>
              <w:bottom w:val="single" w:sz="4" w:space="0" w:color="auto"/>
              <w:right w:val="single" w:sz="8" w:space="0" w:color="auto"/>
            </w:tcBorders>
            <w:shd w:val="clear" w:color="auto" w:fill="auto"/>
            <w:noWrap/>
            <w:vAlign w:val="center"/>
            <w:hideMark/>
          </w:tcPr>
          <w:p w14:paraId="5044A979"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3.05 %</w:t>
            </w:r>
          </w:p>
        </w:tc>
        <w:tc>
          <w:tcPr>
            <w:tcW w:w="1011" w:type="dxa"/>
            <w:tcBorders>
              <w:top w:val="nil"/>
              <w:left w:val="nil"/>
              <w:bottom w:val="single" w:sz="4" w:space="0" w:color="auto"/>
              <w:right w:val="single" w:sz="4" w:space="0" w:color="auto"/>
            </w:tcBorders>
            <w:shd w:val="clear" w:color="auto" w:fill="auto"/>
            <w:noWrap/>
            <w:vAlign w:val="center"/>
            <w:hideMark/>
          </w:tcPr>
          <w:p w14:paraId="752658B3"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0.31 %</w:t>
            </w:r>
          </w:p>
        </w:tc>
        <w:tc>
          <w:tcPr>
            <w:tcW w:w="1011" w:type="dxa"/>
            <w:tcBorders>
              <w:top w:val="nil"/>
              <w:left w:val="nil"/>
              <w:bottom w:val="single" w:sz="4" w:space="0" w:color="auto"/>
              <w:right w:val="single" w:sz="8" w:space="0" w:color="auto"/>
            </w:tcBorders>
            <w:shd w:val="clear" w:color="auto" w:fill="auto"/>
            <w:noWrap/>
            <w:vAlign w:val="center"/>
            <w:hideMark/>
          </w:tcPr>
          <w:p w14:paraId="5B25D1BF"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3.04 %</w:t>
            </w:r>
          </w:p>
        </w:tc>
      </w:tr>
      <w:tr w:rsidR="00537A10" w14:paraId="7ADEACAE" w14:textId="77777777" w:rsidTr="007A6398">
        <w:trPr>
          <w:trHeight w:val="304"/>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D612C"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256</w:t>
            </w:r>
          </w:p>
        </w:tc>
        <w:tc>
          <w:tcPr>
            <w:tcW w:w="781" w:type="dxa"/>
            <w:tcBorders>
              <w:top w:val="nil"/>
              <w:left w:val="nil"/>
              <w:bottom w:val="single" w:sz="4" w:space="0" w:color="auto"/>
              <w:right w:val="single" w:sz="4" w:space="0" w:color="auto"/>
            </w:tcBorders>
            <w:shd w:val="clear" w:color="auto" w:fill="auto"/>
            <w:noWrap/>
            <w:vAlign w:val="center"/>
            <w:hideMark/>
          </w:tcPr>
          <w:p w14:paraId="1315C861"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100</w:t>
            </w:r>
          </w:p>
        </w:tc>
        <w:tc>
          <w:tcPr>
            <w:tcW w:w="735" w:type="dxa"/>
            <w:tcBorders>
              <w:top w:val="nil"/>
              <w:left w:val="nil"/>
              <w:bottom w:val="single" w:sz="4" w:space="0" w:color="auto"/>
              <w:right w:val="single" w:sz="4" w:space="0" w:color="auto"/>
            </w:tcBorders>
            <w:shd w:val="clear" w:color="auto" w:fill="auto"/>
            <w:noWrap/>
            <w:vAlign w:val="center"/>
            <w:hideMark/>
          </w:tcPr>
          <w:p w14:paraId="45B4DA39"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30</w:t>
            </w:r>
          </w:p>
        </w:tc>
        <w:tc>
          <w:tcPr>
            <w:tcW w:w="735" w:type="dxa"/>
            <w:tcBorders>
              <w:top w:val="nil"/>
              <w:left w:val="nil"/>
              <w:bottom w:val="single" w:sz="4" w:space="0" w:color="auto"/>
              <w:right w:val="single" w:sz="8" w:space="0" w:color="auto"/>
            </w:tcBorders>
            <w:shd w:val="clear" w:color="auto" w:fill="auto"/>
            <w:noWrap/>
            <w:vAlign w:val="center"/>
            <w:hideMark/>
          </w:tcPr>
          <w:p w14:paraId="4624A442"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w:t>
            </w:r>
          </w:p>
        </w:tc>
        <w:tc>
          <w:tcPr>
            <w:tcW w:w="1011" w:type="dxa"/>
            <w:tcBorders>
              <w:top w:val="nil"/>
              <w:left w:val="nil"/>
              <w:bottom w:val="single" w:sz="4" w:space="0" w:color="auto"/>
              <w:right w:val="single" w:sz="4" w:space="0" w:color="auto"/>
            </w:tcBorders>
            <w:shd w:val="clear" w:color="auto" w:fill="auto"/>
            <w:noWrap/>
            <w:vAlign w:val="center"/>
            <w:hideMark/>
          </w:tcPr>
          <w:p w14:paraId="06BE52DE"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0.24 %</w:t>
            </w:r>
          </w:p>
        </w:tc>
        <w:tc>
          <w:tcPr>
            <w:tcW w:w="1011" w:type="dxa"/>
            <w:tcBorders>
              <w:top w:val="nil"/>
              <w:left w:val="nil"/>
              <w:bottom w:val="single" w:sz="4" w:space="0" w:color="auto"/>
              <w:right w:val="single" w:sz="8" w:space="0" w:color="auto"/>
            </w:tcBorders>
            <w:shd w:val="clear" w:color="auto" w:fill="auto"/>
            <w:noWrap/>
            <w:vAlign w:val="center"/>
            <w:hideMark/>
          </w:tcPr>
          <w:p w14:paraId="4E7DCEC9"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0.56 %</w:t>
            </w:r>
          </w:p>
        </w:tc>
        <w:tc>
          <w:tcPr>
            <w:tcW w:w="1011" w:type="dxa"/>
            <w:tcBorders>
              <w:top w:val="nil"/>
              <w:left w:val="nil"/>
              <w:bottom w:val="single" w:sz="4" w:space="0" w:color="auto"/>
              <w:right w:val="single" w:sz="4" w:space="0" w:color="auto"/>
            </w:tcBorders>
            <w:shd w:val="clear" w:color="auto" w:fill="auto"/>
            <w:noWrap/>
            <w:vAlign w:val="center"/>
            <w:hideMark/>
          </w:tcPr>
          <w:p w14:paraId="4B72E171"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0.41 %</w:t>
            </w:r>
          </w:p>
        </w:tc>
        <w:tc>
          <w:tcPr>
            <w:tcW w:w="1011" w:type="dxa"/>
            <w:tcBorders>
              <w:top w:val="nil"/>
              <w:left w:val="nil"/>
              <w:bottom w:val="single" w:sz="4" w:space="0" w:color="auto"/>
              <w:right w:val="single" w:sz="8" w:space="0" w:color="auto"/>
            </w:tcBorders>
            <w:shd w:val="clear" w:color="auto" w:fill="auto"/>
            <w:noWrap/>
            <w:vAlign w:val="center"/>
            <w:hideMark/>
          </w:tcPr>
          <w:p w14:paraId="113F7F86"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3.13 %</w:t>
            </w:r>
          </w:p>
        </w:tc>
        <w:tc>
          <w:tcPr>
            <w:tcW w:w="1011" w:type="dxa"/>
            <w:tcBorders>
              <w:top w:val="nil"/>
              <w:left w:val="nil"/>
              <w:bottom w:val="single" w:sz="4" w:space="0" w:color="auto"/>
              <w:right w:val="single" w:sz="4" w:space="0" w:color="auto"/>
            </w:tcBorders>
            <w:shd w:val="clear" w:color="auto" w:fill="auto"/>
            <w:noWrap/>
            <w:vAlign w:val="center"/>
            <w:hideMark/>
          </w:tcPr>
          <w:p w14:paraId="4C0BF87E"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0.38 %</w:t>
            </w:r>
          </w:p>
        </w:tc>
        <w:tc>
          <w:tcPr>
            <w:tcW w:w="1011" w:type="dxa"/>
            <w:tcBorders>
              <w:top w:val="nil"/>
              <w:left w:val="nil"/>
              <w:bottom w:val="single" w:sz="4" w:space="0" w:color="auto"/>
              <w:right w:val="single" w:sz="8" w:space="0" w:color="auto"/>
            </w:tcBorders>
            <w:shd w:val="clear" w:color="auto" w:fill="auto"/>
            <w:noWrap/>
            <w:vAlign w:val="center"/>
            <w:hideMark/>
          </w:tcPr>
          <w:p w14:paraId="0248D830"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3.14 %</w:t>
            </w:r>
          </w:p>
        </w:tc>
      </w:tr>
      <w:tr w:rsidR="00537A10" w14:paraId="62F5680E" w14:textId="77777777" w:rsidTr="007A6398">
        <w:trPr>
          <w:trHeight w:val="304"/>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2390A"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256</w:t>
            </w:r>
          </w:p>
        </w:tc>
        <w:tc>
          <w:tcPr>
            <w:tcW w:w="781" w:type="dxa"/>
            <w:tcBorders>
              <w:top w:val="nil"/>
              <w:left w:val="nil"/>
              <w:bottom w:val="single" w:sz="4" w:space="0" w:color="auto"/>
              <w:right w:val="single" w:sz="4" w:space="0" w:color="auto"/>
            </w:tcBorders>
            <w:shd w:val="clear" w:color="auto" w:fill="auto"/>
            <w:noWrap/>
            <w:vAlign w:val="center"/>
            <w:hideMark/>
          </w:tcPr>
          <w:p w14:paraId="5CD306AE"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100</w:t>
            </w:r>
          </w:p>
        </w:tc>
        <w:tc>
          <w:tcPr>
            <w:tcW w:w="735" w:type="dxa"/>
            <w:tcBorders>
              <w:top w:val="nil"/>
              <w:left w:val="nil"/>
              <w:bottom w:val="single" w:sz="4" w:space="0" w:color="auto"/>
              <w:right w:val="single" w:sz="4" w:space="0" w:color="auto"/>
            </w:tcBorders>
            <w:shd w:val="clear" w:color="auto" w:fill="auto"/>
            <w:noWrap/>
            <w:vAlign w:val="center"/>
            <w:hideMark/>
          </w:tcPr>
          <w:p w14:paraId="26B41715"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30</w:t>
            </w:r>
          </w:p>
        </w:tc>
        <w:tc>
          <w:tcPr>
            <w:tcW w:w="735" w:type="dxa"/>
            <w:tcBorders>
              <w:top w:val="nil"/>
              <w:left w:val="nil"/>
              <w:bottom w:val="single" w:sz="4" w:space="0" w:color="auto"/>
              <w:right w:val="single" w:sz="8" w:space="0" w:color="auto"/>
            </w:tcBorders>
            <w:shd w:val="clear" w:color="auto" w:fill="auto"/>
            <w:noWrap/>
            <w:vAlign w:val="center"/>
            <w:hideMark/>
          </w:tcPr>
          <w:p w14:paraId="65E63A3F"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w:t>
            </w:r>
          </w:p>
        </w:tc>
        <w:tc>
          <w:tcPr>
            <w:tcW w:w="1011" w:type="dxa"/>
            <w:tcBorders>
              <w:top w:val="nil"/>
              <w:left w:val="nil"/>
              <w:bottom w:val="single" w:sz="4" w:space="0" w:color="auto"/>
              <w:right w:val="single" w:sz="4" w:space="0" w:color="auto"/>
            </w:tcBorders>
            <w:shd w:val="clear" w:color="auto" w:fill="auto"/>
            <w:noWrap/>
            <w:vAlign w:val="center"/>
            <w:hideMark/>
          </w:tcPr>
          <w:p w14:paraId="4C5576E0"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0.22 %</w:t>
            </w:r>
          </w:p>
        </w:tc>
        <w:tc>
          <w:tcPr>
            <w:tcW w:w="1011" w:type="dxa"/>
            <w:tcBorders>
              <w:top w:val="nil"/>
              <w:left w:val="nil"/>
              <w:bottom w:val="single" w:sz="4" w:space="0" w:color="auto"/>
              <w:right w:val="single" w:sz="8" w:space="0" w:color="auto"/>
            </w:tcBorders>
            <w:shd w:val="clear" w:color="auto" w:fill="auto"/>
            <w:noWrap/>
            <w:vAlign w:val="center"/>
            <w:hideMark/>
          </w:tcPr>
          <w:p w14:paraId="05BE501C"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0.51 %</w:t>
            </w:r>
          </w:p>
        </w:tc>
        <w:tc>
          <w:tcPr>
            <w:tcW w:w="1011" w:type="dxa"/>
            <w:tcBorders>
              <w:top w:val="nil"/>
              <w:left w:val="nil"/>
              <w:bottom w:val="single" w:sz="4" w:space="0" w:color="auto"/>
              <w:right w:val="single" w:sz="4" w:space="0" w:color="auto"/>
            </w:tcBorders>
            <w:shd w:val="clear" w:color="auto" w:fill="auto"/>
            <w:noWrap/>
            <w:vAlign w:val="center"/>
            <w:hideMark/>
          </w:tcPr>
          <w:p w14:paraId="711408C0"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0.35 %</w:t>
            </w:r>
          </w:p>
        </w:tc>
        <w:tc>
          <w:tcPr>
            <w:tcW w:w="1011" w:type="dxa"/>
            <w:tcBorders>
              <w:top w:val="nil"/>
              <w:left w:val="nil"/>
              <w:bottom w:val="single" w:sz="4" w:space="0" w:color="auto"/>
              <w:right w:val="single" w:sz="8" w:space="0" w:color="auto"/>
            </w:tcBorders>
            <w:shd w:val="clear" w:color="auto" w:fill="auto"/>
            <w:noWrap/>
            <w:vAlign w:val="center"/>
            <w:hideMark/>
          </w:tcPr>
          <w:p w14:paraId="28A0B200"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3.10 %</w:t>
            </w:r>
          </w:p>
        </w:tc>
        <w:tc>
          <w:tcPr>
            <w:tcW w:w="1011" w:type="dxa"/>
            <w:tcBorders>
              <w:top w:val="nil"/>
              <w:left w:val="nil"/>
              <w:bottom w:val="single" w:sz="4" w:space="0" w:color="auto"/>
              <w:right w:val="single" w:sz="4" w:space="0" w:color="auto"/>
            </w:tcBorders>
            <w:shd w:val="clear" w:color="auto" w:fill="auto"/>
            <w:noWrap/>
            <w:vAlign w:val="center"/>
            <w:hideMark/>
          </w:tcPr>
          <w:p w14:paraId="37D97468"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0.34 %</w:t>
            </w:r>
          </w:p>
        </w:tc>
        <w:tc>
          <w:tcPr>
            <w:tcW w:w="1011" w:type="dxa"/>
            <w:tcBorders>
              <w:top w:val="nil"/>
              <w:left w:val="nil"/>
              <w:bottom w:val="single" w:sz="4" w:space="0" w:color="auto"/>
              <w:right w:val="single" w:sz="8" w:space="0" w:color="auto"/>
            </w:tcBorders>
            <w:shd w:val="clear" w:color="auto" w:fill="auto"/>
            <w:noWrap/>
            <w:vAlign w:val="center"/>
            <w:hideMark/>
          </w:tcPr>
          <w:p w14:paraId="2C537B6C"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3.08 %</w:t>
            </w:r>
          </w:p>
        </w:tc>
      </w:tr>
      <w:tr w:rsidR="00537A10" w14:paraId="40E7FE09" w14:textId="77777777" w:rsidTr="007A6398">
        <w:trPr>
          <w:trHeight w:val="319"/>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72436"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256</w:t>
            </w:r>
          </w:p>
        </w:tc>
        <w:tc>
          <w:tcPr>
            <w:tcW w:w="781" w:type="dxa"/>
            <w:tcBorders>
              <w:top w:val="nil"/>
              <w:left w:val="nil"/>
              <w:bottom w:val="single" w:sz="8" w:space="0" w:color="auto"/>
              <w:right w:val="single" w:sz="4" w:space="0" w:color="auto"/>
            </w:tcBorders>
            <w:shd w:val="clear" w:color="auto" w:fill="auto"/>
            <w:noWrap/>
            <w:vAlign w:val="center"/>
            <w:hideMark/>
          </w:tcPr>
          <w:p w14:paraId="3F651065"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100</w:t>
            </w:r>
          </w:p>
        </w:tc>
        <w:tc>
          <w:tcPr>
            <w:tcW w:w="735" w:type="dxa"/>
            <w:tcBorders>
              <w:top w:val="nil"/>
              <w:left w:val="nil"/>
              <w:bottom w:val="single" w:sz="8" w:space="0" w:color="auto"/>
              <w:right w:val="single" w:sz="4" w:space="0" w:color="auto"/>
            </w:tcBorders>
            <w:shd w:val="clear" w:color="auto" w:fill="auto"/>
            <w:noWrap/>
            <w:vAlign w:val="center"/>
            <w:hideMark/>
          </w:tcPr>
          <w:p w14:paraId="2332D85F"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30</w:t>
            </w:r>
          </w:p>
        </w:tc>
        <w:tc>
          <w:tcPr>
            <w:tcW w:w="735" w:type="dxa"/>
            <w:tcBorders>
              <w:top w:val="nil"/>
              <w:left w:val="nil"/>
              <w:bottom w:val="single" w:sz="8" w:space="0" w:color="auto"/>
              <w:right w:val="single" w:sz="8" w:space="0" w:color="auto"/>
            </w:tcBorders>
            <w:shd w:val="clear" w:color="auto" w:fill="auto"/>
            <w:noWrap/>
            <w:vAlign w:val="center"/>
            <w:hideMark/>
          </w:tcPr>
          <w:p w14:paraId="70A37AA4"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w:t>
            </w:r>
          </w:p>
        </w:tc>
        <w:tc>
          <w:tcPr>
            <w:tcW w:w="1011" w:type="dxa"/>
            <w:tcBorders>
              <w:top w:val="nil"/>
              <w:left w:val="nil"/>
              <w:bottom w:val="single" w:sz="8" w:space="0" w:color="auto"/>
              <w:right w:val="single" w:sz="4" w:space="0" w:color="auto"/>
            </w:tcBorders>
            <w:shd w:val="clear" w:color="auto" w:fill="auto"/>
            <w:noWrap/>
            <w:vAlign w:val="center"/>
            <w:hideMark/>
          </w:tcPr>
          <w:p w14:paraId="4AA4E661"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0.23 %</w:t>
            </w:r>
          </w:p>
        </w:tc>
        <w:tc>
          <w:tcPr>
            <w:tcW w:w="1011" w:type="dxa"/>
            <w:tcBorders>
              <w:top w:val="nil"/>
              <w:left w:val="nil"/>
              <w:bottom w:val="single" w:sz="8" w:space="0" w:color="auto"/>
              <w:right w:val="single" w:sz="8" w:space="0" w:color="auto"/>
            </w:tcBorders>
            <w:shd w:val="clear" w:color="auto" w:fill="auto"/>
            <w:noWrap/>
            <w:vAlign w:val="center"/>
            <w:hideMark/>
          </w:tcPr>
          <w:p w14:paraId="3326FA5F"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0.51 %</w:t>
            </w:r>
          </w:p>
        </w:tc>
        <w:tc>
          <w:tcPr>
            <w:tcW w:w="1011" w:type="dxa"/>
            <w:tcBorders>
              <w:top w:val="nil"/>
              <w:left w:val="nil"/>
              <w:bottom w:val="single" w:sz="8" w:space="0" w:color="auto"/>
              <w:right w:val="single" w:sz="4" w:space="0" w:color="auto"/>
            </w:tcBorders>
            <w:shd w:val="clear" w:color="auto" w:fill="auto"/>
            <w:noWrap/>
            <w:vAlign w:val="center"/>
            <w:hideMark/>
          </w:tcPr>
          <w:p w14:paraId="795FCDE6"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0.32 %</w:t>
            </w:r>
          </w:p>
        </w:tc>
        <w:tc>
          <w:tcPr>
            <w:tcW w:w="1011" w:type="dxa"/>
            <w:tcBorders>
              <w:top w:val="nil"/>
              <w:left w:val="nil"/>
              <w:bottom w:val="single" w:sz="8" w:space="0" w:color="auto"/>
              <w:right w:val="single" w:sz="8" w:space="0" w:color="auto"/>
            </w:tcBorders>
            <w:shd w:val="clear" w:color="auto" w:fill="auto"/>
            <w:noWrap/>
            <w:vAlign w:val="center"/>
            <w:hideMark/>
          </w:tcPr>
          <w:p w14:paraId="6B6AE404"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3.04 %</w:t>
            </w:r>
          </w:p>
        </w:tc>
        <w:tc>
          <w:tcPr>
            <w:tcW w:w="1011" w:type="dxa"/>
            <w:tcBorders>
              <w:top w:val="nil"/>
              <w:left w:val="nil"/>
              <w:bottom w:val="single" w:sz="8" w:space="0" w:color="auto"/>
              <w:right w:val="single" w:sz="4" w:space="0" w:color="auto"/>
            </w:tcBorders>
            <w:shd w:val="clear" w:color="auto" w:fill="auto"/>
            <w:noWrap/>
            <w:vAlign w:val="center"/>
            <w:hideMark/>
          </w:tcPr>
          <w:p w14:paraId="7EBA6A35"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0.35 %</w:t>
            </w:r>
          </w:p>
        </w:tc>
        <w:tc>
          <w:tcPr>
            <w:tcW w:w="1011" w:type="dxa"/>
            <w:tcBorders>
              <w:top w:val="nil"/>
              <w:left w:val="nil"/>
              <w:bottom w:val="single" w:sz="8" w:space="0" w:color="auto"/>
              <w:right w:val="single" w:sz="8" w:space="0" w:color="auto"/>
            </w:tcBorders>
            <w:shd w:val="clear" w:color="auto" w:fill="auto"/>
            <w:noWrap/>
            <w:vAlign w:val="center"/>
            <w:hideMark/>
          </w:tcPr>
          <w:p w14:paraId="50895DBA" w14:textId="77777777" w:rsidR="00FC22DB" w:rsidRDefault="00FC22DB">
            <w:pPr>
              <w:jc w:val="right"/>
              <w:rPr>
                <w:rFonts w:ascii="Calibri" w:hAnsi="Calibri" w:cs="Calibri"/>
                <w:color w:val="000000"/>
                <w:sz w:val="22"/>
                <w:szCs w:val="22"/>
              </w:rPr>
            </w:pPr>
            <w:r>
              <w:rPr>
                <w:rFonts w:ascii="Calibri" w:hAnsi="Calibri" w:cs="Calibri"/>
                <w:color w:val="000000"/>
                <w:sz w:val="22"/>
                <w:szCs w:val="22"/>
              </w:rPr>
              <w:t>3.10 %</w:t>
            </w:r>
          </w:p>
        </w:tc>
      </w:tr>
    </w:tbl>
    <w:p w14:paraId="101BC6C0" w14:textId="77777777" w:rsidR="00FC22DB" w:rsidRPr="00DE444D" w:rsidRDefault="00FC22DB" w:rsidP="00DE444D">
      <w:pPr>
        <w:ind w:right="-22"/>
        <w:rPr>
          <w:lang w:val="en-US"/>
        </w:rPr>
      </w:pPr>
    </w:p>
    <w:p w14:paraId="07FA0C90" w14:textId="77777777" w:rsidR="00DE444D" w:rsidRPr="00DE444D" w:rsidRDefault="00DE444D" w:rsidP="00DE444D">
      <w:pPr>
        <w:ind w:right="-22"/>
        <w:rPr>
          <w:lang w:val="en-US"/>
        </w:rPr>
      </w:pPr>
    </w:p>
    <w:p w14:paraId="49BB9C6D" w14:textId="19D7DF2B" w:rsidR="006A2645" w:rsidRDefault="00DE444D" w:rsidP="00DE444D">
      <w:pPr>
        <w:ind w:right="-22"/>
        <w:rPr>
          <w:lang w:val="en-US"/>
        </w:rPr>
      </w:pPr>
      <w:r w:rsidRPr="00DE444D">
        <w:rPr>
          <w:lang w:val="en-US"/>
        </w:rPr>
        <w:t xml:space="preserve">Phase </w:t>
      </w:r>
      <w:r w:rsidR="006A2645">
        <w:rPr>
          <w:lang w:val="en-US"/>
        </w:rPr>
        <w:t>requirements</w:t>
      </w:r>
    </w:p>
    <w:p w14:paraId="7010DDFA" w14:textId="77777777" w:rsidR="006A2645" w:rsidRDefault="006A2645" w:rsidP="006A2645">
      <w:pPr>
        <w:ind w:right="-22"/>
        <w:rPr>
          <w:lang w:val="en-US"/>
        </w:rPr>
      </w:pPr>
    </w:p>
    <w:p w14:paraId="5220C33E" w14:textId="4263D584" w:rsidR="006A2645" w:rsidRDefault="006A2645" w:rsidP="006A2645">
      <w:pPr>
        <w:ind w:right="-22"/>
        <w:rPr>
          <w:lang w:val="en-US"/>
        </w:rPr>
      </w:pPr>
      <w:r>
        <w:rPr>
          <w:lang w:val="en-US"/>
        </w:rPr>
        <w:t>Phase</w:t>
      </w:r>
      <w:r w:rsidRPr="00FC22DB">
        <w:rPr>
          <w:lang w:val="en-US"/>
        </w:rPr>
        <w:t xml:space="preserve"> offset </w:t>
      </w:r>
      <w:r>
        <w:rPr>
          <w:lang w:val="en-US"/>
        </w:rPr>
        <w:t xml:space="preserve">estimation </w:t>
      </w:r>
      <w:r w:rsidRPr="00FC22DB">
        <w:rPr>
          <w:lang w:val="en-US"/>
        </w:rPr>
        <w:t xml:space="preserve">error </w:t>
      </w:r>
      <w:r>
        <w:rPr>
          <w:lang w:val="en-US"/>
        </w:rPr>
        <w:t>values</w:t>
      </w:r>
      <w:r w:rsidRPr="00FC22DB">
        <w:rPr>
          <w:lang w:val="en-US"/>
        </w:rPr>
        <w:t xml:space="preserve"> as </w:t>
      </w:r>
      <w:r w:rsidR="00BF6EDE">
        <w:rPr>
          <w:lang w:val="en-US"/>
        </w:rPr>
        <w:t>degrees from 0 to 180</w:t>
      </w:r>
      <w:r w:rsidRPr="00FC22DB">
        <w:rPr>
          <w:lang w:val="en-US"/>
        </w:rPr>
        <w:t xml:space="preserve"> are show</w:t>
      </w:r>
      <w:r>
        <w:rPr>
          <w:lang w:val="en-US"/>
        </w:rPr>
        <w:t>n</w:t>
      </w:r>
      <w:r w:rsidRPr="00FC22DB">
        <w:rPr>
          <w:lang w:val="en-US"/>
        </w:rPr>
        <w:t xml:space="preserve"> in</w:t>
      </w:r>
      <w:r w:rsidR="00BF6EDE">
        <w:rPr>
          <w:lang w:val="en-US"/>
        </w:rPr>
        <w:t xml:space="preserve"> </w:t>
      </w:r>
      <w:r w:rsidR="00A90C47">
        <w:rPr>
          <w:lang w:val="en-US"/>
        </w:rPr>
        <w:fldChar w:fldCharType="begin"/>
      </w:r>
      <w:r w:rsidR="00A90C47">
        <w:rPr>
          <w:lang w:val="en-US"/>
        </w:rPr>
        <w:instrText xml:space="preserve"> REF _Ref189858423 \h </w:instrText>
      </w:r>
      <w:r w:rsidR="00A90C47">
        <w:rPr>
          <w:lang w:val="en-US"/>
        </w:rPr>
      </w:r>
      <w:r w:rsidR="00A90C47">
        <w:rPr>
          <w:lang w:val="en-US"/>
        </w:rPr>
        <w:fldChar w:fldCharType="separate"/>
      </w:r>
      <w:r w:rsidR="00A90C47">
        <w:t xml:space="preserve">Table </w:t>
      </w:r>
      <w:r w:rsidR="007D582D">
        <w:rPr>
          <w:noProof/>
        </w:rPr>
        <w:t>3</w:t>
      </w:r>
      <w:r w:rsidR="00A90C47">
        <w:rPr>
          <w:lang w:val="en-US"/>
        </w:rPr>
        <w:fldChar w:fldCharType="end"/>
      </w:r>
      <w:r w:rsidRPr="00FC22DB">
        <w:rPr>
          <w:lang w:val="en-US"/>
        </w:rPr>
        <w:t>.</w:t>
      </w:r>
    </w:p>
    <w:p w14:paraId="67B2F33E" w14:textId="77777777" w:rsidR="005B2301" w:rsidRDefault="005B2301" w:rsidP="005B2301">
      <w:pPr>
        <w:pStyle w:val="ListParagraph"/>
        <w:numPr>
          <w:ilvl w:val="0"/>
          <w:numId w:val="43"/>
        </w:numPr>
        <w:rPr>
          <w:lang w:val="en-US"/>
        </w:rPr>
      </w:pPr>
      <w:r>
        <w:rPr>
          <w:lang w:val="en-US"/>
        </w:rPr>
        <w:t>Scenario 1: TRP1 and TRP2 transmitting only TRS</w:t>
      </w:r>
    </w:p>
    <w:p w14:paraId="572A8343" w14:textId="77777777" w:rsidR="005B2301" w:rsidRDefault="005B2301" w:rsidP="005B2301">
      <w:pPr>
        <w:pStyle w:val="ListParagraph"/>
        <w:numPr>
          <w:ilvl w:val="0"/>
          <w:numId w:val="43"/>
        </w:numPr>
        <w:rPr>
          <w:lang w:val="en-US"/>
        </w:rPr>
      </w:pPr>
      <w:r>
        <w:rPr>
          <w:lang w:val="en-US"/>
        </w:rPr>
        <w:t>Scenario 2: Data on all the OFDM symbols, except for the subcarriers carrying TRS symbols.</w:t>
      </w:r>
    </w:p>
    <w:p w14:paraId="14FA9734" w14:textId="77777777" w:rsidR="005B2301" w:rsidRDefault="005B2301" w:rsidP="005B2301">
      <w:pPr>
        <w:pStyle w:val="ListParagraph"/>
        <w:numPr>
          <w:ilvl w:val="0"/>
          <w:numId w:val="43"/>
        </w:numPr>
        <w:rPr>
          <w:lang w:val="en-US"/>
        </w:rPr>
      </w:pPr>
      <w:r>
        <w:rPr>
          <w:lang w:val="en-US"/>
        </w:rPr>
        <w:t>Scenario 3: Data on all the OFDM symbols; except for the TRS symbols.</w:t>
      </w:r>
    </w:p>
    <w:p w14:paraId="11B04ADF" w14:textId="77777777" w:rsidR="006A2645" w:rsidRDefault="006A2645" w:rsidP="006A2645">
      <w:pPr>
        <w:ind w:right="-22"/>
        <w:rPr>
          <w:lang w:val="en-US"/>
        </w:rPr>
      </w:pPr>
    </w:p>
    <w:p w14:paraId="6CDAB757" w14:textId="1F1C09F0" w:rsidR="001A71D8" w:rsidRDefault="006A2645" w:rsidP="00507646">
      <w:pPr>
        <w:pStyle w:val="Caption"/>
        <w:rPr>
          <w:lang w:val="en-US"/>
        </w:rPr>
      </w:pPr>
      <w:bookmarkStart w:id="48" w:name="_Ref189858423"/>
      <w:r>
        <w:t xml:space="preserve">Table </w:t>
      </w:r>
      <w:r>
        <w:fldChar w:fldCharType="begin"/>
      </w:r>
      <w:r>
        <w:instrText xml:space="preserve"> SEQ Table \* ARABIC </w:instrText>
      </w:r>
      <w:r>
        <w:fldChar w:fldCharType="separate"/>
      </w:r>
      <w:r w:rsidR="007D582D">
        <w:rPr>
          <w:noProof/>
        </w:rPr>
        <w:t>3</w:t>
      </w:r>
      <w:r>
        <w:fldChar w:fldCharType="end"/>
      </w:r>
      <w:bookmarkEnd w:id="48"/>
      <w:r>
        <w:t xml:space="preserve">: </w:t>
      </w:r>
      <w:r w:rsidR="00215816">
        <w:t>Phase</w:t>
      </w:r>
      <w:r w:rsidR="00215816" w:rsidRPr="00F44797">
        <w:t xml:space="preserve"> </w:t>
      </w:r>
      <w:r w:rsidRPr="00F44797">
        <w:t xml:space="preserve">offset estimation error </w:t>
      </w:r>
      <w:r w:rsidR="009D4F55">
        <w:t>90</w:t>
      </w:r>
      <w:r w:rsidR="009D4F55" w:rsidRPr="00380DE1">
        <w:rPr>
          <w:vertAlign w:val="superscript"/>
        </w:rPr>
        <w:t>th</w:t>
      </w:r>
      <w:r w:rsidR="009D4F55">
        <w:t xml:space="preserve"> percentile </w:t>
      </w:r>
      <w:r w:rsidR="00225441">
        <w:t xml:space="preserve">in degrees from </w:t>
      </w:r>
      <w:r w:rsidR="00BF6EDE">
        <w:t>0</w:t>
      </w:r>
      <w:r w:rsidR="00225441">
        <w:t xml:space="preserve"> to 180.</w:t>
      </w:r>
    </w:p>
    <w:tbl>
      <w:tblPr>
        <w:tblW w:w="11663" w:type="dxa"/>
        <w:tblInd w:w="-771" w:type="dxa"/>
        <w:tblLook w:val="04A0" w:firstRow="1" w:lastRow="0" w:firstColumn="1" w:lastColumn="0" w:noHBand="0" w:noVBand="1"/>
      </w:tblPr>
      <w:tblGrid>
        <w:gridCol w:w="831"/>
        <w:gridCol w:w="593"/>
        <w:gridCol w:w="602"/>
        <w:gridCol w:w="1219"/>
        <w:gridCol w:w="993"/>
        <w:gridCol w:w="993"/>
        <w:gridCol w:w="1093"/>
        <w:gridCol w:w="993"/>
        <w:gridCol w:w="993"/>
        <w:gridCol w:w="8"/>
        <w:gridCol w:w="1085"/>
        <w:gridCol w:w="993"/>
        <w:gridCol w:w="993"/>
        <w:gridCol w:w="371"/>
        <w:gridCol w:w="29"/>
        <w:tblGridChange w:id="49">
          <w:tblGrid>
            <w:gridCol w:w="831"/>
            <w:gridCol w:w="593"/>
            <w:gridCol w:w="602"/>
            <w:gridCol w:w="1219"/>
            <w:gridCol w:w="993"/>
            <w:gridCol w:w="993"/>
            <w:gridCol w:w="1093"/>
            <w:gridCol w:w="993"/>
            <w:gridCol w:w="993"/>
            <w:gridCol w:w="8"/>
            <w:gridCol w:w="1085"/>
            <w:gridCol w:w="993"/>
            <w:gridCol w:w="993"/>
            <w:gridCol w:w="371"/>
            <w:gridCol w:w="29"/>
          </w:tblGrid>
        </w:tblGridChange>
      </w:tblGrid>
      <w:tr w:rsidR="006E2F5B" w:rsidRPr="00E90F2A" w14:paraId="2B04A865" w14:textId="77777777" w:rsidTr="00A86A29">
        <w:trPr>
          <w:gridAfter w:val="2"/>
          <w:wAfter w:w="400" w:type="dxa"/>
          <w:trHeight w:val="408"/>
        </w:trPr>
        <w:tc>
          <w:tcPr>
            <w:tcW w:w="190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C2257B7" w14:textId="77777777" w:rsidR="001A71D8" w:rsidRPr="00E90F2A" w:rsidRDefault="001A71D8">
            <w:pPr>
              <w:jc w:val="center"/>
              <w:rPr>
                <w:rFonts w:ascii="Aptos Narrow" w:hAnsi="Aptos Narrow"/>
                <w:b/>
                <w:color w:val="000000"/>
                <w:sz w:val="22"/>
                <w:szCs w:val="22"/>
              </w:rPr>
            </w:pPr>
            <w:r w:rsidRPr="00E90F2A">
              <w:rPr>
                <w:rFonts w:ascii="Aptos Narrow" w:hAnsi="Aptos Narrow"/>
                <w:b/>
                <w:color w:val="000000"/>
                <w:sz w:val="22"/>
                <w:szCs w:val="22"/>
              </w:rPr>
              <w:lastRenderedPageBreak/>
              <w:t>Estimation and quantization error in degrees from 0 to 180</w:t>
            </w:r>
          </w:p>
        </w:tc>
        <w:tc>
          <w:tcPr>
            <w:tcW w:w="3205"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BC60C" w14:textId="77777777" w:rsidR="001A71D8" w:rsidRPr="00E90F2A" w:rsidRDefault="001A71D8">
            <w:pPr>
              <w:jc w:val="center"/>
              <w:rPr>
                <w:rFonts w:ascii="Aptos Narrow" w:hAnsi="Aptos Narrow"/>
                <w:b/>
                <w:color w:val="000000"/>
                <w:sz w:val="22"/>
                <w:szCs w:val="22"/>
              </w:rPr>
            </w:pPr>
            <w:r w:rsidRPr="00E90F2A">
              <w:rPr>
                <w:rFonts w:ascii="Aptos Narrow" w:hAnsi="Aptos Narrow"/>
                <w:b/>
                <w:color w:val="000000"/>
                <w:sz w:val="22"/>
                <w:szCs w:val="22"/>
              </w:rPr>
              <w:t>Scenario 1</w:t>
            </w:r>
          </w:p>
        </w:tc>
        <w:tc>
          <w:tcPr>
            <w:tcW w:w="3087"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398789" w14:textId="77777777" w:rsidR="001A71D8" w:rsidRPr="00E90F2A" w:rsidRDefault="001A71D8">
            <w:pPr>
              <w:jc w:val="center"/>
              <w:rPr>
                <w:rFonts w:ascii="Aptos Narrow" w:hAnsi="Aptos Narrow"/>
                <w:b/>
                <w:color w:val="000000"/>
                <w:sz w:val="22"/>
                <w:szCs w:val="22"/>
              </w:rPr>
            </w:pPr>
            <w:r w:rsidRPr="00E90F2A">
              <w:rPr>
                <w:rFonts w:ascii="Aptos Narrow" w:hAnsi="Aptos Narrow"/>
                <w:b/>
                <w:color w:val="000000"/>
                <w:sz w:val="22"/>
                <w:szCs w:val="22"/>
              </w:rPr>
              <w:t>Scenario 2</w:t>
            </w:r>
          </w:p>
        </w:tc>
        <w:tc>
          <w:tcPr>
            <w:tcW w:w="3071"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11700F" w14:textId="77777777" w:rsidR="001A71D8" w:rsidRPr="00E90F2A" w:rsidRDefault="001A71D8">
            <w:pPr>
              <w:jc w:val="center"/>
              <w:rPr>
                <w:rFonts w:ascii="Aptos Narrow" w:hAnsi="Aptos Narrow"/>
                <w:b/>
                <w:color w:val="000000"/>
                <w:sz w:val="22"/>
                <w:szCs w:val="22"/>
              </w:rPr>
            </w:pPr>
            <w:r w:rsidRPr="00E90F2A">
              <w:rPr>
                <w:rFonts w:ascii="Aptos Narrow" w:hAnsi="Aptos Narrow"/>
                <w:b/>
                <w:color w:val="000000"/>
                <w:sz w:val="22"/>
                <w:szCs w:val="22"/>
              </w:rPr>
              <w:t>Scenario 3</w:t>
            </w:r>
          </w:p>
        </w:tc>
      </w:tr>
      <w:tr w:rsidR="005761AD" w:rsidRPr="00E90F2A" w14:paraId="444BED12" w14:textId="77777777" w:rsidTr="003E2475">
        <w:trPr>
          <w:trHeight w:val="273"/>
        </w:trPr>
        <w:tc>
          <w:tcPr>
            <w:tcW w:w="1900" w:type="dxa"/>
            <w:gridSpan w:val="3"/>
            <w:vMerge/>
            <w:tcBorders>
              <w:top w:val="single" w:sz="4" w:space="0" w:color="auto"/>
              <w:left w:val="single" w:sz="4" w:space="0" w:color="auto"/>
              <w:bottom w:val="single" w:sz="4" w:space="0" w:color="auto"/>
              <w:right w:val="single" w:sz="4" w:space="0" w:color="auto"/>
            </w:tcBorders>
            <w:vAlign w:val="center"/>
            <w:hideMark/>
          </w:tcPr>
          <w:p w14:paraId="6CBD0654" w14:textId="77777777" w:rsidR="001A71D8" w:rsidRPr="00E90F2A" w:rsidRDefault="001A71D8">
            <w:pPr>
              <w:rPr>
                <w:rFonts w:ascii="Aptos Narrow" w:hAnsi="Aptos Narrow"/>
                <w:b/>
                <w:color w:val="000000"/>
                <w:sz w:val="22"/>
                <w:szCs w:val="22"/>
              </w:rPr>
            </w:pPr>
          </w:p>
        </w:tc>
        <w:tc>
          <w:tcPr>
            <w:tcW w:w="3205" w:type="dxa"/>
            <w:gridSpan w:val="3"/>
            <w:vMerge/>
            <w:tcBorders>
              <w:top w:val="single" w:sz="4" w:space="0" w:color="auto"/>
              <w:left w:val="single" w:sz="4" w:space="0" w:color="auto"/>
              <w:bottom w:val="single" w:sz="4" w:space="0" w:color="auto"/>
              <w:right w:val="single" w:sz="4" w:space="0" w:color="auto"/>
            </w:tcBorders>
            <w:vAlign w:val="center"/>
            <w:hideMark/>
          </w:tcPr>
          <w:p w14:paraId="2AA8A3FA" w14:textId="77777777" w:rsidR="001A71D8" w:rsidRPr="00E90F2A" w:rsidRDefault="001A71D8">
            <w:pPr>
              <w:rPr>
                <w:rFonts w:ascii="Aptos Narrow" w:hAnsi="Aptos Narrow"/>
                <w:b/>
                <w:color w:val="000000"/>
                <w:sz w:val="22"/>
                <w:szCs w:val="22"/>
              </w:rPr>
            </w:pPr>
          </w:p>
        </w:tc>
        <w:tc>
          <w:tcPr>
            <w:tcW w:w="3087" w:type="dxa"/>
            <w:gridSpan w:val="4"/>
            <w:vMerge/>
            <w:tcBorders>
              <w:top w:val="single" w:sz="4" w:space="0" w:color="auto"/>
              <w:left w:val="single" w:sz="4" w:space="0" w:color="auto"/>
              <w:bottom w:val="single" w:sz="4" w:space="0" w:color="auto"/>
              <w:right w:val="single" w:sz="4" w:space="0" w:color="auto"/>
            </w:tcBorders>
            <w:vAlign w:val="center"/>
            <w:hideMark/>
          </w:tcPr>
          <w:p w14:paraId="22A7712F" w14:textId="77777777" w:rsidR="001A71D8" w:rsidRPr="00E90F2A" w:rsidRDefault="001A71D8">
            <w:pPr>
              <w:rPr>
                <w:rFonts w:ascii="Aptos Narrow" w:hAnsi="Aptos Narrow"/>
                <w:b/>
                <w:color w:val="000000"/>
                <w:sz w:val="22"/>
                <w:szCs w:val="22"/>
              </w:rPr>
            </w:pPr>
          </w:p>
        </w:tc>
        <w:tc>
          <w:tcPr>
            <w:tcW w:w="3071" w:type="dxa"/>
            <w:gridSpan w:val="3"/>
            <w:vMerge/>
            <w:tcBorders>
              <w:top w:val="single" w:sz="4" w:space="0" w:color="auto"/>
              <w:left w:val="single" w:sz="4" w:space="0" w:color="auto"/>
              <w:bottom w:val="single" w:sz="4" w:space="0" w:color="auto"/>
              <w:right w:val="single" w:sz="4" w:space="0" w:color="auto"/>
            </w:tcBorders>
            <w:vAlign w:val="center"/>
            <w:hideMark/>
          </w:tcPr>
          <w:p w14:paraId="0CADD6DE" w14:textId="77777777" w:rsidR="001A71D8" w:rsidRPr="00E90F2A" w:rsidRDefault="001A71D8">
            <w:pPr>
              <w:rPr>
                <w:rFonts w:ascii="Aptos Narrow" w:hAnsi="Aptos Narrow"/>
                <w:b/>
                <w:color w:val="000000"/>
                <w:sz w:val="22"/>
                <w:szCs w:val="22"/>
              </w:rPr>
            </w:pPr>
          </w:p>
        </w:tc>
        <w:tc>
          <w:tcPr>
            <w:tcW w:w="400" w:type="dxa"/>
            <w:gridSpan w:val="2"/>
            <w:tcBorders>
              <w:top w:val="nil"/>
              <w:left w:val="single" w:sz="4" w:space="0" w:color="auto"/>
              <w:bottom w:val="nil"/>
              <w:right w:val="nil"/>
            </w:tcBorders>
            <w:shd w:val="clear" w:color="auto" w:fill="auto"/>
            <w:noWrap/>
            <w:vAlign w:val="bottom"/>
            <w:hideMark/>
          </w:tcPr>
          <w:p w14:paraId="0418BE5F" w14:textId="77777777" w:rsidR="001A71D8" w:rsidRPr="00E90F2A" w:rsidRDefault="001A71D8">
            <w:pPr>
              <w:jc w:val="center"/>
              <w:rPr>
                <w:rFonts w:ascii="Aptos Narrow" w:hAnsi="Aptos Narrow"/>
                <w:b/>
                <w:color w:val="000000"/>
                <w:sz w:val="22"/>
                <w:szCs w:val="22"/>
              </w:rPr>
            </w:pPr>
          </w:p>
        </w:tc>
      </w:tr>
      <w:tr w:rsidR="006E2F5B" w:rsidRPr="00E90F2A" w14:paraId="71C34705" w14:textId="77777777" w:rsidTr="00A86A29">
        <w:trPr>
          <w:gridAfter w:val="1"/>
          <w:wAfter w:w="29" w:type="dxa"/>
          <w:trHeight w:val="273"/>
        </w:trPr>
        <w:tc>
          <w:tcPr>
            <w:tcW w:w="8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D2ABF9" w14:textId="44AD133F" w:rsidR="001A71D8" w:rsidRPr="00E90F2A" w:rsidRDefault="001A71D8">
            <w:pPr>
              <w:rPr>
                <w:rFonts w:ascii="Aptos Narrow" w:hAnsi="Aptos Narrow"/>
                <w:b/>
                <w:color w:val="000000"/>
                <w:sz w:val="22"/>
                <w:szCs w:val="22"/>
              </w:rPr>
            </w:pPr>
            <w:r w:rsidRPr="00E90F2A">
              <w:rPr>
                <w:rFonts w:ascii="Aptos Narrow" w:hAnsi="Aptos Narrow"/>
                <w:b/>
                <w:color w:val="000000"/>
                <w:sz w:val="22"/>
                <w:szCs w:val="22"/>
              </w:rPr>
              <w:t>Quant</w:t>
            </w:r>
            <w:r w:rsidR="00851EA8" w:rsidRPr="00E90F2A">
              <w:rPr>
                <w:rFonts w:ascii="Aptos Narrow" w:hAnsi="Aptos Narrow"/>
                <w:b/>
                <w:color w:val="000000"/>
                <w:sz w:val="22"/>
                <w:szCs w:val="22"/>
              </w:rPr>
              <w:t>.</w:t>
            </w:r>
            <w:r w:rsidRPr="00E90F2A">
              <w:rPr>
                <w:rFonts w:ascii="Aptos Narrow" w:hAnsi="Aptos Narrow"/>
                <w:b/>
                <w:color w:val="000000"/>
                <w:sz w:val="22"/>
                <w:szCs w:val="22"/>
              </w:rPr>
              <w:t xml:space="preserve"> Levels</w:t>
            </w:r>
          </w:p>
        </w:tc>
        <w:tc>
          <w:tcPr>
            <w:tcW w:w="593" w:type="dxa"/>
            <w:tcBorders>
              <w:top w:val="single" w:sz="4" w:space="0" w:color="auto"/>
              <w:left w:val="nil"/>
              <w:bottom w:val="single" w:sz="4" w:space="0" w:color="auto"/>
              <w:right w:val="single" w:sz="4" w:space="0" w:color="auto"/>
            </w:tcBorders>
            <w:shd w:val="clear" w:color="auto" w:fill="auto"/>
            <w:noWrap/>
            <w:vAlign w:val="bottom"/>
            <w:hideMark/>
          </w:tcPr>
          <w:p w14:paraId="401C4088" w14:textId="77777777" w:rsidR="001A71D8" w:rsidRPr="00E90F2A" w:rsidRDefault="001A71D8">
            <w:pPr>
              <w:rPr>
                <w:rFonts w:ascii="Aptos Narrow" w:hAnsi="Aptos Narrow"/>
                <w:b/>
                <w:color w:val="000000"/>
                <w:sz w:val="22"/>
                <w:szCs w:val="22"/>
              </w:rPr>
            </w:pPr>
            <w:r w:rsidRPr="00E90F2A">
              <w:rPr>
                <w:rFonts w:ascii="Aptos Narrow" w:hAnsi="Aptos Narrow"/>
                <w:b/>
                <w:color w:val="000000"/>
                <w:sz w:val="22"/>
                <w:szCs w:val="22"/>
              </w:rPr>
              <w:t>SCS</w:t>
            </w:r>
          </w:p>
        </w:tc>
        <w:tc>
          <w:tcPr>
            <w:tcW w:w="476" w:type="dxa"/>
            <w:tcBorders>
              <w:top w:val="single" w:sz="4" w:space="0" w:color="auto"/>
              <w:left w:val="nil"/>
              <w:bottom w:val="single" w:sz="4" w:space="0" w:color="auto"/>
              <w:right w:val="single" w:sz="4" w:space="0" w:color="auto"/>
            </w:tcBorders>
            <w:shd w:val="clear" w:color="auto" w:fill="auto"/>
            <w:noWrap/>
            <w:vAlign w:val="bottom"/>
            <w:hideMark/>
          </w:tcPr>
          <w:p w14:paraId="16E4696A" w14:textId="77777777" w:rsidR="001A71D8" w:rsidRPr="00E90F2A" w:rsidRDefault="001A71D8">
            <w:pPr>
              <w:rPr>
                <w:rFonts w:ascii="Aptos Narrow" w:hAnsi="Aptos Narrow"/>
                <w:b/>
                <w:color w:val="000000"/>
                <w:sz w:val="22"/>
                <w:szCs w:val="22"/>
              </w:rPr>
            </w:pPr>
            <w:r w:rsidRPr="00E90F2A">
              <w:rPr>
                <w:rFonts w:ascii="Aptos Narrow" w:hAnsi="Aptos Narrow"/>
                <w:b/>
                <w:color w:val="000000"/>
                <w:sz w:val="22"/>
                <w:szCs w:val="22"/>
              </w:rPr>
              <w:t>SNR</w:t>
            </w:r>
          </w:p>
        </w:tc>
        <w:tc>
          <w:tcPr>
            <w:tcW w:w="1219" w:type="dxa"/>
            <w:tcBorders>
              <w:top w:val="single" w:sz="4" w:space="0" w:color="auto"/>
              <w:left w:val="nil"/>
              <w:bottom w:val="single" w:sz="4" w:space="0" w:color="auto"/>
              <w:right w:val="single" w:sz="4" w:space="0" w:color="auto"/>
            </w:tcBorders>
            <w:shd w:val="clear" w:color="auto" w:fill="auto"/>
            <w:noWrap/>
            <w:vAlign w:val="bottom"/>
            <w:hideMark/>
          </w:tcPr>
          <w:p w14:paraId="53ACD056" w14:textId="3D127521" w:rsidR="001A71D8" w:rsidRPr="00E90F2A" w:rsidRDefault="001A71D8">
            <w:pPr>
              <w:rPr>
                <w:rFonts w:ascii="Aptos Narrow" w:hAnsi="Aptos Narrow"/>
                <w:b/>
                <w:color w:val="000000"/>
                <w:sz w:val="22"/>
                <w:szCs w:val="22"/>
              </w:rPr>
            </w:pPr>
            <w:r w:rsidRPr="00E90F2A">
              <w:rPr>
                <w:rFonts w:ascii="Aptos Narrow" w:hAnsi="Aptos Narrow"/>
                <w:b/>
                <w:color w:val="000000"/>
                <w:sz w:val="22"/>
                <w:szCs w:val="22"/>
              </w:rPr>
              <w:t>No averaging</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27C1625D" w14:textId="77777777" w:rsidR="001A71D8" w:rsidRPr="00E90F2A" w:rsidRDefault="001A71D8">
            <w:pPr>
              <w:rPr>
                <w:rFonts w:ascii="Aptos Narrow" w:hAnsi="Aptos Narrow"/>
                <w:b/>
                <w:color w:val="000000"/>
                <w:sz w:val="22"/>
                <w:szCs w:val="22"/>
              </w:rPr>
            </w:pPr>
            <w:r w:rsidRPr="00E90F2A">
              <w:rPr>
                <w:rFonts w:ascii="Aptos Narrow" w:hAnsi="Aptos Narrow"/>
                <w:b/>
                <w:color w:val="000000"/>
                <w:sz w:val="22"/>
                <w:szCs w:val="22"/>
              </w:rPr>
              <w:t>3 samples</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40E74B93" w14:textId="77777777" w:rsidR="001A71D8" w:rsidRPr="00E90F2A" w:rsidRDefault="001A71D8">
            <w:pPr>
              <w:rPr>
                <w:rFonts w:ascii="Aptos Narrow" w:hAnsi="Aptos Narrow"/>
                <w:b/>
                <w:color w:val="000000"/>
                <w:sz w:val="22"/>
                <w:szCs w:val="22"/>
              </w:rPr>
            </w:pPr>
            <w:r w:rsidRPr="00E90F2A">
              <w:rPr>
                <w:rFonts w:ascii="Aptos Narrow" w:hAnsi="Aptos Narrow"/>
                <w:b/>
                <w:color w:val="000000"/>
                <w:sz w:val="22"/>
                <w:szCs w:val="22"/>
              </w:rPr>
              <w:t>5 samples</w:t>
            </w:r>
          </w:p>
        </w:tc>
        <w:tc>
          <w:tcPr>
            <w:tcW w:w="1093" w:type="dxa"/>
            <w:tcBorders>
              <w:top w:val="single" w:sz="4" w:space="0" w:color="auto"/>
              <w:left w:val="nil"/>
              <w:bottom w:val="single" w:sz="4" w:space="0" w:color="auto"/>
              <w:right w:val="single" w:sz="4" w:space="0" w:color="auto"/>
            </w:tcBorders>
            <w:shd w:val="clear" w:color="auto" w:fill="auto"/>
            <w:noWrap/>
            <w:vAlign w:val="bottom"/>
            <w:hideMark/>
          </w:tcPr>
          <w:p w14:paraId="044B0C50" w14:textId="082458F8" w:rsidR="001A71D8" w:rsidRPr="00E90F2A" w:rsidRDefault="001A71D8">
            <w:pPr>
              <w:rPr>
                <w:rFonts w:ascii="Aptos Narrow" w:hAnsi="Aptos Narrow"/>
                <w:b/>
                <w:color w:val="000000"/>
                <w:sz w:val="22"/>
                <w:szCs w:val="22"/>
              </w:rPr>
            </w:pPr>
            <w:r w:rsidRPr="00E90F2A">
              <w:rPr>
                <w:rFonts w:ascii="Aptos Narrow" w:hAnsi="Aptos Narrow"/>
                <w:b/>
                <w:color w:val="000000"/>
                <w:sz w:val="22"/>
                <w:szCs w:val="22"/>
              </w:rPr>
              <w:t>No averaging</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4E241E98" w14:textId="77777777" w:rsidR="001A71D8" w:rsidRPr="00E90F2A" w:rsidRDefault="001A71D8">
            <w:pPr>
              <w:rPr>
                <w:rFonts w:ascii="Aptos Narrow" w:hAnsi="Aptos Narrow"/>
                <w:b/>
                <w:color w:val="000000"/>
                <w:sz w:val="22"/>
                <w:szCs w:val="22"/>
              </w:rPr>
            </w:pPr>
            <w:r w:rsidRPr="00E90F2A">
              <w:rPr>
                <w:rFonts w:ascii="Aptos Narrow" w:hAnsi="Aptos Narrow"/>
                <w:b/>
                <w:color w:val="000000"/>
                <w:sz w:val="22"/>
                <w:szCs w:val="22"/>
              </w:rPr>
              <w:t>3 samples</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5AB69CA3" w14:textId="77777777" w:rsidR="001A71D8" w:rsidRPr="00E90F2A" w:rsidRDefault="001A71D8">
            <w:pPr>
              <w:rPr>
                <w:rFonts w:ascii="Aptos Narrow" w:hAnsi="Aptos Narrow"/>
                <w:b/>
                <w:color w:val="000000"/>
                <w:sz w:val="22"/>
                <w:szCs w:val="22"/>
              </w:rPr>
            </w:pPr>
            <w:r w:rsidRPr="00E90F2A">
              <w:rPr>
                <w:rFonts w:ascii="Aptos Narrow" w:hAnsi="Aptos Narrow"/>
                <w:b/>
                <w:color w:val="000000"/>
                <w:sz w:val="22"/>
                <w:szCs w:val="22"/>
              </w:rPr>
              <w:t>5 samples</w:t>
            </w:r>
          </w:p>
        </w:tc>
        <w:tc>
          <w:tcPr>
            <w:tcW w:w="1093" w:type="dxa"/>
            <w:gridSpan w:val="2"/>
            <w:tcBorders>
              <w:top w:val="single" w:sz="4" w:space="0" w:color="auto"/>
              <w:left w:val="nil"/>
              <w:bottom w:val="single" w:sz="4" w:space="0" w:color="auto"/>
              <w:right w:val="single" w:sz="4" w:space="0" w:color="auto"/>
            </w:tcBorders>
            <w:shd w:val="clear" w:color="auto" w:fill="auto"/>
            <w:noWrap/>
            <w:vAlign w:val="bottom"/>
            <w:hideMark/>
          </w:tcPr>
          <w:p w14:paraId="2AA3F6E0" w14:textId="7575DDBC" w:rsidR="001A71D8" w:rsidRPr="00E90F2A" w:rsidRDefault="001A71D8">
            <w:pPr>
              <w:rPr>
                <w:rFonts w:ascii="Aptos Narrow" w:hAnsi="Aptos Narrow"/>
                <w:b/>
                <w:color w:val="000000"/>
                <w:sz w:val="22"/>
                <w:szCs w:val="22"/>
              </w:rPr>
            </w:pPr>
            <w:r w:rsidRPr="00E90F2A">
              <w:rPr>
                <w:rFonts w:ascii="Aptos Narrow" w:hAnsi="Aptos Narrow"/>
                <w:b/>
                <w:color w:val="000000"/>
                <w:sz w:val="22"/>
                <w:szCs w:val="22"/>
              </w:rPr>
              <w:t>No averaging</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6F42CB29" w14:textId="77777777" w:rsidR="001A71D8" w:rsidRPr="00E90F2A" w:rsidRDefault="001A71D8">
            <w:pPr>
              <w:rPr>
                <w:rFonts w:ascii="Aptos Narrow" w:hAnsi="Aptos Narrow"/>
                <w:b/>
                <w:color w:val="000000"/>
                <w:sz w:val="22"/>
                <w:szCs w:val="22"/>
              </w:rPr>
            </w:pPr>
            <w:r w:rsidRPr="00E90F2A">
              <w:rPr>
                <w:rFonts w:ascii="Aptos Narrow" w:hAnsi="Aptos Narrow"/>
                <w:b/>
                <w:color w:val="000000"/>
                <w:sz w:val="22"/>
                <w:szCs w:val="22"/>
              </w:rPr>
              <w:t>3 samples</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7078D14A" w14:textId="77777777" w:rsidR="001A71D8" w:rsidRPr="00E90F2A" w:rsidRDefault="001A71D8">
            <w:pPr>
              <w:rPr>
                <w:rFonts w:ascii="Aptos Narrow" w:hAnsi="Aptos Narrow"/>
                <w:b/>
                <w:color w:val="000000"/>
                <w:sz w:val="22"/>
                <w:szCs w:val="22"/>
              </w:rPr>
            </w:pPr>
            <w:r w:rsidRPr="00E90F2A">
              <w:rPr>
                <w:rFonts w:ascii="Aptos Narrow" w:hAnsi="Aptos Narrow"/>
                <w:b/>
                <w:color w:val="000000"/>
                <w:sz w:val="22"/>
                <w:szCs w:val="22"/>
              </w:rPr>
              <w:t>5 samples</w:t>
            </w:r>
          </w:p>
        </w:tc>
        <w:tc>
          <w:tcPr>
            <w:tcW w:w="371" w:type="dxa"/>
            <w:vAlign w:val="center"/>
            <w:hideMark/>
          </w:tcPr>
          <w:p w14:paraId="6601E536" w14:textId="77777777" w:rsidR="001A71D8" w:rsidRPr="00E90F2A" w:rsidRDefault="001A71D8">
            <w:pPr>
              <w:rPr>
                <w:b/>
                <w:sz w:val="20"/>
                <w:szCs w:val="20"/>
              </w:rPr>
            </w:pPr>
          </w:p>
        </w:tc>
      </w:tr>
      <w:tr w:rsidR="006E2F5B" w14:paraId="516F8A27" w14:textId="77777777" w:rsidTr="00A86A29">
        <w:trPr>
          <w:gridAfter w:val="1"/>
          <w:wAfter w:w="29" w:type="dxa"/>
          <w:trHeight w:val="273"/>
        </w:trPr>
        <w:tc>
          <w:tcPr>
            <w:tcW w:w="8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887510"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16</w:t>
            </w:r>
          </w:p>
        </w:tc>
        <w:tc>
          <w:tcPr>
            <w:tcW w:w="593" w:type="dxa"/>
            <w:tcBorders>
              <w:top w:val="single" w:sz="4" w:space="0" w:color="auto"/>
              <w:left w:val="nil"/>
              <w:bottom w:val="single" w:sz="4" w:space="0" w:color="auto"/>
              <w:right w:val="single" w:sz="4" w:space="0" w:color="auto"/>
            </w:tcBorders>
            <w:shd w:val="clear" w:color="auto" w:fill="auto"/>
            <w:noWrap/>
            <w:vAlign w:val="bottom"/>
            <w:hideMark/>
          </w:tcPr>
          <w:p w14:paraId="6CFFD687"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15</w:t>
            </w:r>
          </w:p>
        </w:tc>
        <w:tc>
          <w:tcPr>
            <w:tcW w:w="476" w:type="dxa"/>
            <w:tcBorders>
              <w:top w:val="single" w:sz="4" w:space="0" w:color="auto"/>
              <w:left w:val="nil"/>
              <w:bottom w:val="single" w:sz="4" w:space="0" w:color="auto"/>
              <w:right w:val="single" w:sz="4" w:space="0" w:color="auto"/>
            </w:tcBorders>
            <w:shd w:val="clear" w:color="auto" w:fill="auto"/>
            <w:noWrap/>
            <w:vAlign w:val="bottom"/>
            <w:hideMark/>
          </w:tcPr>
          <w:p w14:paraId="2DD5F2A7" w14:textId="77777777" w:rsidR="001A71D8" w:rsidRDefault="001A71D8">
            <w:pPr>
              <w:jc w:val="right"/>
              <w:rPr>
                <w:rFonts w:ascii="Aptos Narrow" w:hAnsi="Aptos Narrow"/>
                <w:b/>
                <w:bCs/>
                <w:color w:val="000000"/>
                <w:sz w:val="22"/>
                <w:szCs w:val="22"/>
              </w:rPr>
            </w:pPr>
            <w:r>
              <w:rPr>
                <w:rFonts w:ascii="Aptos Narrow" w:hAnsi="Aptos Narrow"/>
                <w:b/>
                <w:bCs/>
                <w:color w:val="000000"/>
                <w:sz w:val="22"/>
                <w:szCs w:val="22"/>
              </w:rPr>
              <w:t>-3</w:t>
            </w:r>
          </w:p>
        </w:tc>
        <w:tc>
          <w:tcPr>
            <w:tcW w:w="1219" w:type="dxa"/>
            <w:tcBorders>
              <w:top w:val="single" w:sz="4" w:space="0" w:color="auto"/>
              <w:left w:val="nil"/>
              <w:bottom w:val="single" w:sz="4" w:space="0" w:color="auto"/>
              <w:right w:val="single" w:sz="4" w:space="0" w:color="auto"/>
            </w:tcBorders>
            <w:shd w:val="clear" w:color="auto" w:fill="auto"/>
            <w:noWrap/>
            <w:vAlign w:val="bottom"/>
            <w:hideMark/>
          </w:tcPr>
          <w:p w14:paraId="03CAC305"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10,25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A83BD5"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10,37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0C29E1"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10,25</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AF6BDE"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22,57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C9CFEE"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18,24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3AC4B7"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14,48</w:t>
            </w:r>
          </w:p>
        </w:tc>
        <w:tc>
          <w:tcPr>
            <w:tcW w:w="109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995FA6"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24,95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F71B7F"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17,9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E6E02E"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13,88</w:t>
            </w:r>
          </w:p>
        </w:tc>
        <w:tc>
          <w:tcPr>
            <w:tcW w:w="371" w:type="dxa"/>
            <w:tcBorders>
              <w:left w:val="single" w:sz="4" w:space="0" w:color="auto"/>
            </w:tcBorders>
            <w:vAlign w:val="center"/>
            <w:hideMark/>
          </w:tcPr>
          <w:p w14:paraId="7C332717" w14:textId="77777777" w:rsidR="001A71D8" w:rsidRDefault="001A71D8">
            <w:pPr>
              <w:rPr>
                <w:sz w:val="20"/>
                <w:szCs w:val="20"/>
              </w:rPr>
            </w:pPr>
          </w:p>
        </w:tc>
      </w:tr>
      <w:tr w:rsidR="006E2F5B" w14:paraId="571436A1" w14:textId="77777777" w:rsidTr="00A86A29">
        <w:trPr>
          <w:gridAfter w:val="1"/>
          <w:wAfter w:w="29" w:type="dxa"/>
          <w:trHeight w:val="273"/>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14:paraId="3F13CA1E"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32</w:t>
            </w:r>
          </w:p>
        </w:tc>
        <w:tc>
          <w:tcPr>
            <w:tcW w:w="593" w:type="dxa"/>
            <w:tcBorders>
              <w:top w:val="nil"/>
              <w:left w:val="nil"/>
              <w:bottom w:val="single" w:sz="4" w:space="0" w:color="auto"/>
              <w:right w:val="single" w:sz="4" w:space="0" w:color="auto"/>
            </w:tcBorders>
            <w:shd w:val="clear" w:color="auto" w:fill="auto"/>
            <w:noWrap/>
            <w:vAlign w:val="bottom"/>
            <w:hideMark/>
          </w:tcPr>
          <w:p w14:paraId="753DB377"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15</w:t>
            </w:r>
          </w:p>
        </w:tc>
        <w:tc>
          <w:tcPr>
            <w:tcW w:w="476" w:type="dxa"/>
            <w:tcBorders>
              <w:top w:val="nil"/>
              <w:left w:val="nil"/>
              <w:bottom w:val="single" w:sz="4" w:space="0" w:color="auto"/>
              <w:right w:val="single" w:sz="4" w:space="0" w:color="auto"/>
            </w:tcBorders>
            <w:shd w:val="clear" w:color="auto" w:fill="auto"/>
            <w:noWrap/>
            <w:vAlign w:val="bottom"/>
            <w:hideMark/>
          </w:tcPr>
          <w:p w14:paraId="5B1AE2E0" w14:textId="77777777" w:rsidR="001A71D8" w:rsidRDefault="001A71D8">
            <w:pPr>
              <w:jc w:val="right"/>
              <w:rPr>
                <w:rFonts w:ascii="Aptos Narrow" w:hAnsi="Aptos Narrow"/>
                <w:b/>
                <w:bCs/>
                <w:color w:val="000000"/>
                <w:sz w:val="22"/>
                <w:szCs w:val="22"/>
              </w:rPr>
            </w:pPr>
            <w:r>
              <w:rPr>
                <w:rFonts w:ascii="Aptos Narrow" w:hAnsi="Aptos Narrow"/>
                <w:b/>
                <w:bCs/>
                <w:color w:val="000000"/>
                <w:sz w:val="22"/>
                <w:szCs w:val="22"/>
              </w:rPr>
              <w:t>-3</w:t>
            </w:r>
          </w:p>
        </w:tc>
        <w:tc>
          <w:tcPr>
            <w:tcW w:w="1219" w:type="dxa"/>
            <w:tcBorders>
              <w:top w:val="single" w:sz="4" w:space="0" w:color="auto"/>
              <w:left w:val="nil"/>
              <w:bottom w:val="single" w:sz="4" w:space="0" w:color="auto"/>
              <w:right w:val="single" w:sz="4" w:space="0" w:color="auto"/>
            </w:tcBorders>
            <w:shd w:val="clear" w:color="auto" w:fill="auto"/>
            <w:noWrap/>
            <w:vAlign w:val="bottom"/>
            <w:hideMark/>
          </w:tcPr>
          <w:p w14:paraId="317E94F3"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5,37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5057E"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5,62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509D1A"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5,2</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79842"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20,69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88DD17"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15,76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68F46"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11,26</w:t>
            </w:r>
          </w:p>
        </w:tc>
        <w:tc>
          <w:tcPr>
            <w:tcW w:w="109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035B0D"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21,87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C8EDD7"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15,6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59556E"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10,96</w:t>
            </w:r>
          </w:p>
        </w:tc>
        <w:tc>
          <w:tcPr>
            <w:tcW w:w="371" w:type="dxa"/>
            <w:tcBorders>
              <w:left w:val="single" w:sz="4" w:space="0" w:color="auto"/>
            </w:tcBorders>
            <w:vAlign w:val="center"/>
            <w:hideMark/>
          </w:tcPr>
          <w:p w14:paraId="322F2E69" w14:textId="77777777" w:rsidR="001A71D8" w:rsidRDefault="001A71D8">
            <w:pPr>
              <w:rPr>
                <w:sz w:val="20"/>
                <w:szCs w:val="20"/>
              </w:rPr>
            </w:pPr>
          </w:p>
        </w:tc>
      </w:tr>
      <w:tr w:rsidR="006E2F5B" w14:paraId="1D2F67DB" w14:textId="77777777" w:rsidTr="00A86A29">
        <w:trPr>
          <w:gridAfter w:val="1"/>
          <w:wAfter w:w="29" w:type="dxa"/>
          <w:trHeight w:val="273"/>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14:paraId="3D809914"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64</w:t>
            </w:r>
          </w:p>
        </w:tc>
        <w:tc>
          <w:tcPr>
            <w:tcW w:w="593" w:type="dxa"/>
            <w:tcBorders>
              <w:top w:val="nil"/>
              <w:left w:val="nil"/>
              <w:bottom w:val="single" w:sz="4" w:space="0" w:color="auto"/>
              <w:right w:val="single" w:sz="4" w:space="0" w:color="auto"/>
            </w:tcBorders>
            <w:shd w:val="clear" w:color="auto" w:fill="auto"/>
            <w:noWrap/>
            <w:vAlign w:val="bottom"/>
            <w:hideMark/>
          </w:tcPr>
          <w:p w14:paraId="097D5EE6"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15</w:t>
            </w:r>
          </w:p>
        </w:tc>
        <w:tc>
          <w:tcPr>
            <w:tcW w:w="476" w:type="dxa"/>
            <w:tcBorders>
              <w:top w:val="nil"/>
              <w:left w:val="nil"/>
              <w:bottom w:val="single" w:sz="4" w:space="0" w:color="auto"/>
              <w:right w:val="single" w:sz="4" w:space="0" w:color="auto"/>
            </w:tcBorders>
            <w:shd w:val="clear" w:color="auto" w:fill="auto"/>
            <w:noWrap/>
            <w:vAlign w:val="bottom"/>
            <w:hideMark/>
          </w:tcPr>
          <w:p w14:paraId="29AE4DBC" w14:textId="77777777" w:rsidR="001A71D8" w:rsidRDefault="001A71D8">
            <w:pPr>
              <w:jc w:val="right"/>
              <w:rPr>
                <w:rFonts w:ascii="Aptos Narrow" w:hAnsi="Aptos Narrow"/>
                <w:b/>
                <w:bCs/>
                <w:color w:val="000000"/>
                <w:sz w:val="22"/>
                <w:szCs w:val="22"/>
              </w:rPr>
            </w:pPr>
            <w:r>
              <w:rPr>
                <w:rFonts w:ascii="Aptos Narrow" w:hAnsi="Aptos Narrow"/>
                <w:b/>
                <w:bCs/>
                <w:color w:val="000000"/>
                <w:sz w:val="22"/>
                <w:szCs w:val="22"/>
              </w:rPr>
              <w:t>-3</w:t>
            </w:r>
          </w:p>
        </w:tc>
        <w:tc>
          <w:tcPr>
            <w:tcW w:w="1219" w:type="dxa"/>
            <w:tcBorders>
              <w:top w:val="single" w:sz="4" w:space="0" w:color="auto"/>
              <w:left w:val="nil"/>
              <w:bottom w:val="single" w:sz="4" w:space="0" w:color="auto"/>
              <w:right w:val="single" w:sz="4" w:space="0" w:color="auto"/>
            </w:tcBorders>
            <w:shd w:val="clear" w:color="auto" w:fill="auto"/>
            <w:noWrap/>
            <w:vAlign w:val="bottom"/>
            <w:hideMark/>
          </w:tcPr>
          <w:p w14:paraId="1EE8F745"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3,13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62E0F7"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3,61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5D47D5"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3,02</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99A9FF"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20,71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1B599B"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15,32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494B1A"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10,2</w:t>
            </w:r>
          </w:p>
        </w:tc>
        <w:tc>
          <w:tcPr>
            <w:tcW w:w="109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D2FC56"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21,82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74B8E"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15,2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8A5808"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9,47</w:t>
            </w:r>
          </w:p>
        </w:tc>
        <w:tc>
          <w:tcPr>
            <w:tcW w:w="371" w:type="dxa"/>
            <w:tcBorders>
              <w:left w:val="single" w:sz="4" w:space="0" w:color="auto"/>
            </w:tcBorders>
            <w:vAlign w:val="center"/>
            <w:hideMark/>
          </w:tcPr>
          <w:p w14:paraId="4C6015C1" w14:textId="77777777" w:rsidR="001A71D8" w:rsidRDefault="001A71D8">
            <w:pPr>
              <w:rPr>
                <w:sz w:val="20"/>
                <w:szCs w:val="20"/>
              </w:rPr>
            </w:pPr>
          </w:p>
        </w:tc>
      </w:tr>
      <w:tr w:rsidR="006E2F5B" w14:paraId="36362F28" w14:textId="77777777" w:rsidTr="00A86A29">
        <w:trPr>
          <w:gridAfter w:val="1"/>
          <w:wAfter w:w="29" w:type="dxa"/>
          <w:trHeight w:val="273"/>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14:paraId="3EAFEEC3"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256</w:t>
            </w:r>
          </w:p>
        </w:tc>
        <w:tc>
          <w:tcPr>
            <w:tcW w:w="593" w:type="dxa"/>
            <w:tcBorders>
              <w:top w:val="nil"/>
              <w:left w:val="nil"/>
              <w:bottom w:val="single" w:sz="4" w:space="0" w:color="auto"/>
              <w:right w:val="single" w:sz="4" w:space="0" w:color="auto"/>
            </w:tcBorders>
            <w:shd w:val="clear" w:color="auto" w:fill="auto"/>
            <w:noWrap/>
            <w:vAlign w:val="bottom"/>
            <w:hideMark/>
          </w:tcPr>
          <w:p w14:paraId="7E677D23"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15</w:t>
            </w:r>
          </w:p>
        </w:tc>
        <w:tc>
          <w:tcPr>
            <w:tcW w:w="476" w:type="dxa"/>
            <w:tcBorders>
              <w:top w:val="nil"/>
              <w:left w:val="nil"/>
              <w:bottom w:val="single" w:sz="4" w:space="0" w:color="auto"/>
              <w:right w:val="single" w:sz="4" w:space="0" w:color="auto"/>
            </w:tcBorders>
            <w:shd w:val="clear" w:color="auto" w:fill="auto"/>
            <w:noWrap/>
            <w:vAlign w:val="bottom"/>
            <w:hideMark/>
          </w:tcPr>
          <w:p w14:paraId="6338A0CC" w14:textId="77777777" w:rsidR="001A71D8" w:rsidRDefault="001A71D8">
            <w:pPr>
              <w:jc w:val="right"/>
              <w:rPr>
                <w:rFonts w:ascii="Aptos Narrow" w:hAnsi="Aptos Narrow"/>
                <w:b/>
                <w:bCs/>
                <w:color w:val="000000"/>
                <w:sz w:val="22"/>
                <w:szCs w:val="22"/>
              </w:rPr>
            </w:pPr>
            <w:r>
              <w:rPr>
                <w:rFonts w:ascii="Aptos Narrow" w:hAnsi="Aptos Narrow"/>
                <w:b/>
                <w:bCs/>
                <w:color w:val="000000"/>
                <w:sz w:val="22"/>
                <w:szCs w:val="22"/>
              </w:rPr>
              <w:t>-3</w:t>
            </w:r>
          </w:p>
        </w:tc>
        <w:tc>
          <w:tcPr>
            <w:tcW w:w="1219" w:type="dxa"/>
            <w:tcBorders>
              <w:top w:val="single" w:sz="4" w:space="0" w:color="auto"/>
              <w:left w:val="nil"/>
              <w:bottom w:val="single" w:sz="4" w:space="0" w:color="auto"/>
              <w:right w:val="single" w:sz="4" w:space="0" w:color="auto"/>
            </w:tcBorders>
            <w:shd w:val="clear" w:color="auto" w:fill="auto"/>
            <w:noWrap/>
            <w:vAlign w:val="bottom"/>
            <w:hideMark/>
          </w:tcPr>
          <w:p w14:paraId="0E7DA055"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1,76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7C97C7"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2,38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757EE"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1,51</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55067F"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20,66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E72974"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15,22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2E0F99"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9,85</w:t>
            </w:r>
          </w:p>
        </w:tc>
        <w:tc>
          <w:tcPr>
            <w:tcW w:w="109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192CDC"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21,5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DACA50"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15,24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904975"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9,39</w:t>
            </w:r>
          </w:p>
        </w:tc>
        <w:tc>
          <w:tcPr>
            <w:tcW w:w="371" w:type="dxa"/>
            <w:tcBorders>
              <w:left w:val="single" w:sz="4" w:space="0" w:color="auto"/>
            </w:tcBorders>
            <w:vAlign w:val="center"/>
            <w:hideMark/>
          </w:tcPr>
          <w:p w14:paraId="015F0B03" w14:textId="77777777" w:rsidR="001A71D8" w:rsidRDefault="001A71D8">
            <w:pPr>
              <w:rPr>
                <w:sz w:val="20"/>
                <w:szCs w:val="20"/>
              </w:rPr>
            </w:pPr>
          </w:p>
        </w:tc>
      </w:tr>
      <w:tr w:rsidR="006E2F5B" w14:paraId="058FB547" w14:textId="77777777" w:rsidTr="00A86A29">
        <w:trPr>
          <w:gridAfter w:val="1"/>
          <w:wAfter w:w="29" w:type="dxa"/>
          <w:trHeight w:val="273"/>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14:paraId="57BBECCB"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1024</w:t>
            </w:r>
          </w:p>
        </w:tc>
        <w:tc>
          <w:tcPr>
            <w:tcW w:w="593" w:type="dxa"/>
            <w:tcBorders>
              <w:top w:val="nil"/>
              <w:left w:val="nil"/>
              <w:bottom w:val="single" w:sz="4" w:space="0" w:color="auto"/>
              <w:right w:val="single" w:sz="4" w:space="0" w:color="auto"/>
            </w:tcBorders>
            <w:shd w:val="clear" w:color="auto" w:fill="auto"/>
            <w:noWrap/>
            <w:vAlign w:val="bottom"/>
            <w:hideMark/>
          </w:tcPr>
          <w:p w14:paraId="5F781630"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15</w:t>
            </w:r>
          </w:p>
        </w:tc>
        <w:tc>
          <w:tcPr>
            <w:tcW w:w="476" w:type="dxa"/>
            <w:tcBorders>
              <w:top w:val="nil"/>
              <w:left w:val="nil"/>
              <w:bottom w:val="single" w:sz="4" w:space="0" w:color="auto"/>
              <w:right w:val="single" w:sz="4" w:space="0" w:color="auto"/>
            </w:tcBorders>
            <w:shd w:val="clear" w:color="auto" w:fill="auto"/>
            <w:noWrap/>
            <w:vAlign w:val="bottom"/>
            <w:hideMark/>
          </w:tcPr>
          <w:p w14:paraId="1CF8259A" w14:textId="77777777" w:rsidR="001A71D8" w:rsidRDefault="001A71D8">
            <w:pPr>
              <w:jc w:val="right"/>
              <w:rPr>
                <w:rFonts w:ascii="Aptos Narrow" w:hAnsi="Aptos Narrow"/>
                <w:b/>
                <w:bCs/>
                <w:color w:val="000000"/>
                <w:sz w:val="22"/>
                <w:szCs w:val="22"/>
              </w:rPr>
            </w:pPr>
            <w:r>
              <w:rPr>
                <w:rFonts w:ascii="Aptos Narrow" w:hAnsi="Aptos Narrow"/>
                <w:b/>
                <w:bCs/>
                <w:color w:val="000000"/>
                <w:sz w:val="22"/>
                <w:szCs w:val="22"/>
              </w:rPr>
              <w:t>-3</w:t>
            </w:r>
          </w:p>
        </w:tc>
        <w:tc>
          <w:tcPr>
            <w:tcW w:w="1219" w:type="dxa"/>
            <w:tcBorders>
              <w:top w:val="single" w:sz="4" w:space="0" w:color="auto"/>
              <w:left w:val="nil"/>
              <w:bottom w:val="single" w:sz="4" w:space="0" w:color="auto"/>
              <w:right w:val="single" w:sz="4" w:space="0" w:color="auto"/>
            </w:tcBorders>
            <w:shd w:val="clear" w:color="auto" w:fill="auto"/>
            <w:noWrap/>
            <w:vAlign w:val="bottom"/>
            <w:hideMark/>
          </w:tcPr>
          <w:p w14:paraId="76C74994"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1,64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E9B4A"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2,36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784EB6"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1,37</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705403"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20,75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53E444"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15,18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68AAC5"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9,77</w:t>
            </w:r>
          </w:p>
        </w:tc>
        <w:tc>
          <w:tcPr>
            <w:tcW w:w="109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6C0589"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21,69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1D22F4"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15,14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29760"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9,44</w:t>
            </w:r>
          </w:p>
        </w:tc>
        <w:tc>
          <w:tcPr>
            <w:tcW w:w="371" w:type="dxa"/>
            <w:tcBorders>
              <w:left w:val="single" w:sz="4" w:space="0" w:color="auto"/>
            </w:tcBorders>
            <w:vAlign w:val="center"/>
            <w:hideMark/>
          </w:tcPr>
          <w:p w14:paraId="54060236" w14:textId="77777777" w:rsidR="001A71D8" w:rsidRDefault="001A71D8">
            <w:pPr>
              <w:rPr>
                <w:sz w:val="20"/>
                <w:szCs w:val="20"/>
              </w:rPr>
            </w:pPr>
          </w:p>
        </w:tc>
      </w:tr>
      <w:tr w:rsidR="006E2F5B" w14:paraId="52E82934" w14:textId="77777777" w:rsidTr="00A86A29">
        <w:trPr>
          <w:gridAfter w:val="1"/>
          <w:wAfter w:w="29" w:type="dxa"/>
          <w:trHeight w:val="273"/>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14:paraId="752A083B"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16</w:t>
            </w:r>
          </w:p>
        </w:tc>
        <w:tc>
          <w:tcPr>
            <w:tcW w:w="593" w:type="dxa"/>
            <w:tcBorders>
              <w:top w:val="nil"/>
              <w:left w:val="nil"/>
              <w:bottom w:val="single" w:sz="4" w:space="0" w:color="auto"/>
              <w:right w:val="single" w:sz="4" w:space="0" w:color="auto"/>
            </w:tcBorders>
            <w:shd w:val="clear" w:color="auto" w:fill="auto"/>
            <w:noWrap/>
            <w:vAlign w:val="bottom"/>
            <w:hideMark/>
          </w:tcPr>
          <w:p w14:paraId="688ABC69"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15</w:t>
            </w:r>
          </w:p>
        </w:tc>
        <w:tc>
          <w:tcPr>
            <w:tcW w:w="476" w:type="dxa"/>
            <w:tcBorders>
              <w:top w:val="nil"/>
              <w:left w:val="nil"/>
              <w:bottom w:val="single" w:sz="4" w:space="0" w:color="auto"/>
              <w:right w:val="single" w:sz="4" w:space="0" w:color="auto"/>
            </w:tcBorders>
            <w:shd w:val="clear" w:color="auto" w:fill="auto"/>
            <w:noWrap/>
            <w:vAlign w:val="bottom"/>
            <w:hideMark/>
          </w:tcPr>
          <w:p w14:paraId="2D6B0773" w14:textId="77777777" w:rsidR="001A71D8" w:rsidRDefault="001A71D8">
            <w:pPr>
              <w:jc w:val="right"/>
              <w:rPr>
                <w:rFonts w:ascii="Aptos Narrow" w:hAnsi="Aptos Narrow"/>
                <w:b/>
                <w:bCs/>
                <w:color w:val="000000"/>
                <w:sz w:val="22"/>
                <w:szCs w:val="22"/>
              </w:rPr>
            </w:pPr>
            <w:r>
              <w:rPr>
                <w:rFonts w:ascii="Aptos Narrow" w:hAnsi="Aptos Narrow"/>
                <w:b/>
                <w:bCs/>
                <w:color w:val="000000"/>
                <w:sz w:val="22"/>
                <w:szCs w:val="22"/>
              </w:rPr>
              <w:t>0</w:t>
            </w:r>
          </w:p>
        </w:tc>
        <w:tc>
          <w:tcPr>
            <w:tcW w:w="1219" w:type="dxa"/>
            <w:tcBorders>
              <w:top w:val="single" w:sz="4" w:space="0" w:color="auto"/>
              <w:left w:val="nil"/>
              <w:bottom w:val="single" w:sz="4" w:space="0" w:color="auto"/>
              <w:right w:val="single" w:sz="4" w:space="0" w:color="auto"/>
            </w:tcBorders>
            <w:shd w:val="clear" w:color="auto" w:fill="auto"/>
            <w:noWrap/>
            <w:vAlign w:val="bottom"/>
            <w:hideMark/>
          </w:tcPr>
          <w:p w14:paraId="7E09918D"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10,35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1D910"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10,31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2AFB"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10,31</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2AB5CE"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15,43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8D5269"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13,59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9F774A"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11,75</w:t>
            </w:r>
          </w:p>
        </w:tc>
        <w:tc>
          <w:tcPr>
            <w:tcW w:w="109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B01000"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16,09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6299BB"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14,27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B06A96"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11,79</w:t>
            </w:r>
          </w:p>
        </w:tc>
        <w:tc>
          <w:tcPr>
            <w:tcW w:w="371" w:type="dxa"/>
            <w:tcBorders>
              <w:left w:val="single" w:sz="4" w:space="0" w:color="auto"/>
            </w:tcBorders>
            <w:vAlign w:val="center"/>
            <w:hideMark/>
          </w:tcPr>
          <w:p w14:paraId="1EF5B331" w14:textId="77777777" w:rsidR="001A71D8" w:rsidRDefault="001A71D8">
            <w:pPr>
              <w:rPr>
                <w:sz w:val="20"/>
                <w:szCs w:val="20"/>
              </w:rPr>
            </w:pPr>
          </w:p>
        </w:tc>
      </w:tr>
      <w:tr w:rsidR="006E2F5B" w14:paraId="5157D529" w14:textId="77777777" w:rsidTr="00A86A29">
        <w:trPr>
          <w:gridAfter w:val="1"/>
          <w:wAfter w:w="29" w:type="dxa"/>
          <w:trHeight w:val="273"/>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14:paraId="2F8197E4"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32</w:t>
            </w:r>
          </w:p>
        </w:tc>
        <w:tc>
          <w:tcPr>
            <w:tcW w:w="593" w:type="dxa"/>
            <w:tcBorders>
              <w:top w:val="nil"/>
              <w:left w:val="nil"/>
              <w:bottom w:val="single" w:sz="4" w:space="0" w:color="auto"/>
              <w:right w:val="single" w:sz="4" w:space="0" w:color="auto"/>
            </w:tcBorders>
            <w:shd w:val="clear" w:color="auto" w:fill="auto"/>
            <w:noWrap/>
            <w:vAlign w:val="bottom"/>
            <w:hideMark/>
          </w:tcPr>
          <w:p w14:paraId="19ACE42A"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15</w:t>
            </w:r>
          </w:p>
        </w:tc>
        <w:tc>
          <w:tcPr>
            <w:tcW w:w="476" w:type="dxa"/>
            <w:tcBorders>
              <w:top w:val="nil"/>
              <w:left w:val="nil"/>
              <w:bottom w:val="single" w:sz="4" w:space="0" w:color="auto"/>
              <w:right w:val="single" w:sz="4" w:space="0" w:color="auto"/>
            </w:tcBorders>
            <w:shd w:val="clear" w:color="auto" w:fill="auto"/>
            <w:noWrap/>
            <w:vAlign w:val="bottom"/>
            <w:hideMark/>
          </w:tcPr>
          <w:p w14:paraId="18B9ED09" w14:textId="77777777" w:rsidR="001A71D8" w:rsidRDefault="001A71D8">
            <w:pPr>
              <w:jc w:val="right"/>
              <w:rPr>
                <w:rFonts w:ascii="Aptos Narrow" w:hAnsi="Aptos Narrow"/>
                <w:b/>
                <w:bCs/>
                <w:color w:val="000000"/>
                <w:sz w:val="22"/>
                <w:szCs w:val="22"/>
              </w:rPr>
            </w:pPr>
            <w:r>
              <w:rPr>
                <w:rFonts w:ascii="Aptos Narrow" w:hAnsi="Aptos Narrow"/>
                <w:b/>
                <w:bCs/>
                <w:color w:val="000000"/>
                <w:sz w:val="22"/>
                <w:szCs w:val="22"/>
              </w:rPr>
              <w:t>0</w:t>
            </w:r>
          </w:p>
        </w:tc>
        <w:tc>
          <w:tcPr>
            <w:tcW w:w="1219" w:type="dxa"/>
            <w:tcBorders>
              <w:top w:val="single" w:sz="4" w:space="0" w:color="auto"/>
              <w:left w:val="nil"/>
              <w:bottom w:val="single" w:sz="4" w:space="0" w:color="auto"/>
              <w:right w:val="single" w:sz="4" w:space="0" w:color="auto"/>
            </w:tcBorders>
            <w:shd w:val="clear" w:color="auto" w:fill="auto"/>
            <w:noWrap/>
            <w:vAlign w:val="bottom"/>
            <w:hideMark/>
          </w:tcPr>
          <w:p w14:paraId="2FC73A94"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5,09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1EFE1C"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5,42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073072"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5,09</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DA48B2"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12,78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3D936"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9,91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0D2E6"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8,02</w:t>
            </w:r>
          </w:p>
        </w:tc>
        <w:tc>
          <w:tcPr>
            <w:tcW w:w="109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B772C9"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14,07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BB4976"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11,32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FDEF70"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7,97</w:t>
            </w:r>
          </w:p>
        </w:tc>
        <w:tc>
          <w:tcPr>
            <w:tcW w:w="371" w:type="dxa"/>
            <w:tcBorders>
              <w:left w:val="single" w:sz="4" w:space="0" w:color="auto"/>
            </w:tcBorders>
            <w:vAlign w:val="center"/>
            <w:hideMark/>
          </w:tcPr>
          <w:p w14:paraId="30D75EAD" w14:textId="77777777" w:rsidR="001A71D8" w:rsidRDefault="001A71D8">
            <w:pPr>
              <w:rPr>
                <w:sz w:val="20"/>
                <w:szCs w:val="20"/>
              </w:rPr>
            </w:pPr>
          </w:p>
        </w:tc>
      </w:tr>
      <w:tr w:rsidR="006E2F5B" w14:paraId="3CABC16E" w14:textId="77777777" w:rsidTr="00A86A29">
        <w:trPr>
          <w:gridAfter w:val="1"/>
          <w:wAfter w:w="29" w:type="dxa"/>
          <w:trHeight w:val="273"/>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14:paraId="31995638"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64</w:t>
            </w:r>
          </w:p>
        </w:tc>
        <w:tc>
          <w:tcPr>
            <w:tcW w:w="593" w:type="dxa"/>
            <w:tcBorders>
              <w:top w:val="nil"/>
              <w:left w:val="nil"/>
              <w:bottom w:val="single" w:sz="4" w:space="0" w:color="auto"/>
              <w:right w:val="single" w:sz="4" w:space="0" w:color="auto"/>
            </w:tcBorders>
            <w:shd w:val="clear" w:color="auto" w:fill="auto"/>
            <w:noWrap/>
            <w:vAlign w:val="bottom"/>
            <w:hideMark/>
          </w:tcPr>
          <w:p w14:paraId="628D7164"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15</w:t>
            </w:r>
          </w:p>
        </w:tc>
        <w:tc>
          <w:tcPr>
            <w:tcW w:w="476" w:type="dxa"/>
            <w:tcBorders>
              <w:top w:val="nil"/>
              <w:left w:val="nil"/>
              <w:bottom w:val="single" w:sz="4" w:space="0" w:color="auto"/>
              <w:right w:val="single" w:sz="4" w:space="0" w:color="auto"/>
            </w:tcBorders>
            <w:shd w:val="clear" w:color="auto" w:fill="auto"/>
            <w:noWrap/>
            <w:vAlign w:val="bottom"/>
            <w:hideMark/>
          </w:tcPr>
          <w:p w14:paraId="6743FB5E" w14:textId="77777777" w:rsidR="001A71D8" w:rsidRDefault="001A71D8">
            <w:pPr>
              <w:jc w:val="right"/>
              <w:rPr>
                <w:rFonts w:ascii="Aptos Narrow" w:hAnsi="Aptos Narrow"/>
                <w:b/>
                <w:bCs/>
                <w:color w:val="000000"/>
                <w:sz w:val="22"/>
                <w:szCs w:val="22"/>
              </w:rPr>
            </w:pPr>
            <w:r>
              <w:rPr>
                <w:rFonts w:ascii="Aptos Narrow" w:hAnsi="Aptos Narrow"/>
                <w:b/>
                <w:bCs/>
                <w:color w:val="000000"/>
                <w:sz w:val="22"/>
                <w:szCs w:val="22"/>
              </w:rPr>
              <w:t>0</w:t>
            </w:r>
          </w:p>
        </w:tc>
        <w:tc>
          <w:tcPr>
            <w:tcW w:w="1219" w:type="dxa"/>
            <w:tcBorders>
              <w:top w:val="single" w:sz="4" w:space="0" w:color="auto"/>
              <w:left w:val="nil"/>
              <w:bottom w:val="single" w:sz="4" w:space="0" w:color="auto"/>
              <w:right w:val="single" w:sz="4" w:space="0" w:color="auto"/>
            </w:tcBorders>
            <w:shd w:val="clear" w:color="auto" w:fill="auto"/>
            <w:noWrap/>
            <w:vAlign w:val="bottom"/>
            <w:hideMark/>
          </w:tcPr>
          <w:p w14:paraId="360F3086"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2,75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C54351"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3,02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B474EF"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2,74</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F6CE11"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11,66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4C2276"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9,1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30339"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6,4</w:t>
            </w:r>
          </w:p>
        </w:tc>
        <w:tc>
          <w:tcPr>
            <w:tcW w:w="109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2F935F"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13,01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5927C"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9,46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4152FA"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6,6</w:t>
            </w:r>
          </w:p>
        </w:tc>
        <w:tc>
          <w:tcPr>
            <w:tcW w:w="371" w:type="dxa"/>
            <w:tcBorders>
              <w:left w:val="single" w:sz="4" w:space="0" w:color="auto"/>
            </w:tcBorders>
            <w:vAlign w:val="center"/>
            <w:hideMark/>
          </w:tcPr>
          <w:p w14:paraId="2918EF94" w14:textId="77777777" w:rsidR="001A71D8" w:rsidRDefault="001A71D8">
            <w:pPr>
              <w:rPr>
                <w:sz w:val="20"/>
                <w:szCs w:val="20"/>
              </w:rPr>
            </w:pPr>
          </w:p>
        </w:tc>
      </w:tr>
      <w:tr w:rsidR="006E2F5B" w14:paraId="26B384C8" w14:textId="77777777" w:rsidTr="00A86A29">
        <w:trPr>
          <w:gridAfter w:val="1"/>
          <w:wAfter w:w="29" w:type="dxa"/>
          <w:trHeight w:val="273"/>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14:paraId="24286970"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256</w:t>
            </w:r>
          </w:p>
        </w:tc>
        <w:tc>
          <w:tcPr>
            <w:tcW w:w="593" w:type="dxa"/>
            <w:tcBorders>
              <w:top w:val="nil"/>
              <w:left w:val="nil"/>
              <w:bottom w:val="single" w:sz="4" w:space="0" w:color="auto"/>
              <w:right w:val="single" w:sz="4" w:space="0" w:color="auto"/>
            </w:tcBorders>
            <w:shd w:val="clear" w:color="auto" w:fill="auto"/>
            <w:noWrap/>
            <w:vAlign w:val="bottom"/>
            <w:hideMark/>
          </w:tcPr>
          <w:p w14:paraId="3D61A450"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15</w:t>
            </w:r>
          </w:p>
        </w:tc>
        <w:tc>
          <w:tcPr>
            <w:tcW w:w="476" w:type="dxa"/>
            <w:tcBorders>
              <w:top w:val="nil"/>
              <w:left w:val="nil"/>
              <w:bottom w:val="single" w:sz="4" w:space="0" w:color="auto"/>
              <w:right w:val="single" w:sz="4" w:space="0" w:color="auto"/>
            </w:tcBorders>
            <w:shd w:val="clear" w:color="auto" w:fill="auto"/>
            <w:noWrap/>
            <w:vAlign w:val="bottom"/>
            <w:hideMark/>
          </w:tcPr>
          <w:p w14:paraId="65E9547F" w14:textId="77777777" w:rsidR="001A71D8" w:rsidRDefault="001A71D8">
            <w:pPr>
              <w:jc w:val="right"/>
              <w:rPr>
                <w:rFonts w:ascii="Aptos Narrow" w:hAnsi="Aptos Narrow"/>
                <w:b/>
                <w:bCs/>
                <w:color w:val="000000"/>
                <w:sz w:val="22"/>
                <w:szCs w:val="22"/>
              </w:rPr>
            </w:pPr>
            <w:r>
              <w:rPr>
                <w:rFonts w:ascii="Aptos Narrow" w:hAnsi="Aptos Narrow"/>
                <w:b/>
                <w:bCs/>
                <w:color w:val="000000"/>
                <w:sz w:val="22"/>
                <w:szCs w:val="22"/>
              </w:rPr>
              <w:t>0</w:t>
            </w:r>
          </w:p>
        </w:tc>
        <w:tc>
          <w:tcPr>
            <w:tcW w:w="1219" w:type="dxa"/>
            <w:tcBorders>
              <w:top w:val="single" w:sz="4" w:space="0" w:color="auto"/>
              <w:left w:val="nil"/>
              <w:bottom w:val="single" w:sz="4" w:space="0" w:color="auto"/>
              <w:right w:val="single" w:sz="4" w:space="0" w:color="auto"/>
            </w:tcBorders>
            <w:shd w:val="clear" w:color="auto" w:fill="auto"/>
            <w:noWrap/>
            <w:vAlign w:val="bottom"/>
            <w:hideMark/>
          </w:tcPr>
          <w:p w14:paraId="435B7842"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1,22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159F0"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1,72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841D7C"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1,1</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BFAF4"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11,62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876BD5"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8,49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40BAB3"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5,81</w:t>
            </w:r>
          </w:p>
        </w:tc>
        <w:tc>
          <w:tcPr>
            <w:tcW w:w="109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472339"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12,57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EEC0B"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9,53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522D86" w14:textId="77777777" w:rsidR="001A71D8" w:rsidRDefault="001A71D8" w:rsidP="003E2475">
            <w:pPr>
              <w:rPr>
                <w:rFonts w:ascii="Aptos Narrow" w:hAnsi="Aptos Narrow"/>
                <w:color w:val="000000"/>
                <w:sz w:val="22"/>
                <w:szCs w:val="22"/>
              </w:rPr>
            </w:pPr>
            <w:r>
              <w:rPr>
                <w:rFonts w:ascii="Aptos Narrow" w:hAnsi="Aptos Narrow"/>
                <w:color w:val="000000"/>
                <w:sz w:val="22"/>
                <w:szCs w:val="22"/>
              </w:rPr>
              <w:t>5,99</w:t>
            </w:r>
          </w:p>
        </w:tc>
        <w:tc>
          <w:tcPr>
            <w:tcW w:w="371" w:type="dxa"/>
            <w:tcBorders>
              <w:left w:val="single" w:sz="4" w:space="0" w:color="auto"/>
            </w:tcBorders>
            <w:vAlign w:val="center"/>
            <w:hideMark/>
          </w:tcPr>
          <w:p w14:paraId="11A94B1E" w14:textId="77777777" w:rsidR="001A71D8" w:rsidRDefault="001A71D8">
            <w:pPr>
              <w:rPr>
                <w:sz w:val="20"/>
                <w:szCs w:val="20"/>
              </w:rPr>
            </w:pPr>
          </w:p>
        </w:tc>
      </w:tr>
      <w:tr w:rsidR="006E2F5B" w14:paraId="75352115" w14:textId="77777777" w:rsidTr="00A86A29">
        <w:trPr>
          <w:gridAfter w:val="1"/>
          <w:wAfter w:w="29" w:type="dxa"/>
          <w:trHeight w:val="273"/>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14:paraId="4FF9C00D"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1024</w:t>
            </w:r>
          </w:p>
        </w:tc>
        <w:tc>
          <w:tcPr>
            <w:tcW w:w="593" w:type="dxa"/>
            <w:tcBorders>
              <w:top w:val="nil"/>
              <w:left w:val="nil"/>
              <w:bottom w:val="single" w:sz="4" w:space="0" w:color="auto"/>
              <w:right w:val="single" w:sz="4" w:space="0" w:color="auto"/>
            </w:tcBorders>
            <w:shd w:val="clear" w:color="auto" w:fill="auto"/>
            <w:noWrap/>
            <w:vAlign w:val="bottom"/>
            <w:hideMark/>
          </w:tcPr>
          <w:p w14:paraId="3B4992EE"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15</w:t>
            </w:r>
          </w:p>
        </w:tc>
        <w:tc>
          <w:tcPr>
            <w:tcW w:w="476" w:type="dxa"/>
            <w:tcBorders>
              <w:top w:val="nil"/>
              <w:left w:val="nil"/>
              <w:bottom w:val="single" w:sz="4" w:space="0" w:color="auto"/>
              <w:right w:val="single" w:sz="4" w:space="0" w:color="auto"/>
            </w:tcBorders>
            <w:shd w:val="clear" w:color="auto" w:fill="auto"/>
            <w:noWrap/>
            <w:vAlign w:val="bottom"/>
            <w:hideMark/>
          </w:tcPr>
          <w:p w14:paraId="109696FF" w14:textId="77777777" w:rsidR="001A71D8" w:rsidRDefault="001A71D8">
            <w:pPr>
              <w:jc w:val="right"/>
              <w:rPr>
                <w:rFonts w:ascii="Aptos Narrow" w:hAnsi="Aptos Narrow"/>
                <w:b/>
                <w:bCs/>
                <w:color w:val="000000"/>
                <w:sz w:val="22"/>
                <w:szCs w:val="22"/>
              </w:rPr>
            </w:pPr>
            <w:r>
              <w:rPr>
                <w:rFonts w:ascii="Aptos Narrow" w:hAnsi="Aptos Narrow"/>
                <w:b/>
                <w:bCs/>
                <w:color w:val="000000"/>
                <w:sz w:val="22"/>
                <w:szCs w:val="22"/>
              </w:rPr>
              <w:t>0</w:t>
            </w:r>
          </w:p>
        </w:tc>
        <w:tc>
          <w:tcPr>
            <w:tcW w:w="1219" w:type="dxa"/>
            <w:tcBorders>
              <w:top w:val="single" w:sz="4" w:space="0" w:color="auto"/>
              <w:left w:val="nil"/>
              <w:bottom w:val="single" w:sz="4" w:space="0" w:color="auto"/>
              <w:right w:val="single" w:sz="4" w:space="0" w:color="auto"/>
            </w:tcBorders>
            <w:shd w:val="clear" w:color="auto" w:fill="auto"/>
            <w:noWrap/>
            <w:vAlign w:val="bottom"/>
            <w:hideMark/>
          </w:tcPr>
          <w:p w14:paraId="7C2B62A4"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0,99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41BA6"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1,66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5582B4"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0,94</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83ED3C"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11,82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30F954"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8,59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D9DFE3"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5,78</w:t>
            </w:r>
          </w:p>
        </w:tc>
        <w:tc>
          <w:tcPr>
            <w:tcW w:w="109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6ECF2C"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12,41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0E9E4F"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9,4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DBEF93"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5,84</w:t>
            </w:r>
          </w:p>
        </w:tc>
        <w:tc>
          <w:tcPr>
            <w:tcW w:w="371" w:type="dxa"/>
            <w:tcBorders>
              <w:left w:val="single" w:sz="4" w:space="0" w:color="auto"/>
            </w:tcBorders>
            <w:vAlign w:val="center"/>
            <w:hideMark/>
          </w:tcPr>
          <w:p w14:paraId="2A82C10F" w14:textId="77777777" w:rsidR="001A71D8" w:rsidRDefault="001A71D8">
            <w:pPr>
              <w:rPr>
                <w:sz w:val="20"/>
                <w:szCs w:val="20"/>
              </w:rPr>
            </w:pPr>
          </w:p>
        </w:tc>
      </w:tr>
      <w:tr w:rsidR="006E2F5B" w14:paraId="440BFC4F" w14:textId="77777777" w:rsidTr="00A86A29">
        <w:trPr>
          <w:gridAfter w:val="1"/>
          <w:wAfter w:w="29" w:type="dxa"/>
          <w:trHeight w:val="273"/>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14:paraId="12430B28"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16</w:t>
            </w:r>
          </w:p>
        </w:tc>
        <w:tc>
          <w:tcPr>
            <w:tcW w:w="593" w:type="dxa"/>
            <w:tcBorders>
              <w:top w:val="nil"/>
              <w:left w:val="nil"/>
              <w:bottom w:val="single" w:sz="4" w:space="0" w:color="auto"/>
              <w:right w:val="single" w:sz="4" w:space="0" w:color="auto"/>
            </w:tcBorders>
            <w:shd w:val="clear" w:color="auto" w:fill="auto"/>
            <w:noWrap/>
            <w:vAlign w:val="bottom"/>
            <w:hideMark/>
          </w:tcPr>
          <w:p w14:paraId="310FBFFE"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15</w:t>
            </w:r>
          </w:p>
        </w:tc>
        <w:tc>
          <w:tcPr>
            <w:tcW w:w="476" w:type="dxa"/>
            <w:tcBorders>
              <w:top w:val="nil"/>
              <w:left w:val="nil"/>
              <w:bottom w:val="single" w:sz="4" w:space="0" w:color="auto"/>
              <w:right w:val="single" w:sz="4" w:space="0" w:color="auto"/>
            </w:tcBorders>
            <w:shd w:val="clear" w:color="auto" w:fill="auto"/>
            <w:noWrap/>
            <w:vAlign w:val="bottom"/>
            <w:hideMark/>
          </w:tcPr>
          <w:p w14:paraId="44455189" w14:textId="77777777" w:rsidR="001A71D8" w:rsidRDefault="001A71D8">
            <w:pPr>
              <w:jc w:val="right"/>
              <w:rPr>
                <w:rFonts w:ascii="Aptos Narrow" w:hAnsi="Aptos Narrow"/>
                <w:b/>
                <w:bCs/>
                <w:color w:val="000000"/>
                <w:sz w:val="22"/>
                <w:szCs w:val="22"/>
              </w:rPr>
            </w:pPr>
            <w:r>
              <w:rPr>
                <w:rFonts w:ascii="Aptos Narrow" w:hAnsi="Aptos Narrow"/>
                <w:b/>
                <w:bCs/>
                <w:color w:val="000000"/>
                <w:sz w:val="22"/>
                <w:szCs w:val="22"/>
              </w:rPr>
              <w:t>3</w:t>
            </w:r>
          </w:p>
        </w:tc>
        <w:tc>
          <w:tcPr>
            <w:tcW w:w="1219" w:type="dxa"/>
            <w:tcBorders>
              <w:top w:val="single" w:sz="4" w:space="0" w:color="auto"/>
              <w:left w:val="nil"/>
              <w:bottom w:val="single" w:sz="4" w:space="0" w:color="auto"/>
              <w:right w:val="single" w:sz="4" w:space="0" w:color="auto"/>
            </w:tcBorders>
            <w:shd w:val="clear" w:color="auto" w:fill="auto"/>
            <w:noWrap/>
            <w:vAlign w:val="bottom"/>
            <w:hideMark/>
          </w:tcPr>
          <w:p w14:paraId="3255BB94"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10,23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09E932"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10,15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43E120"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9,92</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09125"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12,28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6D107B"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12,12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1E28EF"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10,82</w:t>
            </w:r>
          </w:p>
        </w:tc>
        <w:tc>
          <w:tcPr>
            <w:tcW w:w="109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15222E"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13,04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D11E2"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11,95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33D667"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10,93</w:t>
            </w:r>
          </w:p>
        </w:tc>
        <w:tc>
          <w:tcPr>
            <w:tcW w:w="371" w:type="dxa"/>
            <w:tcBorders>
              <w:left w:val="single" w:sz="4" w:space="0" w:color="auto"/>
            </w:tcBorders>
            <w:vAlign w:val="center"/>
            <w:hideMark/>
          </w:tcPr>
          <w:p w14:paraId="49B51C50" w14:textId="77777777" w:rsidR="001A71D8" w:rsidRDefault="001A71D8">
            <w:pPr>
              <w:rPr>
                <w:sz w:val="20"/>
                <w:szCs w:val="20"/>
              </w:rPr>
            </w:pPr>
          </w:p>
        </w:tc>
      </w:tr>
      <w:tr w:rsidR="006E2F5B" w14:paraId="74FD915F" w14:textId="77777777" w:rsidTr="00A86A29">
        <w:trPr>
          <w:gridAfter w:val="1"/>
          <w:wAfter w:w="29" w:type="dxa"/>
          <w:trHeight w:val="273"/>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14:paraId="1ADB34F9"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32</w:t>
            </w:r>
          </w:p>
        </w:tc>
        <w:tc>
          <w:tcPr>
            <w:tcW w:w="593" w:type="dxa"/>
            <w:tcBorders>
              <w:top w:val="nil"/>
              <w:left w:val="nil"/>
              <w:bottom w:val="single" w:sz="4" w:space="0" w:color="auto"/>
              <w:right w:val="single" w:sz="4" w:space="0" w:color="auto"/>
            </w:tcBorders>
            <w:shd w:val="clear" w:color="auto" w:fill="auto"/>
            <w:noWrap/>
            <w:vAlign w:val="bottom"/>
            <w:hideMark/>
          </w:tcPr>
          <w:p w14:paraId="668BF8DD"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15</w:t>
            </w:r>
          </w:p>
        </w:tc>
        <w:tc>
          <w:tcPr>
            <w:tcW w:w="476" w:type="dxa"/>
            <w:tcBorders>
              <w:top w:val="nil"/>
              <w:left w:val="nil"/>
              <w:bottom w:val="single" w:sz="4" w:space="0" w:color="auto"/>
              <w:right w:val="single" w:sz="4" w:space="0" w:color="auto"/>
            </w:tcBorders>
            <w:shd w:val="clear" w:color="auto" w:fill="auto"/>
            <w:noWrap/>
            <w:vAlign w:val="bottom"/>
            <w:hideMark/>
          </w:tcPr>
          <w:p w14:paraId="22D73045" w14:textId="77777777" w:rsidR="001A71D8" w:rsidRDefault="001A71D8">
            <w:pPr>
              <w:jc w:val="right"/>
              <w:rPr>
                <w:rFonts w:ascii="Aptos Narrow" w:hAnsi="Aptos Narrow"/>
                <w:b/>
                <w:bCs/>
                <w:color w:val="000000"/>
                <w:sz w:val="22"/>
                <w:szCs w:val="22"/>
              </w:rPr>
            </w:pPr>
            <w:r>
              <w:rPr>
                <w:rFonts w:ascii="Aptos Narrow" w:hAnsi="Aptos Narrow"/>
                <w:b/>
                <w:bCs/>
                <w:color w:val="000000"/>
                <w:sz w:val="22"/>
                <w:szCs w:val="22"/>
              </w:rPr>
              <w:t>3</w:t>
            </w:r>
          </w:p>
        </w:tc>
        <w:tc>
          <w:tcPr>
            <w:tcW w:w="1219" w:type="dxa"/>
            <w:tcBorders>
              <w:top w:val="single" w:sz="4" w:space="0" w:color="auto"/>
              <w:left w:val="nil"/>
              <w:bottom w:val="single" w:sz="4" w:space="0" w:color="auto"/>
              <w:right w:val="single" w:sz="4" w:space="0" w:color="auto"/>
            </w:tcBorders>
            <w:shd w:val="clear" w:color="auto" w:fill="auto"/>
            <w:noWrap/>
            <w:vAlign w:val="bottom"/>
            <w:hideMark/>
          </w:tcPr>
          <w:p w14:paraId="346395D1"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5,05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74917"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5,17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3BF336"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5,17</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EE4232"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8,7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E615C"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7,9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9A0786"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6,5</w:t>
            </w:r>
          </w:p>
        </w:tc>
        <w:tc>
          <w:tcPr>
            <w:tcW w:w="109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1F7853"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9,26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57B70F"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8,06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6890D"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6,66</w:t>
            </w:r>
          </w:p>
        </w:tc>
        <w:tc>
          <w:tcPr>
            <w:tcW w:w="371" w:type="dxa"/>
            <w:tcBorders>
              <w:left w:val="single" w:sz="4" w:space="0" w:color="auto"/>
            </w:tcBorders>
            <w:vAlign w:val="center"/>
            <w:hideMark/>
          </w:tcPr>
          <w:p w14:paraId="6D947FF3" w14:textId="77777777" w:rsidR="001A71D8" w:rsidRDefault="001A71D8">
            <w:pPr>
              <w:rPr>
                <w:sz w:val="20"/>
                <w:szCs w:val="20"/>
              </w:rPr>
            </w:pPr>
          </w:p>
        </w:tc>
      </w:tr>
      <w:tr w:rsidR="006E2F5B" w14:paraId="125E2D44" w14:textId="77777777" w:rsidTr="00A86A29">
        <w:trPr>
          <w:gridAfter w:val="1"/>
          <w:wAfter w:w="29" w:type="dxa"/>
          <w:trHeight w:val="273"/>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14:paraId="3EBEF2B5"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64</w:t>
            </w:r>
          </w:p>
        </w:tc>
        <w:tc>
          <w:tcPr>
            <w:tcW w:w="593" w:type="dxa"/>
            <w:tcBorders>
              <w:top w:val="nil"/>
              <w:left w:val="nil"/>
              <w:bottom w:val="single" w:sz="4" w:space="0" w:color="auto"/>
              <w:right w:val="single" w:sz="4" w:space="0" w:color="auto"/>
            </w:tcBorders>
            <w:shd w:val="clear" w:color="auto" w:fill="auto"/>
            <w:noWrap/>
            <w:vAlign w:val="bottom"/>
            <w:hideMark/>
          </w:tcPr>
          <w:p w14:paraId="3E71D3B5"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15</w:t>
            </w:r>
          </w:p>
        </w:tc>
        <w:tc>
          <w:tcPr>
            <w:tcW w:w="476" w:type="dxa"/>
            <w:tcBorders>
              <w:top w:val="nil"/>
              <w:left w:val="nil"/>
              <w:bottom w:val="single" w:sz="4" w:space="0" w:color="auto"/>
              <w:right w:val="single" w:sz="4" w:space="0" w:color="auto"/>
            </w:tcBorders>
            <w:shd w:val="clear" w:color="auto" w:fill="auto"/>
            <w:noWrap/>
            <w:vAlign w:val="bottom"/>
            <w:hideMark/>
          </w:tcPr>
          <w:p w14:paraId="2FD3AB4F" w14:textId="77777777" w:rsidR="001A71D8" w:rsidRDefault="001A71D8">
            <w:pPr>
              <w:jc w:val="right"/>
              <w:rPr>
                <w:rFonts w:ascii="Aptos Narrow" w:hAnsi="Aptos Narrow"/>
                <w:b/>
                <w:bCs/>
                <w:color w:val="000000"/>
                <w:sz w:val="22"/>
                <w:szCs w:val="22"/>
              </w:rPr>
            </w:pPr>
            <w:r>
              <w:rPr>
                <w:rFonts w:ascii="Aptos Narrow" w:hAnsi="Aptos Narrow"/>
                <w:b/>
                <w:bCs/>
                <w:color w:val="000000"/>
                <w:sz w:val="22"/>
                <w:szCs w:val="22"/>
              </w:rPr>
              <w:t>3</w:t>
            </w:r>
          </w:p>
        </w:tc>
        <w:tc>
          <w:tcPr>
            <w:tcW w:w="1219" w:type="dxa"/>
            <w:tcBorders>
              <w:top w:val="single" w:sz="4" w:space="0" w:color="auto"/>
              <w:left w:val="nil"/>
              <w:bottom w:val="single" w:sz="4" w:space="0" w:color="auto"/>
              <w:right w:val="single" w:sz="4" w:space="0" w:color="auto"/>
            </w:tcBorders>
            <w:shd w:val="clear" w:color="auto" w:fill="auto"/>
            <w:noWrap/>
            <w:vAlign w:val="bottom"/>
            <w:hideMark/>
          </w:tcPr>
          <w:p w14:paraId="665FC665"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2,62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4B0296"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2,75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AEEB90"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2,55</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8FE090"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7,14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A6B86C"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6,32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FDE559"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4,66</w:t>
            </w:r>
          </w:p>
        </w:tc>
        <w:tc>
          <w:tcPr>
            <w:tcW w:w="109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544034"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7,65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2FDF8F"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6,81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A05487"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4,57</w:t>
            </w:r>
          </w:p>
        </w:tc>
        <w:tc>
          <w:tcPr>
            <w:tcW w:w="371" w:type="dxa"/>
            <w:tcBorders>
              <w:left w:val="single" w:sz="4" w:space="0" w:color="auto"/>
            </w:tcBorders>
            <w:vAlign w:val="center"/>
            <w:hideMark/>
          </w:tcPr>
          <w:p w14:paraId="5ED7A83E" w14:textId="77777777" w:rsidR="001A71D8" w:rsidRDefault="001A71D8">
            <w:pPr>
              <w:rPr>
                <w:sz w:val="20"/>
                <w:szCs w:val="20"/>
              </w:rPr>
            </w:pPr>
          </w:p>
        </w:tc>
      </w:tr>
      <w:tr w:rsidR="006E2F5B" w14:paraId="09C9FB10" w14:textId="77777777" w:rsidTr="00A86A29">
        <w:trPr>
          <w:gridAfter w:val="1"/>
          <w:wAfter w:w="29" w:type="dxa"/>
          <w:trHeight w:val="273"/>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14:paraId="41FB3BE8"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256</w:t>
            </w:r>
          </w:p>
        </w:tc>
        <w:tc>
          <w:tcPr>
            <w:tcW w:w="593" w:type="dxa"/>
            <w:tcBorders>
              <w:top w:val="nil"/>
              <w:left w:val="nil"/>
              <w:bottom w:val="single" w:sz="4" w:space="0" w:color="auto"/>
              <w:right w:val="single" w:sz="4" w:space="0" w:color="auto"/>
            </w:tcBorders>
            <w:shd w:val="clear" w:color="auto" w:fill="auto"/>
            <w:noWrap/>
            <w:vAlign w:val="bottom"/>
            <w:hideMark/>
          </w:tcPr>
          <w:p w14:paraId="5E360194"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15</w:t>
            </w:r>
          </w:p>
        </w:tc>
        <w:tc>
          <w:tcPr>
            <w:tcW w:w="476" w:type="dxa"/>
            <w:tcBorders>
              <w:top w:val="nil"/>
              <w:left w:val="nil"/>
              <w:bottom w:val="single" w:sz="4" w:space="0" w:color="auto"/>
              <w:right w:val="single" w:sz="4" w:space="0" w:color="auto"/>
            </w:tcBorders>
            <w:shd w:val="clear" w:color="auto" w:fill="auto"/>
            <w:noWrap/>
            <w:vAlign w:val="bottom"/>
            <w:hideMark/>
          </w:tcPr>
          <w:p w14:paraId="58E783D9" w14:textId="77777777" w:rsidR="001A71D8" w:rsidRDefault="001A71D8">
            <w:pPr>
              <w:jc w:val="right"/>
              <w:rPr>
                <w:rFonts w:ascii="Aptos Narrow" w:hAnsi="Aptos Narrow"/>
                <w:b/>
                <w:bCs/>
                <w:color w:val="000000"/>
                <w:sz w:val="22"/>
                <w:szCs w:val="22"/>
              </w:rPr>
            </w:pPr>
            <w:r>
              <w:rPr>
                <w:rFonts w:ascii="Aptos Narrow" w:hAnsi="Aptos Narrow"/>
                <w:b/>
                <w:bCs/>
                <w:color w:val="000000"/>
                <w:sz w:val="22"/>
                <w:szCs w:val="22"/>
              </w:rPr>
              <w:t>3</w:t>
            </w:r>
          </w:p>
        </w:tc>
        <w:tc>
          <w:tcPr>
            <w:tcW w:w="1219" w:type="dxa"/>
            <w:tcBorders>
              <w:top w:val="single" w:sz="4" w:space="0" w:color="auto"/>
              <w:left w:val="nil"/>
              <w:bottom w:val="single" w:sz="4" w:space="0" w:color="auto"/>
              <w:right w:val="single" w:sz="4" w:space="0" w:color="auto"/>
            </w:tcBorders>
            <w:shd w:val="clear" w:color="auto" w:fill="auto"/>
            <w:noWrap/>
            <w:vAlign w:val="bottom"/>
            <w:hideMark/>
          </w:tcPr>
          <w:p w14:paraId="44BA0A0D"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0,92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075FB"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1,23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5AEF2E"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0,95</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969F1E"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6,72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2E87D"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7DCBCB"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3,79</w:t>
            </w:r>
          </w:p>
        </w:tc>
        <w:tc>
          <w:tcPr>
            <w:tcW w:w="109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FFF00D"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7,45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A9239A"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6,18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C78E9B"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3,98</w:t>
            </w:r>
          </w:p>
        </w:tc>
        <w:tc>
          <w:tcPr>
            <w:tcW w:w="371" w:type="dxa"/>
            <w:tcBorders>
              <w:left w:val="single" w:sz="4" w:space="0" w:color="auto"/>
            </w:tcBorders>
            <w:vAlign w:val="center"/>
            <w:hideMark/>
          </w:tcPr>
          <w:p w14:paraId="5BB6AAF9" w14:textId="77777777" w:rsidR="001A71D8" w:rsidRDefault="001A71D8">
            <w:pPr>
              <w:rPr>
                <w:sz w:val="20"/>
                <w:szCs w:val="20"/>
              </w:rPr>
            </w:pPr>
          </w:p>
        </w:tc>
      </w:tr>
      <w:tr w:rsidR="006E2F5B" w14:paraId="17DB56C3" w14:textId="77777777" w:rsidTr="00A86A29">
        <w:trPr>
          <w:gridAfter w:val="1"/>
          <w:wAfter w:w="29" w:type="dxa"/>
          <w:trHeight w:val="273"/>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14:paraId="24B137CE"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1024</w:t>
            </w:r>
          </w:p>
        </w:tc>
        <w:tc>
          <w:tcPr>
            <w:tcW w:w="593" w:type="dxa"/>
            <w:tcBorders>
              <w:top w:val="nil"/>
              <w:left w:val="nil"/>
              <w:bottom w:val="single" w:sz="4" w:space="0" w:color="auto"/>
              <w:right w:val="single" w:sz="4" w:space="0" w:color="auto"/>
            </w:tcBorders>
            <w:shd w:val="clear" w:color="auto" w:fill="auto"/>
            <w:noWrap/>
            <w:vAlign w:val="bottom"/>
            <w:hideMark/>
          </w:tcPr>
          <w:p w14:paraId="3DB6AD02" w14:textId="77777777" w:rsidR="001A71D8" w:rsidRDefault="001A71D8">
            <w:pPr>
              <w:jc w:val="right"/>
              <w:rPr>
                <w:rFonts w:ascii="Aptos Narrow" w:hAnsi="Aptos Narrow"/>
                <w:color w:val="000000"/>
                <w:sz w:val="22"/>
                <w:szCs w:val="22"/>
              </w:rPr>
            </w:pPr>
            <w:r>
              <w:rPr>
                <w:rFonts w:ascii="Aptos Narrow" w:hAnsi="Aptos Narrow"/>
                <w:color w:val="000000"/>
                <w:sz w:val="22"/>
                <w:szCs w:val="22"/>
              </w:rPr>
              <w:t>15</w:t>
            </w:r>
          </w:p>
        </w:tc>
        <w:tc>
          <w:tcPr>
            <w:tcW w:w="476" w:type="dxa"/>
            <w:tcBorders>
              <w:top w:val="nil"/>
              <w:left w:val="nil"/>
              <w:bottom w:val="single" w:sz="4" w:space="0" w:color="auto"/>
              <w:right w:val="single" w:sz="4" w:space="0" w:color="auto"/>
            </w:tcBorders>
            <w:shd w:val="clear" w:color="auto" w:fill="auto"/>
            <w:noWrap/>
            <w:vAlign w:val="bottom"/>
            <w:hideMark/>
          </w:tcPr>
          <w:p w14:paraId="2417F108" w14:textId="77777777" w:rsidR="001A71D8" w:rsidRDefault="001A71D8">
            <w:pPr>
              <w:jc w:val="right"/>
              <w:rPr>
                <w:rFonts w:ascii="Aptos Narrow" w:hAnsi="Aptos Narrow"/>
                <w:b/>
                <w:bCs/>
                <w:color w:val="000000"/>
                <w:sz w:val="22"/>
                <w:szCs w:val="22"/>
              </w:rPr>
            </w:pPr>
            <w:r>
              <w:rPr>
                <w:rFonts w:ascii="Aptos Narrow" w:hAnsi="Aptos Narrow"/>
                <w:b/>
                <w:bCs/>
                <w:color w:val="000000"/>
                <w:sz w:val="22"/>
                <w:szCs w:val="22"/>
              </w:rPr>
              <w:t>3</w:t>
            </w:r>
          </w:p>
        </w:tc>
        <w:tc>
          <w:tcPr>
            <w:tcW w:w="1219" w:type="dxa"/>
            <w:tcBorders>
              <w:top w:val="single" w:sz="4" w:space="0" w:color="auto"/>
              <w:left w:val="nil"/>
              <w:bottom w:val="single" w:sz="4" w:space="0" w:color="auto"/>
              <w:right w:val="single" w:sz="4" w:space="0" w:color="auto"/>
            </w:tcBorders>
            <w:shd w:val="clear" w:color="auto" w:fill="auto"/>
            <w:noWrap/>
            <w:vAlign w:val="bottom"/>
            <w:hideMark/>
          </w:tcPr>
          <w:p w14:paraId="45868870"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0,64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2D03EF"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1,07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FCBA19"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0,65</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7C157F"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6,64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15666"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5,85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6C2F71"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3,75</w:t>
            </w:r>
          </w:p>
        </w:tc>
        <w:tc>
          <w:tcPr>
            <w:tcW w:w="109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4D838"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7,41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C7B1D6"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6,24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FE423F" w14:textId="77777777" w:rsidR="001A71D8" w:rsidRDefault="001A71D8" w:rsidP="00EF5994">
            <w:pPr>
              <w:rPr>
                <w:rFonts w:ascii="Aptos Narrow" w:hAnsi="Aptos Narrow"/>
                <w:color w:val="000000"/>
                <w:sz w:val="22"/>
                <w:szCs w:val="22"/>
              </w:rPr>
            </w:pPr>
            <w:r>
              <w:rPr>
                <w:rFonts w:ascii="Aptos Narrow" w:hAnsi="Aptos Narrow"/>
                <w:color w:val="000000"/>
                <w:sz w:val="22"/>
                <w:szCs w:val="22"/>
              </w:rPr>
              <w:t>3,83</w:t>
            </w:r>
          </w:p>
        </w:tc>
        <w:tc>
          <w:tcPr>
            <w:tcW w:w="371" w:type="dxa"/>
            <w:tcBorders>
              <w:left w:val="single" w:sz="4" w:space="0" w:color="auto"/>
            </w:tcBorders>
            <w:vAlign w:val="center"/>
            <w:hideMark/>
          </w:tcPr>
          <w:p w14:paraId="22404D1F" w14:textId="77777777" w:rsidR="001A71D8" w:rsidRDefault="001A71D8">
            <w:pPr>
              <w:rPr>
                <w:sz w:val="20"/>
                <w:szCs w:val="20"/>
              </w:rPr>
            </w:pPr>
          </w:p>
        </w:tc>
      </w:tr>
    </w:tbl>
    <w:p w14:paraId="2888036D" w14:textId="77777777" w:rsidR="001A71D8" w:rsidRPr="00614DD8" w:rsidRDefault="001A71D8" w:rsidP="00DE444D">
      <w:pPr>
        <w:ind w:right="-22"/>
        <w:rPr>
          <w:lang w:val="en-US"/>
        </w:rPr>
      </w:pPr>
    </w:p>
    <w:sectPr w:rsidR="001A71D8"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25508" w14:textId="77777777" w:rsidR="00565BEC" w:rsidRDefault="00565BEC" w:rsidP="00001C9B">
      <w:r>
        <w:separator/>
      </w:r>
    </w:p>
  </w:endnote>
  <w:endnote w:type="continuationSeparator" w:id="0">
    <w:p w14:paraId="64637B92" w14:textId="77777777" w:rsidR="00565BEC" w:rsidRDefault="00565BEC" w:rsidP="00001C9B">
      <w:r>
        <w:continuationSeparator/>
      </w:r>
    </w:p>
  </w:endnote>
  <w:endnote w:type="continuationNotice" w:id="1">
    <w:p w14:paraId="2CD32F0B" w14:textId="77777777" w:rsidR="00565BEC" w:rsidRDefault="00565B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06E7B" w14:textId="77777777" w:rsidR="00565BEC" w:rsidRDefault="00565BEC" w:rsidP="00001C9B">
      <w:r>
        <w:separator/>
      </w:r>
    </w:p>
  </w:footnote>
  <w:footnote w:type="continuationSeparator" w:id="0">
    <w:p w14:paraId="6B00367E" w14:textId="77777777" w:rsidR="00565BEC" w:rsidRDefault="00565BEC" w:rsidP="00001C9B">
      <w:r>
        <w:continuationSeparator/>
      </w:r>
    </w:p>
  </w:footnote>
  <w:footnote w:type="continuationNotice" w:id="1">
    <w:p w14:paraId="254116A3" w14:textId="77777777" w:rsidR="00565BEC" w:rsidRDefault="00565B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4744B2"/>
    <w:multiLevelType w:val="multilevel"/>
    <w:tmpl w:val="3B64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B82A2B"/>
    <w:multiLevelType w:val="hybridMultilevel"/>
    <w:tmpl w:val="F91A0754"/>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295F6497"/>
    <w:multiLevelType w:val="multilevel"/>
    <w:tmpl w:val="A74EFE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341C01"/>
    <w:multiLevelType w:val="multilevel"/>
    <w:tmpl w:val="0416F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D15AF1"/>
    <w:multiLevelType w:val="hybridMultilevel"/>
    <w:tmpl w:val="5776BAB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2FB44460"/>
    <w:multiLevelType w:val="multilevel"/>
    <w:tmpl w:val="9426E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8B63DE"/>
    <w:multiLevelType w:val="hybridMultilevel"/>
    <w:tmpl w:val="F7A4E35C"/>
    <w:lvl w:ilvl="0" w:tplc="E7A2B33E">
      <w:start w:val="1"/>
      <w:numFmt w:val="bullet"/>
      <w:lvlText w:val=""/>
      <w:lvlJc w:val="left"/>
      <w:pPr>
        <w:tabs>
          <w:tab w:val="num" w:pos="720"/>
        </w:tabs>
        <w:ind w:left="720" w:hanging="360"/>
      </w:pPr>
      <w:rPr>
        <w:rFonts w:ascii="Wingdings" w:hAnsi="Wingdings" w:hint="default"/>
      </w:rPr>
    </w:lvl>
    <w:lvl w:ilvl="1" w:tplc="BE08CCC6" w:tentative="1">
      <w:start w:val="1"/>
      <w:numFmt w:val="bullet"/>
      <w:lvlText w:val=""/>
      <w:lvlJc w:val="left"/>
      <w:pPr>
        <w:tabs>
          <w:tab w:val="num" w:pos="1440"/>
        </w:tabs>
        <w:ind w:left="1440" w:hanging="360"/>
      </w:pPr>
      <w:rPr>
        <w:rFonts w:ascii="Wingdings" w:hAnsi="Wingdings" w:hint="default"/>
      </w:rPr>
    </w:lvl>
    <w:lvl w:ilvl="2" w:tplc="6B203806" w:tentative="1">
      <w:start w:val="1"/>
      <w:numFmt w:val="bullet"/>
      <w:lvlText w:val=""/>
      <w:lvlJc w:val="left"/>
      <w:pPr>
        <w:tabs>
          <w:tab w:val="num" w:pos="2160"/>
        </w:tabs>
        <w:ind w:left="2160" w:hanging="360"/>
      </w:pPr>
      <w:rPr>
        <w:rFonts w:ascii="Wingdings" w:hAnsi="Wingdings" w:hint="default"/>
      </w:rPr>
    </w:lvl>
    <w:lvl w:ilvl="3" w:tplc="8F2AB670" w:tentative="1">
      <w:start w:val="1"/>
      <w:numFmt w:val="bullet"/>
      <w:lvlText w:val=""/>
      <w:lvlJc w:val="left"/>
      <w:pPr>
        <w:tabs>
          <w:tab w:val="num" w:pos="2880"/>
        </w:tabs>
        <w:ind w:left="2880" w:hanging="360"/>
      </w:pPr>
      <w:rPr>
        <w:rFonts w:ascii="Wingdings" w:hAnsi="Wingdings" w:hint="default"/>
      </w:rPr>
    </w:lvl>
    <w:lvl w:ilvl="4" w:tplc="7AE05EBE" w:tentative="1">
      <w:start w:val="1"/>
      <w:numFmt w:val="bullet"/>
      <w:lvlText w:val=""/>
      <w:lvlJc w:val="left"/>
      <w:pPr>
        <w:tabs>
          <w:tab w:val="num" w:pos="3600"/>
        </w:tabs>
        <w:ind w:left="3600" w:hanging="360"/>
      </w:pPr>
      <w:rPr>
        <w:rFonts w:ascii="Wingdings" w:hAnsi="Wingdings" w:hint="default"/>
      </w:rPr>
    </w:lvl>
    <w:lvl w:ilvl="5" w:tplc="19A2E05E" w:tentative="1">
      <w:start w:val="1"/>
      <w:numFmt w:val="bullet"/>
      <w:lvlText w:val=""/>
      <w:lvlJc w:val="left"/>
      <w:pPr>
        <w:tabs>
          <w:tab w:val="num" w:pos="4320"/>
        </w:tabs>
        <w:ind w:left="4320" w:hanging="360"/>
      </w:pPr>
      <w:rPr>
        <w:rFonts w:ascii="Wingdings" w:hAnsi="Wingdings" w:hint="default"/>
      </w:rPr>
    </w:lvl>
    <w:lvl w:ilvl="6" w:tplc="13808CD2" w:tentative="1">
      <w:start w:val="1"/>
      <w:numFmt w:val="bullet"/>
      <w:lvlText w:val=""/>
      <w:lvlJc w:val="left"/>
      <w:pPr>
        <w:tabs>
          <w:tab w:val="num" w:pos="5040"/>
        </w:tabs>
        <w:ind w:left="5040" w:hanging="360"/>
      </w:pPr>
      <w:rPr>
        <w:rFonts w:ascii="Wingdings" w:hAnsi="Wingdings" w:hint="default"/>
      </w:rPr>
    </w:lvl>
    <w:lvl w:ilvl="7" w:tplc="CECE5B50" w:tentative="1">
      <w:start w:val="1"/>
      <w:numFmt w:val="bullet"/>
      <w:lvlText w:val=""/>
      <w:lvlJc w:val="left"/>
      <w:pPr>
        <w:tabs>
          <w:tab w:val="num" w:pos="5760"/>
        </w:tabs>
        <w:ind w:left="5760" w:hanging="360"/>
      </w:pPr>
      <w:rPr>
        <w:rFonts w:ascii="Wingdings" w:hAnsi="Wingdings" w:hint="default"/>
      </w:rPr>
    </w:lvl>
    <w:lvl w:ilvl="8" w:tplc="9BD6C71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C45E62"/>
    <w:multiLevelType w:val="hybridMultilevel"/>
    <w:tmpl w:val="7878FFE0"/>
    <w:lvl w:ilvl="0" w:tplc="0132217A">
      <w:start w:val="2"/>
      <w:numFmt w:val="bullet"/>
      <w:lvlText w:val="-"/>
      <w:lvlJc w:val="left"/>
      <w:pPr>
        <w:ind w:left="648" w:hanging="360"/>
      </w:pPr>
      <w:rPr>
        <w:rFonts w:ascii="Times New Roman" w:eastAsia="Times New Roman" w:hAnsi="Times New Roman" w:cs="Times New Roman" w:hint="default"/>
      </w:rPr>
    </w:lvl>
    <w:lvl w:ilvl="1" w:tplc="04090003">
      <w:start w:val="1"/>
      <w:numFmt w:val="bullet"/>
      <w:lvlText w:val=""/>
      <w:lvlJc w:val="left"/>
      <w:pPr>
        <w:ind w:left="1128" w:hanging="420"/>
      </w:pPr>
      <w:rPr>
        <w:rFonts w:ascii="Wingdings" w:hAnsi="Wingdings" w:hint="default"/>
      </w:rPr>
    </w:lvl>
    <w:lvl w:ilvl="2" w:tplc="0132217A">
      <w:start w:val="2"/>
      <w:numFmt w:val="bullet"/>
      <w:lvlText w:val="-"/>
      <w:lvlJc w:val="left"/>
      <w:pPr>
        <w:ind w:left="1548" w:hanging="420"/>
      </w:pPr>
      <w:rPr>
        <w:rFonts w:ascii="Times New Roman" w:eastAsia="Times New Roman" w:hAnsi="Times New Roman" w:cs="Times New Roman" w:hint="default"/>
      </w:rPr>
    </w:lvl>
    <w:lvl w:ilvl="3" w:tplc="04090001">
      <w:start w:val="1"/>
      <w:numFmt w:val="bullet"/>
      <w:lvlText w:val=""/>
      <w:lvlJc w:val="left"/>
      <w:pPr>
        <w:ind w:left="1968" w:hanging="420"/>
      </w:pPr>
      <w:rPr>
        <w:rFonts w:ascii="Wingdings" w:hAnsi="Wingdings" w:hint="default"/>
      </w:rPr>
    </w:lvl>
    <w:lvl w:ilvl="4" w:tplc="C23C2BA4">
      <w:numFmt w:val="bullet"/>
      <w:lvlText w:val="•"/>
      <w:lvlJc w:val="left"/>
      <w:pPr>
        <w:ind w:left="2388" w:hanging="420"/>
      </w:pPr>
      <w:rPr>
        <w:rFonts w:ascii="Times New Roman" w:eastAsia="Times New Roman" w:hAnsi="Times New Roman" w:cs="Times New Roman"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11" w15:restartNumberingAfterBreak="0">
    <w:nsid w:val="3AA475F7"/>
    <w:multiLevelType w:val="hybridMultilevel"/>
    <w:tmpl w:val="573E7412"/>
    <w:lvl w:ilvl="0" w:tplc="A6B036A2">
      <w:start w:val="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296A54"/>
    <w:multiLevelType w:val="hybridMultilevel"/>
    <w:tmpl w:val="E0A23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4A2192"/>
    <w:multiLevelType w:val="multilevel"/>
    <w:tmpl w:val="25127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2628" w:hanging="360"/>
      </w:pPr>
      <w:rPr>
        <w:rFonts w:ascii="Times New Roman" w:hAnsi="Times New Roman" w:hint="default"/>
        <w:b/>
        <w:i w:val="0"/>
        <w:color w:val="auto"/>
        <w:sz w:val="20"/>
      </w:rPr>
    </w:lvl>
    <w:lvl w:ilvl="1" w:tplc="04090019">
      <w:start w:val="1"/>
      <w:numFmt w:val="lowerLetter"/>
      <w:lvlText w:val="%2."/>
      <w:lvlJc w:val="left"/>
      <w:pPr>
        <w:ind w:left="3490" w:hanging="360"/>
      </w:pPr>
    </w:lvl>
    <w:lvl w:ilvl="2" w:tplc="0409001B" w:tentative="1">
      <w:start w:val="1"/>
      <w:numFmt w:val="lowerRoman"/>
      <w:lvlText w:val="%3."/>
      <w:lvlJc w:val="right"/>
      <w:pPr>
        <w:ind w:left="4210" w:hanging="180"/>
      </w:pPr>
    </w:lvl>
    <w:lvl w:ilvl="3" w:tplc="0409000F" w:tentative="1">
      <w:start w:val="1"/>
      <w:numFmt w:val="decimal"/>
      <w:lvlText w:val="%4."/>
      <w:lvlJc w:val="left"/>
      <w:pPr>
        <w:ind w:left="4930" w:hanging="360"/>
      </w:pPr>
    </w:lvl>
    <w:lvl w:ilvl="4" w:tplc="04090019" w:tentative="1">
      <w:start w:val="1"/>
      <w:numFmt w:val="lowerLetter"/>
      <w:lvlText w:val="%5."/>
      <w:lvlJc w:val="left"/>
      <w:pPr>
        <w:ind w:left="5650" w:hanging="360"/>
      </w:pPr>
    </w:lvl>
    <w:lvl w:ilvl="5" w:tplc="0409001B" w:tentative="1">
      <w:start w:val="1"/>
      <w:numFmt w:val="lowerRoman"/>
      <w:lvlText w:val="%6."/>
      <w:lvlJc w:val="right"/>
      <w:pPr>
        <w:ind w:left="6370" w:hanging="180"/>
      </w:pPr>
    </w:lvl>
    <w:lvl w:ilvl="6" w:tplc="0409000F" w:tentative="1">
      <w:start w:val="1"/>
      <w:numFmt w:val="decimal"/>
      <w:lvlText w:val="%7."/>
      <w:lvlJc w:val="left"/>
      <w:pPr>
        <w:ind w:left="7090" w:hanging="360"/>
      </w:pPr>
    </w:lvl>
    <w:lvl w:ilvl="7" w:tplc="04090019" w:tentative="1">
      <w:start w:val="1"/>
      <w:numFmt w:val="lowerLetter"/>
      <w:lvlText w:val="%8."/>
      <w:lvlJc w:val="left"/>
      <w:pPr>
        <w:ind w:left="7810" w:hanging="360"/>
      </w:pPr>
    </w:lvl>
    <w:lvl w:ilvl="8" w:tplc="0409001B" w:tentative="1">
      <w:start w:val="1"/>
      <w:numFmt w:val="lowerRoman"/>
      <w:lvlText w:val="%9."/>
      <w:lvlJc w:val="right"/>
      <w:pPr>
        <w:ind w:left="8530" w:hanging="180"/>
      </w:pPr>
    </w:lvl>
  </w:abstractNum>
  <w:abstractNum w:abstractNumId="1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A625510"/>
    <w:multiLevelType w:val="hybridMultilevel"/>
    <w:tmpl w:val="FA5A11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852E47"/>
    <w:multiLevelType w:val="hybridMultilevel"/>
    <w:tmpl w:val="41FCE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995545"/>
    <w:multiLevelType w:val="hybridMultilevel"/>
    <w:tmpl w:val="FF421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31F61"/>
    <w:multiLevelType w:val="hybridMultilevel"/>
    <w:tmpl w:val="EDB4D474"/>
    <w:lvl w:ilvl="0" w:tplc="1256BB12">
      <w:start w:val="3"/>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DC1AE6"/>
    <w:multiLevelType w:val="multilevel"/>
    <w:tmpl w:val="2F9E2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22216D"/>
    <w:multiLevelType w:val="hybridMultilevel"/>
    <w:tmpl w:val="23609D9E"/>
    <w:lvl w:ilvl="0" w:tplc="86CE2A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74E00"/>
    <w:multiLevelType w:val="hybridMultilevel"/>
    <w:tmpl w:val="51B0582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5508FA"/>
    <w:multiLevelType w:val="hybridMultilevel"/>
    <w:tmpl w:val="ED1CF136"/>
    <w:lvl w:ilvl="0" w:tplc="FFFFFFFF">
      <w:start w:val="2"/>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04090001">
      <w:start w:val="1"/>
      <w:numFmt w:val="bullet"/>
      <w:lvlText w:val=""/>
      <w:lvlJc w:val="left"/>
      <w:pPr>
        <w:ind w:left="2160" w:hanging="360"/>
      </w:pPr>
      <w:rPr>
        <w:rFonts w:ascii="Symbol" w:hAnsi="Symbol"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C80F1C"/>
    <w:multiLevelType w:val="hybridMultilevel"/>
    <w:tmpl w:val="AA226134"/>
    <w:lvl w:ilvl="0" w:tplc="A6B036A2">
      <w:start w:val="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3" w15:restartNumberingAfterBreak="0">
    <w:nsid w:val="6ACC5A95"/>
    <w:multiLevelType w:val="hybridMultilevel"/>
    <w:tmpl w:val="B540F7EE"/>
    <w:lvl w:ilvl="0" w:tplc="2DAA533C">
      <w:start w:val="1"/>
      <w:numFmt w:val="bullet"/>
      <w:lvlText w:val=""/>
      <w:lvlJc w:val="left"/>
      <w:pPr>
        <w:ind w:left="720" w:hanging="360"/>
      </w:pPr>
      <w:rPr>
        <w:rFonts w:ascii="Symbol" w:hAnsi="Symbol"/>
      </w:rPr>
    </w:lvl>
    <w:lvl w:ilvl="1" w:tplc="0CC2AB8A">
      <w:start w:val="1"/>
      <w:numFmt w:val="bullet"/>
      <w:lvlText w:val=""/>
      <w:lvlJc w:val="left"/>
      <w:pPr>
        <w:ind w:left="720" w:hanging="360"/>
      </w:pPr>
      <w:rPr>
        <w:rFonts w:ascii="Symbol" w:hAnsi="Symbol"/>
      </w:rPr>
    </w:lvl>
    <w:lvl w:ilvl="2" w:tplc="9D9CD78E">
      <w:start w:val="1"/>
      <w:numFmt w:val="bullet"/>
      <w:lvlText w:val=""/>
      <w:lvlJc w:val="left"/>
      <w:pPr>
        <w:ind w:left="720" w:hanging="360"/>
      </w:pPr>
      <w:rPr>
        <w:rFonts w:ascii="Symbol" w:hAnsi="Symbol"/>
      </w:rPr>
    </w:lvl>
    <w:lvl w:ilvl="3" w:tplc="0CDC9E92">
      <w:start w:val="1"/>
      <w:numFmt w:val="bullet"/>
      <w:lvlText w:val=""/>
      <w:lvlJc w:val="left"/>
      <w:pPr>
        <w:ind w:left="720" w:hanging="360"/>
      </w:pPr>
      <w:rPr>
        <w:rFonts w:ascii="Symbol" w:hAnsi="Symbol"/>
      </w:rPr>
    </w:lvl>
    <w:lvl w:ilvl="4" w:tplc="F7EC9A40">
      <w:start w:val="1"/>
      <w:numFmt w:val="bullet"/>
      <w:lvlText w:val=""/>
      <w:lvlJc w:val="left"/>
      <w:pPr>
        <w:ind w:left="720" w:hanging="360"/>
      </w:pPr>
      <w:rPr>
        <w:rFonts w:ascii="Symbol" w:hAnsi="Symbol"/>
      </w:rPr>
    </w:lvl>
    <w:lvl w:ilvl="5" w:tplc="23001A44">
      <w:start w:val="1"/>
      <w:numFmt w:val="bullet"/>
      <w:lvlText w:val=""/>
      <w:lvlJc w:val="left"/>
      <w:pPr>
        <w:ind w:left="720" w:hanging="360"/>
      </w:pPr>
      <w:rPr>
        <w:rFonts w:ascii="Symbol" w:hAnsi="Symbol"/>
      </w:rPr>
    </w:lvl>
    <w:lvl w:ilvl="6" w:tplc="EE04BB0E">
      <w:start w:val="1"/>
      <w:numFmt w:val="bullet"/>
      <w:lvlText w:val=""/>
      <w:lvlJc w:val="left"/>
      <w:pPr>
        <w:ind w:left="720" w:hanging="360"/>
      </w:pPr>
      <w:rPr>
        <w:rFonts w:ascii="Symbol" w:hAnsi="Symbol"/>
      </w:rPr>
    </w:lvl>
    <w:lvl w:ilvl="7" w:tplc="A8FEB72E">
      <w:start w:val="1"/>
      <w:numFmt w:val="bullet"/>
      <w:lvlText w:val=""/>
      <w:lvlJc w:val="left"/>
      <w:pPr>
        <w:ind w:left="720" w:hanging="360"/>
      </w:pPr>
      <w:rPr>
        <w:rFonts w:ascii="Symbol" w:hAnsi="Symbol"/>
      </w:rPr>
    </w:lvl>
    <w:lvl w:ilvl="8" w:tplc="EFD0804E">
      <w:start w:val="1"/>
      <w:numFmt w:val="bullet"/>
      <w:lvlText w:val=""/>
      <w:lvlJc w:val="left"/>
      <w:pPr>
        <w:ind w:left="720" w:hanging="360"/>
      </w:pPr>
      <w:rPr>
        <w:rFonts w:ascii="Symbol" w:hAnsi="Symbol"/>
      </w:rPr>
    </w:lvl>
  </w:abstractNum>
  <w:abstractNum w:abstractNumId="34" w15:restartNumberingAfterBreak="0">
    <w:nsid w:val="6BB83184"/>
    <w:multiLevelType w:val="hybridMultilevel"/>
    <w:tmpl w:val="C5E47770"/>
    <w:lvl w:ilvl="0" w:tplc="DA080DA0">
      <w:start w:val="5"/>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431DA"/>
    <w:multiLevelType w:val="multilevel"/>
    <w:tmpl w:val="7E3E7D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7F3D8E"/>
    <w:multiLevelType w:val="hybridMultilevel"/>
    <w:tmpl w:val="7DE07F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8" w15:restartNumberingAfterBreak="0">
    <w:nsid w:val="7CBF6CD1"/>
    <w:multiLevelType w:val="multilevel"/>
    <w:tmpl w:val="C3F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1141BC"/>
    <w:multiLevelType w:val="hybridMultilevel"/>
    <w:tmpl w:val="B90806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92749823">
    <w:abstractNumId w:val="19"/>
  </w:num>
  <w:num w:numId="2" w16cid:durableId="80681869">
    <w:abstractNumId w:val="14"/>
  </w:num>
  <w:num w:numId="3" w16cid:durableId="1566528953">
    <w:abstractNumId w:val="17"/>
  </w:num>
  <w:num w:numId="4" w16cid:durableId="1456096507">
    <w:abstractNumId w:val="30"/>
  </w:num>
  <w:num w:numId="5" w16cid:durableId="1659071369">
    <w:abstractNumId w:val="27"/>
  </w:num>
  <w:num w:numId="6" w16cid:durableId="143009612">
    <w:abstractNumId w:val="0"/>
  </w:num>
  <w:num w:numId="7" w16cid:durableId="6170259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7982182">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68038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897120">
    <w:abstractNumId w:val="23"/>
  </w:num>
  <w:num w:numId="11" w16cid:durableId="1051004329">
    <w:abstractNumId w:val="9"/>
  </w:num>
  <w:num w:numId="12" w16cid:durableId="1652975533">
    <w:abstractNumId w:val="26"/>
  </w:num>
  <w:num w:numId="13" w16cid:durableId="473569799">
    <w:abstractNumId w:val="10"/>
  </w:num>
  <w:num w:numId="14" w16cid:durableId="1166818346">
    <w:abstractNumId w:val="32"/>
  </w:num>
  <w:num w:numId="15" w16cid:durableId="1242063117">
    <w:abstractNumId w:val="37"/>
  </w:num>
  <w:num w:numId="16" w16cid:durableId="30153610">
    <w:abstractNumId w:val="15"/>
  </w:num>
  <w:num w:numId="17" w16cid:durableId="317854079">
    <w:abstractNumId w:val="25"/>
  </w:num>
  <w:num w:numId="18" w16cid:durableId="1179389610">
    <w:abstractNumId w:val="20"/>
  </w:num>
  <w:num w:numId="19" w16cid:durableId="136189061">
    <w:abstractNumId w:val="24"/>
  </w:num>
  <w:num w:numId="20" w16cid:durableId="1667132384">
    <w:abstractNumId w:val="29"/>
  </w:num>
  <w:num w:numId="21" w16cid:durableId="202333406">
    <w:abstractNumId w:val="39"/>
  </w:num>
  <w:num w:numId="22" w16cid:durableId="497960095">
    <w:abstractNumId w:val="16"/>
  </w:num>
  <w:num w:numId="23" w16cid:durableId="1568491078">
    <w:abstractNumId w:val="22"/>
  </w:num>
  <w:num w:numId="24" w16cid:durableId="337076455">
    <w:abstractNumId w:val="13"/>
  </w:num>
  <w:num w:numId="25" w16cid:durableId="1628462599">
    <w:abstractNumId w:val="33"/>
  </w:num>
  <w:num w:numId="26" w16cid:durableId="1955555340">
    <w:abstractNumId w:val="35"/>
  </w:num>
  <w:num w:numId="27" w16cid:durableId="236787994">
    <w:abstractNumId w:val="35"/>
    <w:lvlOverride w:ilvl="1">
      <w:lvl w:ilvl="1">
        <w:numFmt w:val="bullet"/>
        <w:lvlText w:val=""/>
        <w:lvlJc w:val="left"/>
        <w:pPr>
          <w:tabs>
            <w:tab w:val="num" w:pos="1440"/>
          </w:tabs>
          <w:ind w:left="1440" w:hanging="360"/>
        </w:pPr>
        <w:rPr>
          <w:rFonts w:ascii="Symbol" w:hAnsi="Symbol" w:hint="default"/>
          <w:sz w:val="20"/>
        </w:rPr>
      </w:lvl>
    </w:lvlOverride>
  </w:num>
  <w:num w:numId="28" w16cid:durableId="1557155765">
    <w:abstractNumId w:val="35"/>
    <w:lvlOverride w:ilvl="1">
      <w:lvl w:ilvl="1">
        <w:numFmt w:val="bullet"/>
        <w:lvlText w:val=""/>
        <w:lvlJc w:val="left"/>
        <w:pPr>
          <w:tabs>
            <w:tab w:val="num" w:pos="1440"/>
          </w:tabs>
          <w:ind w:left="1440" w:hanging="360"/>
        </w:pPr>
        <w:rPr>
          <w:rFonts w:ascii="Symbol" w:hAnsi="Symbol" w:hint="default"/>
          <w:sz w:val="20"/>
        </w:rPr>
      </w:lvl>
    </w:lvlOverride>
  </w:num>
  <w:num w:numId="29" w16cid:durableId="813910514">
    <w:abstractNumId w:val="8"/>
  </w:num>
  <w:num w:numId="30" w16cid:durableId="632753180">
    <w:abstractNumId w:val="11"/>
  </w:num>
  <w:num w:numId="31" w16cid:durableId="534317262">
    <w:abstractNumId w:val="31"/>
  </w:num>
  <w:num w:numId="32" w16cid:durableId="700977104">
    <w:abstractNumId w:val="21"/>
  </w:num>
  <w:num w:numId="33" w16cid:durableId="2016615084">
    <w:abstractNumId w:val="34"/>
  </w:num>
  <w:num w:numId="34" w16cid:durableId="1241332715">
    <w:abstractNumId w:val="5"/>
  </w:num>
  <w:num w:numId="35" w16cid:durableId="366679790">
    <w:abstractNumId w:val="38"/>
  </w:num>
  <w:num w:numId="36" w16cid:durableId="706872305">
    <w:abstractNumId w:val="7"/>
  </w:num>
  <w:num w:numId="37" w16cid:durableId="1298146156">
    <w:abstractNumId w:val="6"/>
  </w:num>
  <w:num w:numId="38" w16cid:durableId="1562057642">
    <w:abstractNumId w:val="4"/>
  </w:num>
  <w:num w:numId="39" w16cid:durableId="769475611">
    <w:abstractNumId w:val="2"/>
  </w:num>
  <w:num w:numId="40" w16cid:durableId="1725760994">
    <w:abstractNumId w:val="1"/>
  </w:num>
  <w:num w:numId="41" w16cid:durableId="1295334691">
    <w:abstractNumId w:val="28"/>
  </w:num>
  <w:num w:numId="42" w16cid:durableId="1130902719">
    <w:abstractNumId w:val="12"/>
  </w:num>
  <w:num w:numId="43" w16cid:durableId="1068461575">
    <w:abstractNumId w:val="18"/>
  </w:num>
  <w:num w:numId="44" w16cid:durableId="1856117785">
    <w:abstractNumId w:val="3"/>
  </w:num>
  <w:num w:numId="45" w16cid:durableId="976840746">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removePersonalInformation/>
  <w:removeDateAndTime/>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0227"/>
    <w:rsid w:val="00001B69"/>
    <w:rsid w:val="00001C9B"/>
    <w:rsid w:val="00003C00"/>
    <w:rsid w:val="00004094"/>
    <w:rsid w:val="000040DC"/>
    <w:rsid w:val="00004C12"/>
    <w:rsid w:val="00005529"/>
    <w:rsid w:val="000063B0"/>
    <w:rsid w:val="00006BAE"/>
    <w:rsid w:val="00007828"/>
    <w:rsid w:val="00007E73"/>
    <w:rsid w:val="00010D9E"/>
    <w:rsid w:val="0001113B"/>
    <w:rsid w:val="000116F1"/>
    <w:rsid w:val="00011784"/>
    <w:rsid w:val="00011EE9"/>
    <w:rsid w:val="000136B0"/>
    <w:rsid w:val="000151EF"/>
    <w:rsid w:val="00020705"/>
    <w:rsid w:val="000209A3"/>
    <w:rsid w:val="00020CD3"/>
    <w:rsid w:val="00020E5D"/>
    <w:rsid w:val="00020EB7"/>
    <w:rsid w:val="00021141"/>
    <w:rsid w:val="0002233F"/>
    <w:rsid w:val="00022BD6"/>
    <w:rsid w:val="000239F5"/>
    <w:rsid w:val="0002415F"/>
    <w:rsid w:val="000241BB"/>
    <w:rsid w:val="0002469F"/>
    <w:rsid w:val="000248D0"/>
    <w:rsid w:val="00024CEE"/>
    <w:rsid w:val="00025C89"/>
    <w:rsid w:val="00027A7D"/>
    <w:rsid w:val="00027AAA"/>
    <w:rsid w:val="000300BF"/>
    <w:rsid w:val="000304F3"/>
    <w:rsid w:val="00030C3D"/>
    <w:rsid w:val="00032DEB"/>
    <w:rsid w:val="00034111"/>
    <w:rsid w:val="00034197"/>
    <w:rsid w:val="00034E17"/>
    <w:rsid w:val="00035E17"/>
    <w:rsid w:val="00035FD6"/>
    <w:rsid w:val="000372DF"/>
    <w:rsid w:val="00043376"/>
    <w:rsid w:val="000439E0"/>
    <w:rsid w:val="00044A41"/>
    <w:rsid w:val="00044F73"/>
    <w:rsid w:val="000454E9"/>
    <w:rsid w:val="00045E19"/>
    <w:rsid w:val="0004737E"/>
    <w:rsid w:val="0004760D"/>
    <w:rsid w:val="00050969"/>
    <w:rsid w:val="0005155D"/>
    <w:rsid w:val="00052796"/>
    <w:rsid w:val="00053120"/>
    <w:rsid w:val="000542A0"/>
    <w:rsid w:val="00054442"/>
    <w:rsid w:val="0005471B"/>
    <w:rsid w:val="00054D2B"/>
    <w:rsid w:val="00054F7B"/>
    <w:rsid w:val="000552DD"/>
    <w:rsid w:val="00055D1A"/>
    <w:rsid w:val="0005649F"/>
    <w:rsid w:val="000571AF"/>
    <w:rsid w:val="00057F33"/>
    <w:rsid w:val="00060893"/>
    <w:rsid w:val="00060EEC"/>
    <w:rsid w:val="00060F89"/>
    <w:rsid w:val="00061229"/>
    <w:rsid w:val="000613F8"/>
    <w:rsid w:val="0006276B"/>
    <w:rsid w:val="00064DB4"/>
    <w:rsid w:val="00064EAA"/>
    <w:rsid w:val="00065A44"/>
    <w:rsid w:val="00065BFF"/>
    <w:rsid w:val="00065E6B"/>
    <w:rsid w:val="00066E19"/>
    <w:rsid w:val="00067797"/>
    <w:rsid w:val="0006799A"/>
    <w:rsid w:val="00067ADF"/>
    <w:rsid w:val="00067E84"/>
    <w:rsid w:val="00067F6C"/>
    <w:rsid w:val="00067F98"/>
    <w:rsid w:val="000703E5"/>
    <w:rsid w:val="00071290"/>
    <w:rsid w:val="0007199B"/>
    <w:rsid w:val="00071BE9"/>
    <w:rsid w:val="00072CCA"/>
    <w:rsid w:val="00074F55"/>
    <w:rsid w:val="0007537E"/>
    <w:rsid w:val="000753EE"/>
    <w:rsid w:val="00076D2C"/>
    <w:rsid w:val="00082311"/>
    <w:rsid w:val="00082F07"/>
    <w:rsid w:val="000836F5"/>
    <w:rsid w:val="00085CAF"/>
    <w:rsid w:val="0008612A"/>
    <w:rsid w:val="00086E39"/>
    <w:rsid w:val="00087C27"/>
    <w:rsid w:val="000900FB"/>
    <w:rsid w:val="00090D96"/>
    <w:rsid w:val="00090E18"/>
    <w:rsid w:val="000919F4"/>
    <w:rsid w:val="00091C8F"/>
    <w:rsid w:val="00091DD4"/>
    <w:rsid w:val="00091E65"/>
    <w:rsid w:val="00092351"/>
    <w:rsid w:val="00092FE2"/>
    <w:rsid w:val="0009422B"/>
    <w:rsid w:val="00094D62"/>
    <w:rsid w:val="00095626"/>
    <w:rsid w:val="00095FAC"/>
    <w:rsid w:val="00096634"/>
    <w:rsid w:val="00096C24"/>
    <w:rsid w:val="000A0539"/>
    <w:rsid w:val="000A10BC"/>
    <w:rsid w:val="000A1DAB"/>
    <w:rsid w:val="000A2B3D"/>
    <w:rsid w:val="000A2FA6"/>
    <w:rsid w:val="000A484D"/>
    <w:rsid w:val="000A4AA1"/>
    <w:rsid w:val="000A4DFC"/>
    <w:rsid w:val="000A4E30"/>
    <w:rsid w:val="000A5FA6"/>
    <w:rsid w:val="000A65F7"/>
    <w:rsid w:val="000A6989"/>
    <w:rsid w:val="000A7F53"/>
    <w:rsid w:val="000B0056"/>
    <w:rsid w:val="000B102E"/>
    <w:rsid w:val="000B1309"/>
    <w:rsid w:val="000B2343"/>
    <w:rsid w:val="000B5D06"/>
    <w:rsid w:val="000B65B9"/>
    <w:rsid w:val="000C17FC"/>
    <w:rsid w:val="000C1C0B"/>
    <w:rsid w:val="000C2424"/>
    <w:rsid w:val="000C3125"/>
    <w:rsid w:val="000C319D"/>
    <w:rsid w:val="000C3C7B"/>
    <w:rsid w:val="000C4228"/>
    <w:rsid w:val="000C5229"/>
    <w:rsid w:val="000C578F"/>
    <w:rsid w:val="000C5B69"/>
    <w:rsid w:val="000C5C44"/>
    <w:rsid w:val="000C5CC0"/>
    <w:rsid w:val="000C5F63"/>
    <w:rsid w:val="000C7568"/>
    <w:rsid w:val="000C75DF"/>
    <w:rsid w:val="000C7E8F"/>
    <w:rsid w:val="000D0AB5"/>
    <w:rsid w:val="000D0F93"/>
    <w:rsid w:val="000D11B9"/>
    <w:rsid w:val="000D20CE"/>
    <w:rsid w:val="000D22D1"/>
    <w:rsid w:val="000D2E74"/>
    <w:rsid w:val="000D34BF"/>
    <w:rsid w:val="000D4926"/>
    <w:rsid w:val="000D4B03"/>
    <w:rsid w:val="000D5508"/>
    <w:rsid w:val="000D5EEA"/>
    <w:rsid w:val="000D6189"/>
    <w:rsid w:val="000D65D8"/>
    <w:rsid w:val="000D6911"/>
    <w:rsid w:val="000D6CD8"/>
    <w:rsid w:val="000E0D2B"/>
    <w:rsid w:val="000E197E"/>
    <w:rsid w:val="000E2FA0"/>
    <w:rsid w:val="000E3F2C"/>
    <w:rsid w:val="000E40D1"/>
    <w:rsid w:val="000E4A3B"/>
    <w:rsid w:val="000E4C93"/>
    <w:rsid w:val="000E598A"/>
    <w:rsid w:val="000F1CC4"/>
    <w:rsid w:val="000F1D5A"/>
    <w:rsid w:val="000F2C92"/>
    <w:rsid w:val="000F31A5"/>
    <w:rsid w:val="000F3379"/>
    <w:rsid w:val="000F36A5"/>
    <w:rsid w:val="000F46D7"/>
    <w:rsid w:val="000F482B"/>
    <w:rsid w:val="000F5BF5"/>
    <w:rsid w:val="000F6B14"/>
    <w:rsid w:val="000F7E7C"/>
    <w:rsid w:val="0010116B"/>
    <w:rsid w:val="00102537"/>
    <w:rsid w:val="00102C73"/>
    <w:rsid w:val="00103287"/>
    <w:rsid w:val="0010497B"/>
    <w:rsid w:val="00105D40"/>
    <w:rsid w:val="00105F76"/>
    <w:rsid w:val="00106416"/>
    <w:rsid w:val="00106A41"/>
    <w:rsid w:val="00107DEC"/>
    <w:rsid w:val="001103C0"/>
    <w:rsid w:val="00110408"/>
    <w:rsid w:val="00110481"/>
    <w:rsid w:val="0011070E"/>
    <w:rsid w:val="00110E62"/>
    <w:rsid w:val="00112540"/>
    <w:rsid w:val="001127C9"/>
    <w:rsid w:val="00113F2F"/>
    <w:rsid w:val="001142E5"/>
    <w:rsid w:val="00114498"/>
    <w:rsid w:val="001154F6"/>
    <w:rsid w:val="00115B88"/>
    <w:rsid w:val="0011677E"/>
    <w:rsid w:val="001167E5"/>
    <w:rsid w:val="001168CA"/>
    <w:rsid w:val="001179D7"/>
    <w:rsid w:val="00121A51"/>
    <w:rsid w:val="001243E2"/>
    <w:rsid w:val="00127487"/>
    <w:rsid w:val="0013037C"/>
    <w:rsid w:val="00131BD9"/>
    <w:rsid w:val="00131DFA"/>
    <w:rsid w:val="001325EF"/>
    <w:rsid w:val="00132F6A"/>
    <w:rsid w:val="00133913"/>
    <w:rsid w:val="00133C52"/>
    <w:rsid w:val="00134588"/>
    <w:rsid w:val="0013542D"/>
    <w:rsid w:val="00135C5F"/>
    <w:rsid w:val="00135C7F"/>
    <w:rsid w:val="00135DCF"/>
    <w:rsid w:val="00137464"/>
    <w:rsid w:val="00137A61"/>
    <w:rsid w:val="00140221"/>
    <w:rsid w:val="00140866"/>
    <w:rsid w:val="00140A07"/>
    <w:rsid w:val="00140B8A"/>
    <w:rsid w:val="00140DF2"/>
    <w:rsid w:val="00140E7F"/>
    <w:rsid w:val="00144ED5"/>
    <w:rsid w:val="001456F8"/>
    <w:rsid w:val="001502A2"/>
    <w:rsid w:val="001504B5"/>
    <w:rsid w:val="0015053F"/>
    <w:rsid w:val="0015128E"/>
    <w:rsid w:val="001517DB"/>
    <w:rsid w:val="00151FAB"/>
    <w:rsid w:val="0015276C"/>
    <w:rsid w:val="00153E9C"/>
    <w:rsid w:val="00154C76"/>
    <w:rsid w:val="00154C87"/>
    <w:rsid w:val="001552FA"/>
    <w:rsid w:val="00155B90"/>
    <w:rsid w:val="00156C14"/>
    <w:rsid w:val="00156F35"/>
    <w:rsid w:val="00157F28"/>
    <w:rsid w:val="00162DC8"/>
    <w:rsid w:val="00163C8D"/>
    <w:rsid w:val="00164230"/>
    <w:rsid w:val="001642FC"/>
    <w:rsid w:val="0016433A"/>
    <w:rsid w:val="00164628"/>
    <w:rsid w:val="0016496B"/>
    <w:rsid w:val="001659E3"/>
    <w:rsid w:val="00166463"/>
    <w:rsid w:val="00167E79"/>
    <w:rsid w:val="0017156E"/>
    <w:rsid w:val="0017203C"/>
    <w:rsid w:val="00172436"/>
    <w:rsid w:val="0017291C"/>
    <w:rsid w:val="001735A4"/>
    <w:rsid w:val="00173DF2"/>
    <w:rsid w:val="001743E2"/>
    <w:rsid w:val="001745F8"/>
    <w:rsid w:val="00174CC9"/>
    <w:rsid w:val="00175A0C"/>
    <w:rsid w:val="00177CFD"/>
    <w:rsid w:val="001808F6"/>
    <w:rsid w:val="00180A33"/>
    <w:rsid w:val="00180FCD"/>
    <w:rsid w:val="00181896"/>
    <w:rsid w:val="001824B8"/>
    <w:rsid w:val="001825EA"/>
    <w:rsid w:val="001838CF"/>
    <w:rsid w:val="00183AC7"/>
    <w:rsid w:val="00183BDC"/>
    <w:rsid w:val="00183DA7"/>
    <w:rsid w:val="001841ED"/>
    <w:rsid w:val="001841F0"/>
    <w:rsid w:val="00184CB2"/>
    <w:rsid w:val="00185289"/>
    <w:rsid w:val="00186196"/>
    <w:rsid w:val="001865F7"/>
    <w:rsid w:val="001868EE"/>
    <w:rsid w:val="00187824"/>
    <w:rsid w:val="00187911"/>
    <w:rsid w:val="00191148"/>
    <w:rsid w:val="001911AF"/>
    <w:rsid w:val="0019260D"/>
    <w:rsid w:val="00192BC9"/>
    <w:rsid w:val="00193ECB"/>
    <w:rsid w:val="00194C57"/>
    <w:rsid w:val="00194F7C"/>
    <w:rsid w:val="00195931"/>
    <w:rsid w:val="00195D47"/>
    <w:rsid w:val="00197956"/>
    <w:rsid w:val="00197A28"/>
    <w:rsid w:val="001A02D6"/>
    <w:rsid w:val="001A312D"/>
    <w:rsid w:val="001A3878"/>
    <w:rsid w:val="001A3BA4"/>
    <w:rsid w:val="001A3D9E"/>
    <w:rsid w:val="001A48D0"/>
    <w:rsid w:val="001A4EA1"/>
    <w:rsid w:val="001A5ADC"/>
    <w:rsid w:val="001A6D1F"/>
    <w:rsid w:val="001A71D8"/>
    <w:rsid w:val="001A7C40"/>
    <w:rsid w:val="001B0FAD"/>
    <w:rsid w:val="001B1BF1"/>
    <w:rsid w:val="001B1CBC"/>
    <w:rsid w:val="001B1EA8"/>
    <w:rsid w:val="001B27A6"/>
    <w:rsid w:val="001B2930"/>
    <w:rsid w:val="001B49BE"/>
    <w:rsid w:val="001B54DD"/>
    <w:rsid w:val="001B580F"/>
    <w:rsid w:val="001B70EB"/>
    <w:rsid w:val="001B72B7"/>
    <w:rsid w:val="001B75C5"/>
    <w:rsid w:val="001C175B"/>
    <w:rsid w:val="001C277E"/>
    <w:rsid w:val="001C2F9A"/>
    <w:rsid w:val="001C30BF"/>
    <w:rsid w:val="001C35CA"/>
    <w:rsid w:val="001C3A4C"/>
    <w:rsid w:val="001C4A88"/>
    <w:rsid w:val="001C536E"/>
    <w:rsid w:val="001C5EED"/>
    <w:rsid w:val="001D0EDC"/>
    <w:rsid w:val="001D10AF"/>
    <w:rsid w:val="001D1607"/>
    <w:rsid w:val="001D1E9B"/>
    <w:rsid w:val="001D21FA"/>
    <w:rsid w:val="001D3817"/>
    <w:rsid w:val="001D4462"/>
    <w:rsid w:val="001D4EF7"/>
    <w:rsid w:val="001D601E"/>
    <w:rsid w:val="001D74A3"/>
    <w:rsid w:val="001E005C"/>
    <w:rsid w:val="001E009B"/>
    <w:rsid w:val="001E0533"/>
    <w:rsid w:val="001E0AA0"/>
    <w:rsid w:val="001E0F25"/>
    <w:rsid w:val="001E1A08"/>
    <w:rsid w:val="001E2A1F"/>
    <w:rsid w:val="001E30F6"/>
    <w:rsid w:val="001E35E1"/>
    <w:rsid w:val="001E3663"/>
    <w:rsid w:val="001E3D02"/>
    <w:rsid w:val="001E477B"/>
    <w:rsid w:val="001E4917"/>
    <w:rsid w:val="001E49A2"/>
    <w:rsid w:val="001E55F4"/>
    <w:rsid w:val="001E5680"/>
    <w:rsid w:val="001E5E77"/>
    <w:rsid w:val="001E6045"/>
    <w:rsid w:val="001E604C"/>
    <w:rsid w:val="001E64B0"/>
    <w:rsid w:val="001E68F2"/>
    <w:rsid w:val="001E6A40"/>
    <w:rsid w:val="001E78FB"/>
    <w:rsid w:val="001E7A6F"/>
    <w:rsid w:val="001E7E53"/>
    <w:rsid w:val="001F08E5"/>
    <w:rsid w:val="001F1258"/>
    <w:rsid w:val="001F14CF"/>
    <w:rsid w:val="001F1517"/>
    <w:rsid w:val="001F19CF"/>
    <w:rsid w:val="001F3284"/>
    <w:rsid w:val="001F4012"/>
    <w:rsid w:val="001F4803"/>
    <w:rsid w:val="001F4AB5"/>
    <w:rsid w:val="001F4D97"/>
    <w:rsid w:val="001F52B7"/>
    <w:rsid w:val="001F5695"/>
    <w:rsid w:val="001F5ABC"/>
    <w:rsid w:val="001F5D43"/>
    <w:rsid w:val="001F5E71"/>
    <w:rsid w:val="001F680A"/>
    <w:rsid w:val="001F7F76"/>
    <w:rsid w:val="00200A4D"/>
    <w:rsid w:val="00201438"/>
    <w:rsid w:val="00201848"/>
    <w:rsid w:val="002032E7"/>
    <w:rsid w:val="00204432"/>
    <w:rsid w:val="00204E60"/>
    <w:rsid w:val="002054DC"/>
    <w:rsid w:val="00207267"/>
    <w:rsid w:val="00207B09"/>
    <w:rsid w:val="00207ECF"/>
    <w:rsid w:val="002100EA"/>
    <w:rsid w:val="0021027E"/>
    <w:rsid w:val="00211979"/>
    <w:rsid w:val="00211AB2"/>
    <w:rsid w:val="00211E06"/>
    <w:rsid w:val="00214449"/>
    <w:rsid w:val="002147B8"/>
    <w:rsid w:val="00214EE4"/>
    <w:rsid w:val="00215816"/>
    <w:rsid w:val="00216B36"/>
    <w:rsid w:val="00216F35"/>
    <w:rsid w:val="002176FD"/>
    <w:rsid w:val="002177AD"/>
    <w:rsid w:val="00217EE5"/>
    <w:rsid w:val="00220740"/>
    <w:rsid w:val="00220F83"/>
    <w:rsid w:val="00223018"/>
    <w:rsid w:val="002230CF"/>
    <w:rsid w:val="002239C4"/>
    <w:rsid w:val="00223E98"/>
    <w:rsid w:val="00224074"/>
    <w:rsid w:val="00225441"/>
    <w:rsid w:val="00225D2C"/>
    <w:rsid w:val="00226103"/>
    <w:rsid w:val="00227BCD"/>
    <w:rsid w:val="0023108F"/>
    <w:rsid w:val="00232723"/>
    <w:rsid w:val="002334C6"/>
    <w:rsid w:val="00233AE7"/>
    <w:rsid w:val="0023466D"/>
    <w:rsid w:val="00234899"/>
    <w:rsid w:val="00235149"/>
    <w:rsid w:val="00235F5C"/>
    <w:rsid w:val="00237A2A"/>
    <w:rsid w:val="002400C1"/>
    <w:rsid w:val="00240A8D"/>
    <w:rsid w:val="00242FBD"/>
    <w:rsid w:val="00245121"/>
    <w:rsid w:val="00245834"/>
    <w:rsid w:val="00245C20"/>
    <w:rsid w:val="00252029"/>
    <w:rsid w:val="00253332"/>
    <w:rsid w:val="00253F59"/>
    <w:rsid w:val="00255EFD"/>
    <w:rsid w:val="00256D50"/>
    <w:rsid w:val="00257813"/>
    <w:rsid w:val="00257FA3"/>
    <w:rsid w:val="00261AE9"/>
    <w:rsid w:val="00262E70"/>
    <w:rsid w:val="00263040"/>
    <w:rsid w:val="00264DBA"/>
    <w:rsid w:val="00265BD1"/>
    <w:rsid w:val="0026709A"/>
    <w:rsid w:val="002672F7"/>
    <w:rsid w:val="00270226"/>
    <w:rsid w:val="00270A8D"/>
    <w:rsid w:val="002713F4"/>
    <w:rsid w:val="002716E2"/>
    <w:rsid w:val="002717D7"/>
    <w:rsid w:val="002723A7"/>
    <w:rsid w:val="002731B7"/>
    <w:rsid w:val="0027468D"/>
    <w:rsid w:val="00276144"/>
    <w:rsid w:val="00277B56"/>
    <w:rsid w:val="00277FCD"/>
    <w:rsid w:val="002805A9"/>
    <w:rsid w:val="00280990"/>
    <w:rsid w:val="0028156C"/>
    <w:rsid w:val="00282A74"/>
    <w:rsid w:val="002846B0"/>
    <w:rsid w:val="002849D4"/>
    <w:rsid w:val="0028504B"/>
    <w:rsid w:val="002857FC"/>
    <w:rsid w:val="00285F15"/>
    <w:rsid w:val="0028636F"/>
    <w:rsid w:val="00286387"/>
    <w:rsid w:val="00287380"/>
    <w:rsid w:val="00287EB7"/>
    <w:rsid w:val="00290227"/>
    <w:rsid w:val="00290798"/>
    <w:rsid w:val="00290CFA"/>
    <w:rsid w:val="00291119"/>
    <w:rsid w:val="00291969"/>
    <w:rsid w:val="00291AA8"/>
    <w:rsid w:val="00291C3F"/>
    <w:rsid w:val="002924A4"/>
    <w:rsid w:val="0029294E"/>
    <w:rsid w:val="00292E68"/>
    <w:rsid w:val="00293091"/>
    <w:rsid w:val="00293B9D"/>
    <w:rsid w:val="00293E70"/>
    <w:rsid w:val="00294B0C"/>
    <w:rsid w:val="00295632"/>
    <w:rsid w:val="00296732"/>
    <w:rsid w:val="00297026"/>
    <w:rsid w:val="002970B7"/>
    <w:rsid w:val="002A06EE"/>
    <w:rsid w:val="002A0D70"/>
    <w:rsid w:val="002A18E0"/>
    <w:rsid w:val="002A19F5"/>
    <w:rsid w:val="002A1D61"/>
    <w:rsid w:val="002A401B"/>
    <w:rsid w:val="002A455D"/>
    <w:rsid w:val="002A4710"/>
    <w:rsid w:val="002A58AC"/>
    <w:rsid w:val="002A5E4A"/>
    <w:rsid w:val="002A798D"/>
    <w:rsid w:val="002B0261"/>
    <w:rsid w:val="002B0598"/>
    <w:rsid w:val="002B17F0"/>
    <w:rsid w:val="002B1C59"/>
    <w:rsid w:val="002B258B"/>
    <w:rsid w:val="002B2924"/>
    <w:rsid w:val="002B37D6"/>
    <w:rsid w:val="002B430A"/>
    <w:rsid w:val="002B4922"/>
    <w:rsid w:val="002B52E3"/>
    <w:rsid w:val="002B55DE"/>
    <w:rsid w:val="002B63DE"/>
    <w:rsid w:val="002B69F3"/>
    <w:rsid w:val="002B6F72"/>
    <w:rsid w:val="002B742D"/>
    <w:rsid w:val="002B7C68"/>
    <w:rsid w:val="002B7ED4"/>
    <w:rsid w:val="002C17D7"/>
    <w:rsid w:val="002C17E5"/>
    <w:rsid w:val="002C22A3"/>
    <w:rsid w:val="002C22C3"/>
    <w:rsid w:val="002C2547"/>
    <w:rsid w:val="002C2D19"/>
    <w:rsid w:val="002C3AF6"/>
    <w:rsid w:val="002C5155"/>
    <w:rsid w:val="002C611E"/>
    <w:rsid w:val="002C7778"/>
    <w:rsid w:val="002C7EC6"/>
    <w:rsid w:val="002C7F2C"/>
    <w:rsid w:val="002D05DE"/>
    <w:rsid w:val="002D0B3C"/>
    <w:rsid w:val="002D10FA"/>
    <w:rsid w:val="002D13B0"/>
    <w:rsid w:val="002D1AC4"/>
    <w:rsid w:val="002D1B19"/>
    <w:rsid w:val="002D1D01"/>
    <w:rsid w:val="002D21D5"/>
    <w:rsid w:val="002D298B"/>
    <w:rsid w:val="002D3093"/>
    <w:rsid w:val="002D318F"/>
    <w:rsid w:val="002D3FB4"/>
    <w:rsid w:val="002D4782"/>
    <w:rsid w:val="002D4C55"/>
    <w:rsid w:val="002D5D56"/>
    <w:rsid w:val="002D6A1F"/>
    <w:rsid w:val="002D6CFC"/>
    <w:rsid w:val="002D75A9"/>
    <w:rsid w:val="002D77A6"/>
    <w:rsid w:val="002D7CEA"/>
    <w:rsid w:val="002E0841"/>
    <w:rsid w:val="002E1872"/>
    <w:rsid w:val="002E1F97"/>
    <w:rsid w:val="002E23EC"/>
    <w:rsid w:val="002E302B"/>
    <w:rsid w:val="002E3855"/>
    <w:rsid w:val="002E3B36"/>
    <w:rsid w:val="002E40A8"/>
    <w:rsid w:val="002E44C2"/>
    <w:rsid w:val="002E4624"/>
    <w:rsid w:val="002E521C"/>
    <w:rsid w:val="002E6DED"/>
    <w:rsid w:val="002E70A6"/>
    <w:rsid w:val="002E74A9"/>
    <w:rsid w:val="002E765C"/>
    <w:rsid w:val="002E7E5A"/>
    <w:rsid w:val="002F0422"/>
    <w:rsid w:val="002F07E5"/>
    <w:rsid w:val="002F0FDF"/>
    <w:rsid w:val="002F182D"/>
    <w:rsid w:val="002F2345"/>
    <w:rsid w:val="002F4260"/>
    <w:rsid w:val="002F43B6"/>
    <w:rsid w:val="002F4788"/>
    <w:rsid w:val="002F4B8C"/>
    <w:rsid w:val="002F5ADC"/>
    <w:rsid w:val="002F6584"/>
    <w:rsid w:val="002F6989"/>
    <w:rsid w:val="002F7818"/>
    <w:rsid w:val="003002AB"/>
    <w:rsid w:val="003004B2"/>
    <w:rsid w:val="00300956"/>
    <w:rsid w:val="00300EC5"/>
    <w:rsid w:val="00302B01"/>
    <w:rsid w:val="003030F5"/>
    <w:rsid w:val="00304185"/>
    <w:rsid w:val="003041ED"/>
    <w:rsid w:val="0030658C"/>
    <w:rsid w:val="003070AD"/>
    <w:rsid w:val="00307939"/>
    <w:rsid w:val="00307BA9"/>
    <w:rsid w:val="003106A7"/>
    <w:rsid w:val="00310A8D"/>
    <w:rsid w:val="00311BF2"/>
    <w:rsid w:val="00311D0D"/>
    <w:rsid w:val="003125CC"/>
    <w:rsid w:val="003139C2"/>
    <w:rsid w:val="003149F4"/>
    <w:rsid w:val="00317187"/>
    <w:rsid w:val="00317B9B"/>
    <w:rsid w:val="00317D5D"/>
    <w:rsid w:val="00320203"/>
    <w:rsid w:val="0032085F"/>
    <w:rsid w:val="0032149F"/>
    <w:rsid w:val="003215AB"/>
    <w:rsid w:val="00321D14"/>
    <w:rsid w:val="003225CF"/>
    <w:rsid w:val="003225E7"/>
    <w:rsid w:val="00322757"/>
    <w:rsid w:val="00322D6C"/>
    <w:rsid w:val="00322E7F"/>
    <w:rsid w:val="003236A2"/>
    <w:rsid w:val="0032499A"/>
    <w:rsid w:val="00325BEC"/>
    <w:rsid w:val="00325E80"/>
    <w:rsid w:val="00331D3B"/>
    <w:rsid w:val="0033255D"/>
    <w:rsid w:val="00332D9C"/>
    <w:rsid w:val="003341F7"/>
    <w:rsid w:val="00336830"/>
    <w:rsid w:val="00336FA6"/>
    <w:rsid w:val="003375F2"/>
    <w:rsid w:val="00337E4A"/>
    <w:rsid w:val="00340457"/>
    <w:rsid w:val="003404CF"/>
    <w:rsid w:val="003410A5"/>
    <w:rsid w:val="00342597"/>
    <w:rsid w:val="00342972"/>
    <w:rsid w:val="00342DBE"/>
    <w:rsid w:val="003442EC"/>
    <w:rsid w:val="003463B5"/>
    <w:rsid w:val="00347FEC"/>
    <w:rsid w:val="0035022F"/>
    <w:rsid w:val="003502D2"/>
    <w:rsid w:val="003509DF"/>
    <w:rsid w:val="003511F6"/>
    <w:rsid w:val="00351DFA"/>
    <w:rsid w:val="003522E2"/>
    <w:rsid w:val="00352DA9"/>
    <w:rsid w:val="00353289"/>
    <w:rsid w:val="00353929"/>
    <w:rsid w:val="00354C31"/>
    <w:rsid w:val="00355CDC"/>
    <w:rsid w:val="0035689B"/>
    <w:rsid w:val="00356F45"/>
    <w:rsid w:val="00360189"/>
    <w:rsid w:val="003628EA"/>
    <w:rsid w:val="003645E1"/>
    <w:rsid w:val="00364A48"/>
    <w:rsid w:val="00365C2B"/>
    <w:rsid w:val="00366171"/>
    <w:rsid w:val="003662A8"/>
    <w:rsid w:val="00366B74"/>
    <w:rsid w:val="00366E37"/>
    <w:rsid w:val="00366F47"/>
    <w:rsid w:val="00367204"/>
    <w:rsid w:val="00367927"/>
    <w:rsid w:val="003711D6"/>
    <w:rsid w:val="00372063"/>
    <w:rsid w:val="00372525"/>
    <w:rsid w:val="00373393"/>
    <w:rsid w:val="0037394A"/>
    <w:rsid w:val="00374704"/>
    <w:rsid w:val="00375D4C"/>
    <w:rsid w:val="00375ECF"/>
    <w:rsid w:val="00376948"/>
    <w:rsid w:val="00377D3F"/>
    <w:rsid w:val="00380DE1"/>
    <w:rsid w:val="00381608"/>
    <w:rsid w:val="00381F95"/>
    <w:rsid w:val="0038262C"/>
    <w:rsid w:val="00382D69"/>
    <w:rsid w:val="003831F9"/>
    <w:rsid w:val="00384EC0"/>
    <w:rsid w:val="00385268"/>
    <w:rsid w:val="003863C8"/>
    <w:rsid w:val="00386733"/>
    <w:rsid w:val="00386EAC"/>
    <w:rsid w:val="00391F7A"/>
    <w:rsid w:val="00393779"/>
    <w:rsid w:val="00393919"/>
    <w:rsid w:val="00393DAA"/>
    <w:rsid w:val="00394F7F"/>
    <w:rsid w:val="003950EB"/>
    <w:rsid w:val="003953AB"/>
    <w:rsid w:val="0039614D"/>
    <w:rsid w:val="00396B1C"/>
    <w:rsid w:val="003A0410"/>
    <w:rsid w:val="003A0827"/>
    <w:rsid w:val="003A0C7E"/>
    <w:rsid w:val="003A17FF"/>
    <w:rsid w:val="003A183C"/>
    <w:rsid w:val="003A2E18"/>
    <w:rsid w:val="003A3EFE"/>
    <w:rsid w:val="003A584C"/>
    <w:rsid w:val="003A60A4"/>
    <w:rsid w:val="003A706C"/>
    <w:rsid w:val="003A710A"/>
    <w:rsid w:val="003B09F1"/>
    <w:rsid w:val="003B1E80"/>
    <w:rsid w:val="003B2196"/>
    <w:rsid w:val="003B337D"/>
    <w:rsid w:val="003B385D"/>
    <w:rsid w:val="003B470B"/>
    <w:rsid w:val="003B61A6"/>
    <w:rsid w:val="003B659E"/>
    <w:rsid w:val="003B66CB"/>
    <w:rsid w:val="003B6929"/>
    <w:rsid w:val="003B73E8"/>
    <w:rsid w:val="003C0ECD"/>
    <w:rsid w:val="003C2435"/>
    <w:rsid w:val="003C275E"/>
    <w:rsid w:val="003C2987"/>
    <w:rsid w:val="003C47C9"/>
    <w:rsid w:val="003C4CA0"/>
    <w:rsid w:val="003C4FDE"/>
    <w:rsid w:val="003C5B65"/>
    <w:rsid w:val="003C6644"/>
    <w:rsid w:val="003D1239"/>
    <w:rsid w:val="003D1EA3"/>
    <w:rsid w:val="003D25ED"/>
    <w:rsid w:val="003D2CAD"/>
    <w:rsid w:val="003D2F8A"/>
    <w:rsid w:val="003D34C4"/>
    <w:rsid w:val="003D3602"/>
    <w:rsid w:val="003D3C4B"/>
    <w:rsid w:val="003D3FA5"/>
    <w:rsid w:val="003D46C6"/>
    <w:rsid w:val="003D49FF"/>
    <w:rsid w:val="003D5F09"/>
    <w:rsid w:val="003E014A"/>
    <w:rsid w:val="003E0ADA"/>
    <w:rsid w:val="003E2475"/>
    <w:rsid w:val="003E2517"/>
    <w:rsid w:val="003E33A2"/>
    <w:rsid w:val="003E3832"/>
    <w:rsid w:val="003E4904"/>
    <w:rsid w:val="003E4B51"/>
    <w:rsid w:val="003E522F"/>
    <w:rsid w:val="003E53EE"/>
    <w:rsid w:val="003E574D"/>
    <w:rsid w:val="003E58DF"/>
    <w:rsid w:val="003E597B"/>
    <w:rsid w:val="003E59F4"/>
    <w:rsid w:val="003E5AC1"/>
    <w:rsid w:val="003E5EAC"/>
    <w:rsid w:val="003E77E5"/>
    <w:rsid w:val="003F0726"/>
    <w:rsid w:val="003F09A9"/>
    <w:rsid w:val="003F0D90"/>
    <w:rsid w:val="003F25B2"/>
    <w:rsid w:val="003F2982"/>
    <w:rsid w:val="003F2CD2"/>
    <w:rsid w:val="003F3943"/>
    <w:rsid w:val="003F432C"/>
    <w:rsid w:val="003F4841"/>
    <w:rsid w:val="003F5558"/>
    <w:rsid w:val="003F558E"/>
    <w:rsid w:val="003F5BA5"/>
    <w:rsid w:val="003F7A1C"/>
    <w:rsid w:val="003F7F64"/>
    <w:rsid w:val="004001C7"/>
    <w:rsid w:val="00400532"/>
    <w:rsid w:val="00403DF7"/>
    <w:rsid w:val="00403F42"/>
    <w:rsid w:val="00404360"/>
    <w:rsid w:val="00404C4C"/>
    <w:rsid w:val="00404E6A"/>
    <w:rsid w:val="0040521A"/>
    <w:rsid w:val="004102CD"/>
    <w:rsid w:val="004102DF"/>
    <w:rsid w:val="00410743"/>
    <w:rsid w:val="004108B5"/>
    <w:rsid w:val="00411A31"/>
    <w:rsid w:val="00411D52"/>
    <w:rsid w:val="00412084"/>
    <w:rsid w:val="00413011"/>
    <w:rsid w:val="00414127"/>
    <w:rsid w:val="0041423F"/>
    <w:rsid w:val="00414856"/>
    <w:rsid w:val="00414F81"/>
    <w:rsid w:val="00416448"/>
    <w:rsid w:val="00416818"/>
    <w:rsid w:val="00416D64"/>
    <w:rsid w:val="00417F14"/>
    <w:rsid w:val="00420B34"/>
    <w:rsid w:val="00421451"/>
    <w:rsid w:val="00421F0E"/>
    <w:rsid w:val="004226A4"/>
    <w:rsid w:val="00423068"/>
    <w:rsid w:val="00423A18"/>
    <w:rsid w:val="0042438A"/>
    <w:rsid w:val="00426145"/>
    <w:rsid w:val="00426267"/>
    <w:rsid w:val="00430E1C"/>
    <w:rsid w:val="00432512"/>
    <w:rsid w:val="00432DA6"/>
    <w:rsid w:val="00433F14"/>
    <w:rsid w:val="0043495C"/>
    <w:rsid w:val="0043591F"/>
    <w:rsid w:val="004368B3"/>
    <w:rsid w:val="00436A0F"/>
    <w:rsid w:val="00437150"/>
    <w:rsid w:val="0043750A"/>
    <w:rsid w:val="004375A6"/>
    <w:rsid w:val="004377BE"/>
    <w:rsid w:val="004405AE"/>
    <w:rsid w:val="004412BF"/>
    <w:rsid w:val="0044171B"/>
    <w:rsid w:val="00442501"/>
    <w:rsid w:val="0044467E"/>
    <w:rsid w:val="00444A65"/>
    <w:rsid w:val="00445E81"/>
    <w:rsid w:val="004463E2"/>
    <w:rsid w:val="00447577"/>
    <w:rsid w:val="0044762E"/>
    <w:rsid w:val="00452681"/>
    <w:rsid w:val="00453BDA"/>
    <w:rsid w:val="004545DB"/>
    <w:rsid w:val="004551C5"/>
    <w:rsid w:val="004552A2"/>
    <w:rsid w:val="00455E4D"/>
    <w:rsid w:val="00455EC0"/>
    <w:rsid w:val="004564E1"/>
    <w:rsid w:val="00456543"/>
    <w:rsid w:val="00457373"/>
    <w:rsid w:val="00457E16"/>
    <w:rsid w:val="00460721"/>
    <w:rsid w:val="004616F0"/>
    <w:rsid w:val="00462C34"/>
    <w:rsid w:val="004635A0"/>
    <w:rsid w:val="0046377F"/>
    <w:rsid w:val="004640EF"/>
    <w:rsid w:val="00464914"/>
    <w:rsid w:val="00465D01"/>
    <w:rsid w:val="00465F56"/>
    <w:rsid w:val="00466C04"/>
    <w:rsid w:val="00466E92"/>
    <w:rsid w:val="00466FE3"/>
    <w:rsid w:val="004674CE"/>
    <w:rsid w:val="004677D3"/>
    <w:rsid w:val="00470058"/>
    <w:rsid w:val="00471822"/>
    <w:rsid w:val="00472B2C"/>
    <w:rsid w:val="00472BFC"/>
    <w:rsid w:val="0047325F"/>
    <w:rsid w:val="004732E9"/>
    <w:rsid w:val="00473D26"/>
    <w:rsid w:val="00474503"/>
    <w:rsid w:val="00474E52"/>
    <w:rsid w:val="004751A2"/>
    <w:rsid w:val="00475468"/>
    <w:rsid w:val="00475DFB"/>
    <w:rsid w:val="0047703F"/>
    <w:rsid w:val="004775C5"/>
    <w:rsid w:val="00480712"/>
    <w:rsid w:val="00481325"/>
    <w:rsid w:val="00481970"/>
    <w:rsid w:val="004819FD"/>
    <w:rsid w:val="00481BD5"/>
    <w:rsid w:val="004828BD"/>
    <w:rsid w:val="00482A3F"/>
    <w:rsid w:val="0048329B"/>
    <w:rsid w:val="00484345"/>
    <w:rsid w:val="004854BB"/>
    <w:rsid w:val="00485961"/>
    <w:rsid w:val="00486630"/>
    <w:rsid w:val="00487B25"/>
    <w:rsid w:val="00491A72"/>
    <w:rsid w:val="00492251"/>
    <w:rsid w:val="00492A64"/>
    <w:rsid w:val="00492AEF"/>
    <w:rsid w:val="00494178"/>
    <w:rsid w:val="00494493"/>
    <w:rsid w:val="004944AF"/>
    <w:rsid w:val="00496090"/>
    <w:rsid w:val="00496606"/>
    <w:rsid w:val="0049669C"/>
    <w:rsid w:val="00496C68"/>
    <w:rsid w:val="00496D5A"/>
    <w:rsid w:val="00496F4C"/>
    <w:rsid w:val="004A0660"/>
    <w:rsid w:val="004A162C"/>
    <w:rsid w:val="004A4B5A"/>
    <w:rsid w:val="004A519C"/>
    <w:rsid w:val="004A5976"/>
    <w:rsid w:val="004A5BF7"/>
    <w:rsid w:val="004A6C13"/>
    <w:rsid w:val="004A7059"/>
    <w:rsid w:val="004A7F50"/>
    <w:rsid w:val="004B0FA6"/>
    <w:rsid w:val="004B12EA"/>
    <w:rsid w:val="004B23A6"/>
    <w:rsid w:val="004B3DDC"/>
    <w:rsid w:val="004C0151"/>
    <w:rsid w:val="004C30B2"/>
    <w:rsid w:val="004C3212"/>
    <w:rsid w:val="004C3F12"/>
    <w:rsid w:val="004C6112"/>
    <w:rsid w:val="004C7506"/>
    <w:rsid w:val="004C7C9C"/>
    <w:rsid w:val="004D1168"/>
    <w:rsid w:val="004D1901"/>
    <w:rsid w:val="004D214A"/>
    <w:rsid w:val="004D3C26"/>
    <w:rsid w:val="004D512E"/>
    <w:rsid w:val="004D6E9D"/>
    <w:rsid w:val="004E0581"/>
    <w:rsid w:val="004E0D85"/>
    <w:rsid w:val="004E102A"/>
    <w:rsid w:val="004E2B60"/>
    <w:rsid w:val="004E3582"/>
    <w:rsid w:val="004E35B0"/>
    <w:rsid w:val="004E3CAB"/>
    <w:rsid w:val="004E43EE"/>
    <w:rsid w:val="004E4EBB"/>
    <w:rsid w:val="004E56E1"/>
    <w:rsid w:val="004E5E66"/>
    <w:rsid w:val="004E5E69"/>
    <w:rsid w:val="004E64BA"/>
    <w:rsid w:val="004E6708"/>
    <w:rsid w:val="004E6BCB"/>
    <w:rsid w:val="004E7ADB"/>
    <w:rsid w:val="004E7F10"/>
    <w:rsid w:val="004E7F33"/>
    <w:rsid w:val="004F2615"/>
    <w:rsid w:val="004F5220"/>
    <w:rsid w:val="004F6D61"/>
    <w:rsid w:val="005000BC"/>
    <w:rsid w:val="00500810"/>
    <w:rsid w:val="00501A71"/>
    <w:rsid w:val="0050342F"/>
    <w:rsid w:val="005035E0"/>
    <w:rsid w:val="00503B4D"/>
    <w:rsid w:val="00504EE9"/>
    <w:rsid w:val="005068DF"/>
    <w:rsid w:val="00507646"/>
    <w:rsid w:val="005100CC"/>
    <w:rsid w:val="00510C79"/>
    <w:rsid w:val="005119AF"/>
    <w:rsid w:val="0051210A"/>
    <w:rsid w:val="00512947"/>
    <w:rsid w:val="00512B3F"/>
    <w:rsid w:val="005138E6"/>
    <w:rsid w:val="00513BFC"/>
    <w:rsid w:val="00514E4F"/>
    <w:rsid w:val="005161CE"/>
    <w:rsid w:val="00516526"/>
    <w:rsid w:val="00517A09"/>
    <w:rsid w:val="00521576"/>
    <w:rsid w:val="0052210F"/>
    <w:rsid w:val="00522134"/>
    <w:rsid w:val="005231CC"/>
    <w:rsid w:val="005239C1"/>
    <w:rsid w:val="005250E6"/>
    <w:rsid w:val="00527097"/>
    <w:rsid w:val="0052744B"/>
    <w:rsid w:val="00530102"/>
    <w:rsid w:val="0053145F"/>
    <w:rsid w:val="00532935"/>
    <w:rsid w:val="00532EED"/>
    <w:rsid w:val="00534B4B"/>
    <w:rsid w:val="005351A6"/>
    <w:rsid w:val="005361A9"/>
    <w:rsid w:val="005362A8"/>
    <w:rsid w:val="00536DB1"/>
    <w:rsid w:val="00536FDF"/>
    <w:rsid w:val="005379A9"/>
    <w:rsid w:val="00537A10"/>
    <w:rsid w:val="00537A47"/>
    <w:rsid w:val="00537C4B"/>
    <w:rsid w:val="0054070F"/>
    <w:rsid w:val="00541E86"/>
    <w:rsid w:val="005421C2"/>
    <w:rsid w:val="00542A2E"/>
    <w:rsid w:val="00542D23"/>
    <w:rsid w:val="00542E50"/>
    <w:rsid w:val="005435DC"/>
    <w:rsid w:val="00543CB9"/>
    <w:rsid w:val="0054442C"/>
    <w:rsid w:val="00544E71"/>
    <w:rsid w:val="00545064"/>
    <w:rsid w:val="0054517B"/>
    <w:rsid w:val="00545335"/>
    <w:rsid w:val="005456B7"/>
    <w:rsid w:val="00546341"/>
    <w:rsid w:val="00546477"/>
    <w:rsid w:val="005472F9"/>
    <w:rsid w:val="005476CA"/>
    <w:rsid w:val="00550004"/>
    <w:rsid w:val="0055010F"/>
    <w:rsid w:val="00550285"/>
    <w:rsid w:val="00550E51"/>
    <w:rsid w:val="00550EE0"/>
    <w:rsid w:val="00551A1D"/>
    <w:rsid w:val="005527A2"/>
    <w:rsid w:val="00554321"/>
    <w:rsid w:val="005547A7"/>
    <w:rsid w:val="00555EBB"/>
    <w:rsid w:val="005577EB"/>
    <w:rsid w:val="005604CF"/>
    <w:rsid w:val="0056180C"/>
    <w:rsid w:val="005620BF"/>
    <w:rsid w:val="00562492"/>
    <w:rsid w:val="00562577"/>
    <w:rsid w:val="00562DAE"/>
    <w:rsid w:val="00562EF6"/>
    <w:rsid w:val="00563084"/>
    <w:rsid w:val="005638CF"/>
    <w:rsid w:val="00564004"/>
    <w:rsid w:val="00565034"/>
    <w:rsid w:val="00565190"/>
    <w:rsid w:val="00565BEC"/>
    <w:rsid w:val="00567E19"/>
    <w:rsid w:val="00570E8D"/>
    <w:rsid w:val="00572A20"/>
    <w:rsid w:val="00572C21"/>
    <w:rsid w:val="005751A6"/>
    <w:rsid w:val="005761AD"/>
    <w:rsid w:val="0057650C"/>
    <w:rsid w:val="0057658F"/>
    <w:rsid w:val="005778CE"/>
    <w:rsid w:val="00577ADE"/>
    <w:rsid w:val="00580150"/>
    <w:rsid w:val="005803CB"/>
    <w:rsid w:val="005821D2"/>
    <w:rsid w:val="005836F8"/>
    <w:rsid w:val="00584F16"/>
    <w:rsid w:val="0058597A"/>
    <w:rsid w:val="00587A8F"/>
    <w:rsid w:val="00590082"/>
    <w:rsid w:val="00590372"/>
    <w:rsid w:val="0059052B"/>
    <w:rsid w:val="00590AB4"/>
    <w:rsid w:val="00590AE7"/>
    <w:rsid w:val="005918FA"/>
    <w:rsid w:val="00592A86"/>
    <w:rsid w:val="005934CE"/>
    <w:rsid w:val="0059399E"/>
    <w:rsid w:val="00593D45"/>
    <w:rsid w:val="005956E0"/>
    <w:rsid w:val="00595786"/>
    <w:rsid w:val="00595954"/>
    <w:rsid w:val="00595F62"/>
    <w:rsid w:val="00596138"/>
    <w:rsid w:val="005965F6"/>
    <w:rsid w:val="00597020"/>
    <w:rsid w:val="00597946"/>
    <w:rsid w:val="00597DE7"/>
    <w:rsid w:val="005A15D4"/>
    <w:rsid w:val="005A1C33"/>
    <w:rsid w:val="005A2693"/>
    <w:rsid w:val="005A331A"/>
    <w:rsid w:val="005A3855"/>
    <w:rsid w:val="005A3894"/>
    <w:rsid w:val="005A40BB"/>
    <w:rsid w:val="005A5163"/>
    <w:rsid w:val="005A52AD"/>
    <w:rsid w:val="005A560F"/>
    <w:rsid w:val="005A70A3"/>
    <w:rsid w:val="005A7B34"/>
    <w:rsid w:val="005B076D"/>
    <w:rsid w:val="005B2301"/>
    <w:rsid w:val="005B3029"/>
    <w:rsid w:val="005B3250"/>
    <w:rsid w:val="005B3938"/>
    <w:rsid w:val="005B447A"/>
    <w:rsid w:val="005B4801"/>
    <w:rsid w:val="005B4DE0"/>
    <w:rsid w:val="005B5368"/>
    <w:rsid w:val="005B6904"/>
    <w:rsid w:val="005B72C3"/>
    <w:rsid w:val="005B7FAE"/>
    <w:rsid w:val="005C01DB"/>
    <w:rsid w:val="005C23A4"/>
    <w:rsid w:val="005C2D00"/>
    <w:rsid w:val="005C3C8A"/>
    <w:rsid w:val="005C53BD"/>
    <w:rsid w:val="005C64D1"/>
    <w:rsid w:val="005C6E63"/>
    <w:rsid w:val="005C6F16"/>
    <w:rsid w:val="005C7FD6"/>
    <w:rsid w:val="005D1CDF"/>
    <w:rsid w:val="005D1F0C"/>
    <w:rsid w:val="005D2BB7"/>
    <w:rsid w:val="005D6B97"/>
    <w:rsid w:val="005D6FFE"/>
    <w:rsid w:val="005D79AB"/>
    <w:rsid w:val="005D7BAA"/>
    <w:rsid w:val="005D7DD7"/>
    <w:rsid w:val="005E2CF6"/>
    <w:rsid w:val="005E2FEE"/>
    <w:rsid w:val="005E45A4"/>
    <w:rsid w:val="005E45C7"/>
    <w:rsid w:val="005E61A8"/>
    <w:rsid w:val="005E6350"/>
    <w:rsid w:val="005F0226"/>
    <w:rsid w:val="005F0C39"/>
    <w:rsid w:val="005F1A37"/>
    <w:rsid w:val="005F243E"/>
    <w:rsid w:val="005F2BB7"/>
    <w:rsid w:val="005F31F8"/>
    <w:rsid w:val="005F354D"/>
    <w:rsid w:val="005F6419"/>
    <w:rsid w:val="005F6675"/>
    <w:rsid w:val="006013FE"/>
    <w:rsid w:val="0060151A"/>
    <w:rsid w:val="00602171"/>
    <w:rsid w:val="006024B5"/>
    <w:rsid w:val="00602513"/>
    <w:rsid w:val="00602B85"/>
    <w:rsid w:val="0060301D"/>
    <w:rsid w:val="00603BFD"/>
    <w:rsid w:val="00603DAE"/>
    <w:rsid w:val="006042A8"/>
    <w:rsid w:val="00604CC6"/>
    <w:rsid w:val="00604CFD"/>
    <w:rsid w:val="0060543D"/>
    <w:rsid w:val="00606095"/>
    <w:rsid w:val="0060648E"/>
    <w:rsid w:val="0060699F"/>
    <w:rsid w:val="00607C4B"/>
    <w:rsid w:val="006104DD"/>
    <w:rsid w:val="0061195F"/>
    <w:rsid w:val="006130B5"/>
    <w:rsid w:val="00614DD8"/>
    <w:rsid w:val="006150E4"/>
    <w:rsid w:val="00616D6E"/>
    <w:rsid w:val="0061706A"/>
    <w:rsid w:val="00617400"/>
    <w:rsid w:val="00617A71"/>
    <w:rsid w:val="00617E50"/>
    <w:rsid w:val="00621EE6"/>
    <w:rsid w:val="00621F44"/>
    <w:rsid w:val="00623314"/>
    <w:rsid w:val="00623991"/>
    <w:rsid w:val="00624F53"/>
    <w:rsid w:val="0062543E"/>
    <w:rsid w:val="00625458"/>
    <w:rsid w:val="006258D2"/>
    <w:rsid w:val="00625EC1"/>
    <w:rsid w:val="006266FE"/>
    <w:rsid w:val="00627915"/>
    <w:rsid w:val="00627E84"/>
    <w:rsid w:val="00630521"/>
    <w:rsid w:val="00631401"/>
    <w:rsid w:val="00632536"/>
    <w:rsid w:val="00632D29"/>
    <w:rsid w:val="00632EEE"/>
    <w:rsid w:val="006330A3"/>
    <w:rsid w:val="00633F10"/>
    <w:rsid w:val="00634AA4"/>
    <w:rsid w:val="0063513D"/>
    <w:rsid w:val="0063590F"/>
    <w:rsid w:val="00637170"/>
    <w:rsid w:val="006372A2"/>
    <w:rsid w:val="00640AF2"/>
    <w:rsid w:val="00640B86"/>
    <w:rsid w:val="006417E5"/>
    <w:rsid w:val="00641B1A"/>
    <w:rsid w:val="00641EFA"/>
    <w:rsid w:val="006425E9"/>
    <w:rsid w:val="006437DB"/>
    <w:rsid w:val="00644CDF"/>
    <w:rsid w:val="00646FC8"/>
    <w:rsid w:val="0064741F"/>
    <w:rsid w:val="00651A0B"/>
    <w:rsid w:val="00651E0A"/>
    <w:rsid w:val="006526DC"/>
    <w:rsid w:val="006547B3"/>
    <w:rsid w:val="00654860"/>
    <w:rsid w:val="00654C27"/>
    <w:rsid w:val="00655A8F"/>
    <w:rsid w:val="00656229"/>
    <w:rsid w:val="00656A20"/>
    <w:rsid w:val="0065764A"/>
    <w:rsid w:val="00657EB4"/>
    <w:rsid w:val="006602E8"/>
    <w:rsid w:val="006619DD"/>
    <w:rsid w:val="0066313C"/>
    <w:rsid w:val="00663141"/>
    <w:rsid w:val="006645EB"/>
    <w:rsid w:val="00664950"/>
    <w:rsid w:val="00665C9C"/>
    <w:rsid w:val="00665E14"/>
    <w:rsid w:val="0066603F"/>
    <w:rsid w:val="00667D3E"/>
    <w:rsid w:val="006700A1"/>
    <w:rsid w:val="00670A6D"/>
    <w:rsid w:val="00670DE6"/>
    <w:rsid w:val="0067174F"/>
    <w:rsid w:val="006719C3"/>
    <w:rsid w:val="00671C04"/>
    <w:rsid w:val="00672310"/>
    <w:rsid w:val="006731A9"/>
    <w:rsid w:val="006734A0"/>
    <w:rsid w:val="00673571"/>
    <w:rsid w:val="006744AA"/>
    <w:rsid w:val="00675E71"/>
    <w:rsid w:val="006765AD"/>
    <w:rsid w:val="00681BFD"/>
    <w:rsid w:val="00683220"/>
    <w:rsid w:val="00684620"/>
    <w:rsid w:val="00684B67"/>
    <w:rsid w:val="00686A22"/>
    <w:rsid w:val="00687FA0"/>
    <w:rsid w:val="0069026A"/>
    <w:rsid w:val="006912F7"/>
    <w:rsid w:val="00691D2C"/>
    <w:rsid w:val="00692FA5"/>
    <w:rsid w:val="0069310E"/>
    <w:rsid w:val="0069422E"/>
    <w:rsid w:val="00695674"/>
    <w:rsid w:val="00697D21"/>
    <w:rsid w:val="006A0975"/>
    <w:rsid w:val="006A0ACC"/>
    <w:rsid w:val="006A0C7D"/>
    <w:rsid w:val="006A1EB7"/>
    <w:rsid w:val="006A218D"/>
    <w:rsid w:val="006A2645"/>
    <w:rsid w:val="006A2B5A"/>
    <w:rsid w:val="006A2BEB"/>
    <w:rsid w:val="006A307B"/>
    <w:rsid w:val="006A3511"/>
    <w:rsid w:val="006A3C11"/>
    <w:rsid w:val="006A3DE9"/>
    <w:rsid w:val="006A3F47"/>
    <w:rsid w:val="006A3FF4"/>
    <w:rsid w:val="006A41FB"/>
    <w:rsid w:val="006A4349"/>
    <w:rsid w:val="006A5E99"/>
    <w:rsid w:val="006A63C5"/>
    <w:rsid w:val="006B0145"/>
    <w:rsid w:val="006B0585"/>
    <w:rsid w:val="006B29D7"/>
    <w:rsid w:val="006B499D"/>
    <w:rsid w:val="006B5421"/>
    <w:rsid w:val="006B5628"/>
    <w:rsid w:val="006B7010"/>
    <w:rsid w:val="006B7031"/>
    <w:rsid w:val="006B7CBB"/>
    <w:rsid w:val="006B7D23"/>
    <w:rsid w:val="006C01A8"/>
    <w:rsid w:val="006C18AF"/>
    <w:rsid w:val="006C3095"/>
    <w:rsid w:val="006C3AD2"/>
    <w:rsid w:val="006C4271"/>
    <w:rsid w:val="006C64CD"/>
    <w:rsid w:val="006C731D"/>
    <w:rsid w:val="006D1DED"/>
    <w:rsid w:val="006D2071"/>
    <w:rsid w:val="006D2179"/>
    <w:rsid w:val="006D2E69"/>
    <w:rsid w:val="006D4D3E"/>
    <w:rsid w:val="006D6812"/>
    <w:rsid w:val="006D6D60"/>
    <w:rsid w:val="006D70B8"/>
    <w:rsid w:val="006D786B"/>
    <w:rsid w:val="006D7EE5"/>
    <w:rsid w:val="006E00B7"/>
    <w:rsid w:val="006E028B"/>
    <w:rsid w:val="006E1151"/>
    <w:rsid w:val="006E1213"/>
    <w:rsid w:val="006E22E0"/>
    <w:rsid w:val="006E24D1"/>
    <w:rsid w:val="006E24DE"/>
    <w:rsid w:val="006E27ED"/>
    <w:rsid w:val="006E2E73"/>
    <w:rsid w:val="006E2F5B"/>
    <w:rsid w:val="006E40AB"/>
    <w:rsid w:val="006E4D13"/>
    <w:rsid w:val="006E53EF"/>
    <w:rsid w:val="006E5EFC"/>
    <w:rsid w:val="006E6311"/>
    <w:rsid w:val="006E6A0D"/>
    <w:rsid w:val="006E6F10"/>
    <w:rsid w:val="006E6F68"/>
    <w:rsid w:val="006E76BA"/>
    <w:rsid w:val="006F19BE"/>
    <w:rsid w:val="006F1EB4"/>
    <w:rsid w:val="006F1F99"/>
    <w:rsid w:val="006F1FD1"/>
    <w:rsid w:val="006F433B"/>
    <w:rsid w:val="006F4891"/>
    <w:rsid w:val="006F6BF9"/>
    <w:rsid w:val="006F6E92"/>
    <w:rsid w:val="0070040F"/>
    <w:rsid w:val="0070081B"/>
    <w:rsid w:val="00701BC1"/>
    <w:rsid w:val="00702285"/>
    <w:rsid w:val="00702DBC"/>
    <w:rsid w:val="00703FA8"/>
    <w:rsid w:val="00704DBD"/>
    <w:rsid w:val="007055A3"/>
    <w:rsid w:val="00706E03"/>
    <w:rsid w:val="00707093"/>
    <w:rsid w:val="00707372"/>
    <w:rsid w:val="007101E0"/>
    <w:rsid w:val="00710A17"/>
    <w:rsid w:val="007145FF"/>
    <w:rsid w:val="007152CF"/>
    <w:rsid w:val="00715B2A"/>
    <w:rsid w:val="00716247"/>
    <w:rsid w:val="007210A9"/>
    <w:rsid w:val="00722215"/>
    <w:rsid w:val="007222C1"/>
    <w:rsid w:val="00724D79"/>
    <w:rsid w:val="00725272"/>
    <w:rsid w:val="00725918"/>
    <w:rsid w:val="00725E21"/>
    <w:rsid w:val="0072678B"/>
    <w:rsid w:val="007302E1"/>
    <w:rsid w:val="007309AD"/>
    <w:rsid w:val="007326B7"/>
    <w:rsid w:val="00733138"/>
    <w:rsid w:val="007333D6"/>
    <w:rsid w:val="007338B8"/>
    <w:rsid w:val="00733B21"/>
    <w:rsid w:val="0073483C"/>
    <w:rsid w:val="00735409"/>
    <w:rsid w:val="00735C46"/>
    <w:rsid w:val="0073608A"/>
    <w:rsid w:val="00737332"/>
    <w:rsid w:val="00740AB9"/>
    <w:rsid w:val="00740DC2"/>
    <w:rsid w:val="00741D53"/>
    <w:rsid w:val="00742393"/>
    <w:rsid w:val="00742781"/>
    <w:rsid w:val="007435EC"/>
    <w:rsid w:val="007450F1"/>
    <w:rsid w:val="007453C5"/>
    <w:rsid w:val="00746818"/>
    <w:rsid w:val="0074775E"/>
    <w:rsid w:val="00747FE6"/>
    <w:rsid w:val="00750B82"/>
    <w:rsid w:val="00751014"/>
    <w:rsid w:val="00751515"/>
    <w:rsid w:val="007535BE"/>
    <w:rsid w:val="00760809"/>
    <w:rsid w:val="00760BD2"/>
    <w:rsid w:val="007626B7"/>
    <w:rsid w:val="00762707"/>
    <w:rsid w:val="00762745"/>
    <w:rsid w:val="00762C1C"/>
    <w:rsid w:val="0076339A"/>
    <w:rsid w:val="0076431E"/>
    <w:rsid w:val="00765D00"/>
    <w:rsid w:val="00766220"/>
    <w:rsid w:val="007663A0"/>
    <w:rsid w:val="00767B87"/>
    <w:rsid w:val="0077067E"/>
    <w:rsid w:val="007708AF"/>
    <w:rsid w:val="00770AC4"/>
    <w:rsid w:val="00772072"/>
    <w:rsid w:val="00772674"/>
    <w:rsid w:val="00775F47"/>
    <w:rsid w:val="00776672"/>
    <w:rsid w:val="00777004"/>
    <w:rsid w:val="0077747C"/>
    <w:rsid w:val="007777EB"/>
    <w:rsid w:val="00777AF9"/>
    <w:rsid w:val="0078212B"/>
    <w:rsid w:val="0078311A"/>
    <w:rsid w:val="007831DE"/>
    <w:rsid w:val="007835BF"/>
    <w:rsid w:val="007838F8"/>
    <w:rsid w:val="007846CE"/>
    <w:rsid w:val="00784903"/>
    <w:rsid w:val="00784DF6"/>
    <w:rsid w:val="00785232"/>
    <w:rsid w:val="007855A6"/>
    <w:rsid w:val="00787250"/>
    <w:rsid w:val="007875F5"/>
    <w:rsid w:val="00787769"/>
    <w:rsid w:val="00787856"/>
    <w:rsid w:val="007901D9"/>
    <w:rsid w:val="00792F4F"/>
    <w:rsid w:val="00794EB1"/>
    <w:rsid w:val="007957D9"/>
    <w:rsid w:val="007960C1"/>
    <w:rsid w:val="00796821"/>
    <w:rsid w:val="007971B9"/>
    <w:rsid w:val="00797751"/>
    <w:rsid w:val="007A0BA7"/>
    <w:rsid w:val="007A1CB2"/>
    <w:rsid w:val="007A2C44"/>
    <w:rsid w:val="007A49CE"/>
    <w:rsid w:val="007A5E38"/>
    <w:rsid w:val="007A6398"/>
    <w:rsid w:val="007A6B5B"/>
    <w:rsid w:val="007A7DFF"/>
    <w:rsid w:val="007B08A1"/>
    <w:rsid w:val="007B0ABB"/>
    <w:rsid w:val="007B0B8F"/>
    <w:rsid w:val="007B186C"/>
    <w:rsid w:val="007B20C4"/>
    <w:rsid w:val="007B2823"/>
    <w:rsid w:val="007B2F68"/>
    <w:rsid w:val="007B3179"/>
    <w:rsid w:val="007B34AA"/>
    <w:rsid w:val="007B3D8C"/>
    <w:rsid w:val="007B653E"/>
    <w:rsid w:val="007B69BC"/>
    <w:rsid w:val="007B7903"/>
    <w:rsid w:val="007C0CB3"/>
    <w:rsid w:val="007C0DB2"/>
    <w:rsid w:val="007C0E34"/>
    <w:rsid w:val="007C1696"/>
    <w:rsid w:val="007C2BEB"/>
    <w:rsid w:val="007C333D"/>
    <w:rsid w:val="007C374D"/>
    <w:rsid w:val="007C399E"/>
    <w:rsid w:val="007C3ED0"/>
    <w:rsid w:val="007C42E5"/>
    <w:rsid w:val="007C48C4"/>
    <w:rsid w:val="007C4F2E"/>
    <w:rsid w:val="007C5769"/>
    <w:rsid w:val="007C592F"/>
    <w:rsid w:val="007C5971"/>
    <w:rsid w:val="007C61F2"/>
    <w:rsid w:val="007C6B98"/>
    <w:rsid w:val="007C6E1F"/>
    <w:rsid w:val="007C793B"/>
    <w:rsid w:val="007D1B85"/>
    <w:rsid w:val="007D2DE1"/>
    <w:rsid w:val="007D4155"/>
    <w:rsid w:val="007D582D"/>
    <w:rsid w:val="007D7FAE"/>
    <w:rsid w:val="007E07CE"/>
    <w:rsid w:val="007E2687"/>
    <w:rsid w:val="007E398F"/>
    <w:rsid w:val="007E4198"/>
    <w:rsid w:val="007E42DC"/>
    <w:rsid w:val="007E5DF8"/>
    <w:rsid w:val="007E6A61"/>
    <w:rsid w:val="007E7891"/>
    <w:rsid w:val="007F0234"/>
    <w:rsid w:val="007F02E7"/>
    <w:rsid w:val="007F2129"/>
    <w:rsid w:val="007F23DF"/>
    <w:rsid w:val="007F25C9"/>
    <w:rsid w:val="007F2DE0"/>
    <w:rsid w:val="007F3C30"/>
    <w:rsid w:val="007F3D09"/>
    <w:rsid w:val="007F4147"/>
    <w:rsid w:val="007F48C2"/>
    <w:rsid w:val="007F4E0E"/>
    <w:rsid w:val="007F4F78"/>
    <w:rsid w:val="007F54B9"/>
    <w:rsid w:val="007F6D5B"/>
    <w:rsid w:val="007F6D8E"/>
    <w:rsid w:val="007F75DF"/>
    <w:rsid w:val="007F7E70"/>
    <w:rsid w:val="00800657"/>
    <w:rsid w:val="008011B6"/>
    <w:rsid w:val="008013DE"/>
    <w:rsid w:val="0080379D"/>
    <w:rsid w:val="0080492F"/>
    <w:rsid w:val="00804953"/>
    <w:rsid w:val="00805BEF"/>
    <w:rsid w:val="00806A76"/>
    <w:rsid w:val="00806C8C"/>
    <w:rsid w:val="0081054A"/>
    <w:rsid w:val="00811001"/>
    <w:rsid w:val="00811593"/>
    <w:rsid w:val="00811C9D"/>
    <w:rsid w:val="00811DEF"/>
    <w:rsid w:val="008122C5"/>
    <w:rsid w:val="00814DFF"/>
    <w:rsid w:val="00816C80"/>
    <w:rsid w:val="00817626"/>
    <w:rsid w:val="0081797B"/>
    <w:rsid w:val="00820704"/>
    <w:rsid w:val="00822705"/>
    <w:rsid w:val="00822ACF"/>
    <w:rsid w:val="00822BF1"/>
    <w:rsid w:val="00823F6A"/>
    <w:rsid w:val="00826EBC"/>
    <w:rsid w:val="00827B6B"/>
    <w:rsid w:val="008302DB"/>
    <w:rsid w:val="008308A4"/>
    <w:rsid w:val="008308C0"/>
    <w:rsid w:val="008308F4"/>
    <w:rsid w:val="00830C83"/>
    <w:rsid w:val="0083108B"/>
    <w:rsid w:val="00831A3F"/>
    <w:rsid w:val="008320B5"/>
    <w:rsid w:val="00832199"/>
    <w:rsid w:val="00832ED2"/>
    <w:rsid w:val="008363A0"/>
    <w:rsid w:val="00836DA4"/>
    <w:rsid w:val="00837291"/>
    <w:rsid w:val="0083730D"/>
    <w:rsid w:val="0084032E"/>
    <w:rsid w:val="00841BCD"/>
    <w:rsid w:val="00841C53"/>
    <w:rsid w:val="0084283B"/>
    <w:rsid w:val="0084370E"/>
    <w:rsid w:val="00844012"/>
    <w:rsid w:val="0084507C"/>
    <w:rsid w:val="00845E5B"/>
    <w:rsid w:val="00847264"/>
    <w:rsid w:val="0085039C"/>
    <w:rsid w:val="008503E3"/>
    <w:rsid w:val="00851A8E"/>
    <w:rsid w:val="00851EA8"/>
    <w:rsid w:val="00852024"/>
    <w:rsid w:val="0085365B"/>
    <w:rsid w:val="0085418F"/>
    <w:rsid w:val="00856415"/>
    <w:rsid w:val="00856910"/>
    <w:rsid w:val="00856B62"/>
    <w:rsid w:val="00856E75"/>
    <w:rsid w:val="0085744D"/>
    <w:rsid w:val="008575B6"/>
    <w:rsid w:val="00860D01"/>
    <w:rsid w:val="00860ED5"/>
    <w:rsid w:val="00862840"/>
    <w:rsid w:val="00863546"/>
    <w:rsid w:val="008658C5"/>
    <w:rsid w:val="00866814"/>
    <w:rsid w:val="00866853"/>
    <w:rsid w:val="00867485"/>
    <w:rsid w:val="00872633"/>
    <w:rsid w:val="008726E3"/>
    <w:rsid w:val="008747AC"/>
    <w:rsid w:val="00874ACB"/>
    <w:rsid w:val="00874E7C"/>
    <w:rsid w:val="00875EF4"/>
    <w:rsid w:val="00875F06"/>
    <w:rsid w:val="00875FC0"/>
    <w:rsid w:val="00876138"/>
    <w:rsid w:val="00876401"/>
    <w:rsid w:val="008767B7"/>
    <w:rsid w:val="008769EF"/>
    <w:rsid w:val="00877225"/>
    <w:rsid w:val="00877F83"/>
    <w:rsid w:val="0088119A"/>
    <w:rsid w:val="008826C1"/>
    <w:rsid w:val="008828A3"/>
    <w:rsid w:val="008839C1"/>
    <w:rsid w:val="00883C70"/>
    <w:rsid w:val="00883DFD"/>
    <w:rsid w:val="00884E3A"/>
    <w:rsid w:val="0088580E"/>
    <w:rsid w:val="00886065"/>
    <w:rsid w:val="0088641A"/>
    <w:rsid w:val="00886A6D"/>
    <w:rsid w:val="00887FF4"/>
    <w:rsid w:val="008901B5"/>
    <w:rsid w:val="00891071"/>
    <w:rsid w:val="0089210C"/>
    <w:rsid w:val="00892382"/>
    <w:rsid w:val="00892C0A"/>
    <w:rsid w:val="00893797"/>
    <w:rsid w:val="008938FD"/>
    <w:rsid w:val="00893B61"/>
    <w:rsid w:val="00893D2E"/>
    <w:rsid w:val="008943BD"/>
    <w:rsid w:val="00894A4B"/>
    <w:rsid w:val="00896544"/>
    <w:rsid w:val="008A063C"/>
    <w:rsid w:val="008A0B13"/>
    <w:rsid w:val="008A0B1C"/>
    <w:rsid w:val="008A1BF7"/>
    <w:rsid w:val="008A201B"/>
    <w:rsid w:val="008A3753"/>
    <w:rsid w:val="008A42A0"/>
    <w:rsid w:val="008A4CA7"/>
    <w:rsid w:val="008A5834"/>
    <w:rsid w:val="008A5A58"/>
    <w:rsid w:val="008A5B0E"/>
    <w:rsid w:val="008A5E04"/>
    <w:rsid w:val="008B0961"/>
    <w:rsid w:val="008B0993"/>
    <w:rsid w:val="008B0C67"/>
    <w:rsid w:val="008B213F"/>
    <w:rsid w:val="008B2C54"/>
    <w:rsid w:val="008B3861"/>
    <w:rsid w:val="008B3A5E"/>
    <w:rsid w:val="008B43E6"/>
    <w:rsid w:val="008B4EC0"/>
    <w:rsid w:val="008B504A"/>
    <w:rsid w:val="008B62EA"/>
    <w:rsid w:val="008B648E"/>
    <w:rsid w:val="008B711C"/>
    <w:rsid w:val="008B760D"/>
    <w:rsid w:val="008C05E2"/>
    <w:rsid w:val="008C0930"/>
    <w:rsid w:val="008C0AAF"/>
    <w:rsid w:val="008C23EE"/>
    <w:rsid w:val="008C2716"/>
    <w:rsid w:val="008C375A"/>
    <w:rsid w:val="008C39F7"/>
    <w:rsid w:val="008C4647"/>
    <w:rsid w:val="008C5126"/>
    <w:rsid w:val="008C6129"/>
    <w:rsid w:val="008D1877"/>
    <w:rsid w:val="008D24D3"/>
    <w:rsid w:val="008D2B2D"/>
    <w:rsid w:val="008D3B50"/>
    <w:rsid w:val="008D549B"/>
    <w:rsid w:val="008D627E"/>
    <w:rsid w:val="008D7A54"/>
    <w:rsid w:val="008E1BED"/>
    <w:rsid w:val="008E220A"/>
    <w:rsid w:val="008E2656"/>
    <w:rsid w:val="008E2983"/>
    <w:rsid w:val="008E2E32"/>
    <w:rsid w:val="008E39F0"/>
    <w:rsid w:val="008E6767"/>
    <w:rsid w:val="008E6916"/>
    <w:rsid w:val="008E7463"/>
    <w:rsid w:val="008F1AAD"/>
    <w:rsid w:val="008F1CB1"/>
    <w:rsid w:val="008F1F43"/>
    <w:rsid w:val="008F2EF0"/>
    <w:rsid w:val="008F3686"/>
    <w:rsid w:val="008F3F17"/>
    <w:rsid w:val="008F43A8"/>
    <w:rsid w:val="008F4B3E"/>
    <w:rsid w:val="008F5103"/>
    <w:rsid w:val="008F6168"/>
    <w:rsid w:val="008F6791"/>
    <w:rsid w:val="008F6E6A"/>
    <w:rsid w:val="008F6F5D"/>
    <w:rsid w:val="008F718C"/>
    <w:rsid w:val="008F76A6"/>
    <w:rsid w:val="0090091A"/>
    <w:rsid w:val="0090131C"/>
    <w:rsid w:val="0090178F"/>
    <w:rsid w:val="0090184E"/>
    <w:rsid w:val="0090254F"/>
    <w:rsid w:val="0090399E"/>
    <w:rsid w:val="009042BD"/>
    <w:rsid w:val="00904427"/>
    <w:rsid w:val="00904908"/>
    <w:rsid w:val="00904914"/>
    <w:rsid w:val="00904FE4"/>
    <w:rsid w:val="00905266"/>
    <w:rsid w:val="00907531"/>
    <w:rsid w:val="009078DC"/>
    <w:rsid w:val="00910DE2"/>
    <w:rsid w:val="0091188E"/>
    <w:rsid w:val="0091286D"/>
    <w:rsid w:val="00912ED5"/>
    <w:rsid w:val="0091354D"/>
    <w:rsid w:val="00913676"/>
    <w:rsid w:val="00913C88"/>
    <w:rsid w:val="009140EE"/>
    <w:rsid w:val="009145C5"/>
    <w:rsid w:val="00914D4E"/>
    <w:rsid w:val="00915338"/>
    <w:rsid w:val="009163A6"/>
    <w:rsid w:val="009200FD"/>
    <w:rsid w:val="00920902"/>
    <w:rsid w:val="00922D69"/>
    <w:rsid w:val="009233C5"/>
    <w:rsid w:val="00923AF0"/>
    <w:rsid w:val="00923D6A"/>
    <w:rsid w:val="00924E66"/>
    <w:rsid w:val="00926386"/>
    <w:rsid w:val="00927740"/>
    <w:rsid w:val="00930F4F"/>
    <w:rsid w:val="00930F60"/>
    <w:rsid w:val="0093151D"/>
    <w:rsid w:val="009328A1"/>
    <w:rsid w:val="009332AA"/>
    <w:rsid w:val="00934C64"/>
    <w:rsid w:val="00934C68"/>
    <w:rsid w:val="00935C29"/>
    <w:rsid w:val="00935C5B"/>
    <w:rsid w:val="00935CCD"/>
    <w:rsid w:val="00935FA2"/>
    <w:rsid w:val="00936159"/>
    <w:rsid w:val="0093648B"/>
    <w:rsid w:val="00936782"/>
    <w:rsid w:val="0093678C"/>
    <w:rsid w:val="00936BF9"/>
    <w:rsid w:val="0093769C"/>
    <w:rsid w:val="00937869"/>
    <w:rsid w:val="00941002"/>
    <w:rsid w:val="00943365"/>
    <w:rsid w:val="0094336C"/>
    <w:rsid w:val="00943707"/>
    <w:rsid w:val="009448ED"/>
    <w:rsid w:val="0094545C"/>
    <w:rsid w:val="009462AC"/>
    <w:rsid w:val="009473C2"/>
    <w:rsid w:val="00947407"/>
    <w:rsid w:val="00947F50"/>
    <w:rsid w:val="00950520"/>
    <w:rsid w:val="00950E68"/>
    <w:rsid w:val="00954B39"/>
    <w:rsid w:val="00954FF3"/>
    <w:rsid w:val="0095542E"/>
    <w:rsid w:val="0095594B"/>
    <w:rsid w:val="00955B9D"/>
    <w:rsid w:val="00955D06"/>
    <w:rsid w:val="009561B9"/>
    <w:rsid w:val="009563EA"/>
    <w:rsid w:val="00956563"/>
    <w:rsid w:val="009569C5"/>
    <w:rsid w:val="00956EF5"/>
    <w:rsid w:val="00960165"/>
    <w:rsid w:val="00960635"/>
    <w:rsid w:val="00960871"/>
    <w:rsid w:val="00964305"/>
    <w:rsid w:val="009646BA"/>
    <w:rsid w:val="009647BC"/>
    <w:rsid w:val="00965658"/>
    <w:rsid w:val="009672F4"/>
    <w:rsid w:val="00971BC1"/>
    <w:rsid w:val="00973F19"/>
    <w:rsid w:val="00974396"/>
    <w:rsid w:val="00975A99"/>
    <w:rsid w:val="00977B61"/>
    <w:rsid w:val="00977B96"/>
    <w:rsid w:val="00977E1D"/>
    <w:rsid w:val="009804AA"/>
    <w:rsid w:val="009816FC"/>
    <w:rsid w:val="00981C2C"/>
    <w:rsid w:val="00981E3C"/>
    <w:rsid w:val="00982777"/>
    <w:rsid w:val="0098409B"/>
    <w:rsid w:val="00984BFA"/>
    <w:rsid w:val="00984CD1"/>
    <w:rsid w:val="00985E15"/>
    <w:rsid w:val="00985F50"/>
    <w:rsid w:val="00985F71"/>
    <w:rsid w:val="00986357"/>
    <w:rsid w:val="009863FC"/>
    <w:rsid w:val="00987632"/>
    <w:rsid w:val="00990846"/>
    <w:rsid w:val="00990BA1"/>
    <w:rsid w:val="00991D4D"/>
    <w:rsid w:val="00992A70"/>
    <w:rsid w:val="00993417"/>
    <w:rsid w:val="009938FE"/>
    <w:rsid w:val="00993E4C"/>
    <w:rsid w:val="00994111"/>
    <w:rsid w:val="00994DCF"/>
    <w:rsid w:val="00994E0B"/>
    <w:rsid w:val="009951B6"/>
    <w:rsid w:val="00996C16"/>
    <w:rsid w:val="00997B77"/>
    <w:rsid w:val="009A1F26"/>
    <w:rsid w:val="009A2C1F"/>
    <w:rsid w:val="009A2C6E"/>
    <w:rsid w:val="009A3484"/>
    <w:rsid w:val="009A3E82"/>
    <w:rsid w:val="009A4711"/>
    <w:rsid w:val="009A5960"/>
    <w:rsid w:val="009A5FE6"/>
    <w:rsid w:val="009A6AB6"/>
    <w:rsid w:val="009A6E05"/>
    <w:rsid w:val="009A6F88"/>
    <w:rsid w:val="009A752E"/>
    <w:rsid w:val="009A7901"/>
    <w:rsid w:val="009B0329"/>
    <w:rsid w:val="009B0573"/>
    <w:rsid w:val="009B2EF9"/>
    <w:rsid w:val="009B3671"/>
    <w:rsid w:val="009B37DB"/>
    <w:rsid w:val="009B4005"/>
    <w:rsid w:val="009B49BE"/>
    <w:rsid w:val="009B4FAE"/>
    <w:rsid w:val="009B5069"/>
    <w:rsid w:val="009B6913"/>
    <w:rsid w:val="009B7399"/>
    <w:rsid w:val="009B7B4B"/>
    <w:rsid w:val="009B7C21"/>
    <w:rsid w:val="009B7F0D"/>
    <w:rsid w:val="009C0EB1"/>
    <w:rsid w:val="009C0EB8"/>
    <w:rsid w:val="009C0EE6"/>
    <w:rsid w:val="009C337B"/>
    <w:rsid w:val="009C38F3"/>
    <w:rsid w:val="009C4FEF"/>
    <w:rsid w:val="009C5431"/>
    <w:rsid w:val="009C5512"/>
    <w:rsid w:val="009C5874"/>
    <w:rsid w:val="009C60E3"/>
    <w:rsid w:val="009C62B6"/>
    <w:rsid w:val="009C6370"/>
    <w:rsid w:val="009C66F3"/>
    <w:rsid w:val="009C6700"/>
    <w:rsid w:val="009C7BE3"/>
    <w:rsid w:val="009D0AE5"/>
    <w:rsid w:val="009D1626"/>
    <w:rsid w:val="009D2C30"/>
    <w:rsid w:val="009D419C"/>
    <w:rsid w:val="009D4875"/>
    <w:rsid w:val="009D4D2B"/>
    <w:rsid w:val="009D4F55"/>
    <w:rsid w:val="009D55B4"/>
    <w:rsid w:val="009D55D0"/>
    <w:rsid w:val="009D6A54"/>
    <w:rsid w:val="009D7390"/>
    <w:rsid w:val="009D7E21"/>
    <w:rsid w:val="009E03EE"/>
    <w:rsid w:val="009E1121"/>
    <w:rsid w:val="009E1AC9"/>
    <w:rsid w:val="009E23D1"/>
    <w:rsid w:val="009E2A2B"/>
    <w:rsid w:val="009E3043"/>
    <w:rsid w:val="009E31B0"/>
    <w:rsid w:val="009E397E"/>
    <w:rsid w:val="009E3C0C"/>
    <w:rsid w:val="009E3FC7"/>
    <w:rsid w:val="009E4180"/>
    <w:rsid w:val="009E4E6E"/>
    <w:rsid w:val="009E5356"/>
    <w:rsid w:val="009E536F"/>
    <w:rsid w:val="009E5496"/>
    <w:rsid w:val="009E6E43"/>
    <w:rsid w:val="009E7FDE"/>
    <w:rsid w:val="009F010A"/>
    <w:rsid w:val="009F0E69"/>
    <w:rsid w:val="009F427E"/>
    <w:rsid w:val="009F4EA0"/>
    <w:rsid w:val="009F506B"/>
    <w:rsid w:val="009F54EF"/>
    <w:rsid w:val="009F58C1"/>
    <w:rsid w:val="009F6780"/>
    <w:rsid w:val="009F7D52"/>
    <w:rsid w:val="00A01073"/>
    <w:rsid w:val="00A011FD"/>
    <w:rsid w:val="00A018D2"/>
    <w:rsid w:val="00A02F96"/>
    <w:rsid w:val="00A04992"/>
    <w:rsid w:val="00A04CE7"/>
    <w:rsid w:val="00A0537D"/>
    <w:rsid w:val="00A05605"/>
    <w:rsid w:val="00A05F78"/>
    <w:rsid w:val="00A07D84"/>
    <w:rsid w:val="00A10237"/>
    <w:rsid w:val="00A102B1"/>
    <w:rsid w:val="00A11588"/>
    <w:rsid w:val="00A1236A"/>
    <w:rsid w:val="00A13CE0"/>
    <w:rsid w:val="00A1461A"/>
    <w:rsid w:val="00A147AA"/>
    <w:rsid w:val="00A1598B"/>
    <w:rsid w:val="00A16839"/>
    <w:rsid w:val="00A169F1"/>
    <w:rsid w:val="00A1787A"/>
    <w:rsid w:val="00A20EE2"/>
    <w:rsid w:val="00A21D71"/>
    <w:rsid w:val="00A22B78"/>
    <w:rsid w:val="00A24166"/>
    <w:rsid w:val="00A244A2"/>
    <w:rsid w:val="00A24614"/>
    <w:rsid w:val="00A246D0"/>
    <w:rsid w:val="00A246F7"/>
    <w:rsid w:val="00A24E2F"/>
    <w:rsid w:val="00A25657"/>
    <w:rsid w:val="00A25768"/>
    <w:rsid w:val="00A25AE5"/>
    <w:rsid w:val="00A26442"/>
    <w:rsid w:val="00A2726E"/>
    <w:rsid w:val="00A27512"/>
    <w:rsid w:val="00A277A1"/>
    <w:rsid w:val="00A30AA9"/>
    <w:rsid w:val="00A3144E"/>
    <w:rsid w:val="00A31EA1"/>
    <w:rsid w:val="00A33E31"/>
    <w:rsid w:val="00A349E8"/>
    <w:rsid w:val="00A362B7"/>
    <w:rsid w:val="00A365F3"/>
    <w:rsid w:val="00A37002"/>
    <w:rsid w:val="00A37FCC"/>
    <w:rsid w:val="00A40858"/>
    <w:rsid w:val="00A4102A"/>
    <w:rsid w:val="00A41065"/>
    <w:rsid w:val="00A4126D"/>
    <w:rsid w:val="00A41BB6"/>
    <w:rsid w:val="00A4355E"/>
    <w:rsid w:val="00A441C4"/>
    <w:rsid w:val="00A445A2"/>
    <w:rsid w:val="00A45009"/>
    <w:rsid w:val="00A4535C"/>
    <w:rsid w:val="00A45FEE"/>
    <w:rsid w:val="00A464E9"/>
    <w:rsid w:val="00A46BFD"/>
    <w:rsid w:val="00A46D27"/>
    <w:rsid w:val="00A478DF"/>
    <w:rsid w:val="00A512EE"/>
    <w:rsid w:val="00A520D9"/>
    <w:rsid w:val="00A5393A"/>
    <w:rsid w:val="00A53A1F"/>
    <w:rsid w:val="00A53C91"/>
    <w:rsid w:val="00A54767"/>
    <w:rsid w:val="00A550A6"/>
    <w:rsid w:val="00A55310"/>
    <w:rsid w:val="00A55434"/>
    <w:rsid w:val="00A554A4"/>
    <w:rsid w:val="00A55A13"/>
    <w:rsid w:val="00A56F91"/>
    <w:rsid w:val="00A5794A"/>
    <w:rsid w:val="00A57FD2"/>
    <w:rsid w:val="00A60359"/>
    <w:rsid w:val="00A60E7B"/>
    <w:rsid w:val="00A60E8E"/>
    <w:rsid w:val="00A61C3D"/>
    <w:rsid w:val="00A61D0D"/>
    <w:rsid w:val="00A62C17"/>
    <w:rsid w:val="00A63240"/>
    <w:rsid w:val="00A637F4"/>
    <w:rsid w:val="00A6401C"/>
    <w:rsid w:val="00A64982"/>
    <w:rsid w:val="00A649B1"/>
    <w:rsid w:val="00A64DA0"/>
    <w:rsid w:val="00A64FE0"/>
    <w:rsid w:val="00A653A3"/>
    <w:rsid w:val="00A65404"/>
    <w:rsid w:val="00A65C0F"/>
    <w:rsid w:val="00A65D59"/>
    <w:rsid w:val="00A672EF"/>
    <w:rsid w:val="00A70214"/>
    <w:rsid w:val="00A71936"/>
    <w:rsid w:val="00A71A47"/>
    <w:rsid w:val="00A71B44"/>
    <w:rsid w:val="00A72CAB"/>
    <w:rsid w:val="00A73AD2"/>
    <w:rsid w:val="00A74FB6"/>
    <w:rsid w:val="00A757E2"/>
    <w:rsid w:val="00A80AA1"/>
    <w:rsid w:val="00A81899"/>
    <w:rsid w:val="00A8321E"/>
    <w:rsid w:val="00A85E8F"/>
    <w:rsid w:val="00A86A29"/>
    <w:rsid w:val="00A90AB6"/>
    <w:rsid w:val="00A90C47"/>
    <w:rsid w:val="00A90E20"/>
    <w:rsid w:val="00A92BCD"/>
    <w:rsid w:val="00A92EE6"/>
    <w:rsid w:val="00A942F6"/>
    <w:rsid w:val="00A9462E"/>
    <w:rsid w:val="00A96E72"/>
    <w:rsid w:val="00A97200"/>
    <w:rsid w:val="00A978DD"/>
    <w:rsid w:val="00A97983"/>
    <w:rsid w:val="00AA02FE"/>
    <w:rsid w:val="00AA0CDF"/>
    <w:rsid w:val="00AA123A"/>
    <w:rsid w:val="00AA1B0E"/>
    <w:rsid w:val="00AA2331"/>
    <w:rsid w:val="00AA25E1"/>
    <w:rsid w:val="00AA45EC"/>
    <w:rsid w:val="00AA47B6"/>
    <w:rsid w:val="00AA4C22"/>
    <w:rsid w:val="00AA5D6D"/>
    <w:rsid w:val="00AA666F"/>
    <w:rsid w:val="00AA6822"/>
    <w:rsid w:val="00AA7D77"/>
    <w:rsid w:val="00AB0394"/>
    <w:rsid w:val="00AB0F99"/>
    <w:rsid w:val="00AB1A75"/>
    <w:rsid w:val="00AB1C01"/>
    <w:rsid w:val="00AB3639"/>
    <w:rsid w:val="00AB3CC7"/>
    <w:rsid w:val="00AB4786"/>
    <w:rsid w:val="00AC002E"/>
    <w:rsid w:val="00AC034A"/>
    <w:rsid w:val="00AC163B"/>
    <w:rsid w:val="00AC1AF4"/>
    <w:rsid w:val="00AC319E"/>
    <w:rsid w:val="00AC3F52"/>
    <w:rsid w:val="00AC5CA7"/>
    <w:rsid w:val="00AC5CAB"/>
    <w:rsid w:val="00AC6058"/>
    <w:rsid w:val="00AC65C2"/>
    <w:rsid w:val="00AC7379"/>
    <w:rsid w:val="00AD2063"/>
    <w:rsid w:val="00AD2109"/>
    <w:rsid w:val="00AD49F8"/>
    <w:rsid w:val="00AD5ABD"/>
    <w:rsid w:val="00AD5DB2"/>
    <w:rsid w:val="00AD6076"/>
    <w:rsid w:val="00AD660D"/>
    <w:rsid w:val="00AD70A5"/>
    <w:rsid w:val="00AD742C"/>
    <w:rsid w:val="00AD7490"/>
    <w:rsid w:val="00AE17ED"/>
    <w:rsid w:val="00AE181F"/>
    <w:rsid w:val="00AE19E8"/>
    <w:rsid w:val="00AE2362"/>
    <w:rsid w:val="00AE2BA5"/>
    <w:rsid w:val="00AE4116"/>
    <w:rsid w:val="00AE47D6"/>
    <w:rsid w:val="00AE4870"/>
    <w:rsid w:val="00AE4D6D"/>
    <w:rsid w:val="00AE56B1"/>
    <w:rsid w:val="00AE6D09"/>
    <w:rsid w:val="00AE7D07"/>
    <w:rsid w:val="00AF1098"/>
    <w:rsid w:val="00AF20EC"/>
    <w:rsid w:val="00AF3EF7"/>
    <w:rsid w:val="00AF4AA4"/>
    <w:rsid w:val="00AF4B1F"/>
    <w:rsid w:val="00AF4B55"/>
    <w:rsid w:val="00AF549F"/>
    <w:rsid w:val="00AF6341"/>
    <w:rsid w:val="00AF6797"/>
    <w:rsid w:val="00AF7495"/>
    <w:rsid w:val="00AF7A7C"/>
    <w:rsid w:val="00AF7E76"/>
    <w:rsid w:val="00B00305"/>
    <w:rsid w:val="00B009C7"/>
    <w:rsid w:val="00B00C29"/>
    <w:rsid w:val="00B01660"/>
    <w:rsid w:val="00B02070"/>
    <w:rsid w:val="00B02237"/>
    <w:rsid w:val="00B024B2"/>
    <w:rsid w:val="00B04107"/>
    <w:rsid w:val="00B04D17"/>
    <w:rsid w:val="00B05709"/>
    <w:rsid w:val="00B05762"/>
    <w:rsid w:val="00B05A0D"/>
    <w:rsid w:val="00B05FEB"/>
    <w:rsid w:val="00B060D3"/>
    <w:rsid w:val="00B06A49"/>
    <w:rsid w:val="00B0709B"/>
    <w:rsid w:val="00B07339"/>
    <w:rsid w:val="00B0759F"/>
    <w:rsid w:val="00B10477"/>
    <w:rsid w:val="00B10644"/>
    <w:rsid w:val="00B106B9"/>
    <w:rsid w:val="00B10B8E"/>
    <w:rsid w:val="00B148EB"/>
    <w:rsid w:val="00B15AE6"/>
    <w:rsid w:val="00B16148"/>
    <w:rsid w:val="00B16A31"/>
    <w:rsid w:val="00B17B81"/>
    <w:rsid w:val="00B17F52"/>
    <w:rsid w:val="00B2117F"/>
    <w:rsid w:val="00B213F5"/>
    <w:rsid w:val="00B22368"/>
    <w:rsid w:val="00B24258"/>
    <w:rsid w:val="00B30282"/>
    <w:rsid w:val="00B318B5"/>
    <w:rsid w:val="00B32FE9"/>
    <w:rsid w:val="00B34105"/>
    <w:rsid w:val="00B344C1"/>
    <w:rsid w:val="00B349A4"/>
    <w:rsid w:val="00B35404"/>
    <w:rsid w:val="00B36CF6"/>
    <w:rsid w:val="00B37B76"/>
    <w:rsid w:val="00B37FE4"/>
    <w:rsid w:val="00B403D7"/>
    <w:rsid w:val="00B408B6"/>
    <w:rsid w:val="00B415CA"/>
    <w:rsid w:val="00B41940"/>
    <w:rsid w:val="00B424DD"/>
    <w:rsid w:val="00B42987"/>
    <w:rsid w:val="00B42B87"/>
    <w:rsid w:val="00B44C36"/>
    <w:rsid w:val="00B44D6E"/>
    <w:rsid w:val="00B453EF"/>
    <w:rsid w:val="00B45455"/>
    <w:rsid w:val="00B457AE"/>
    <w:rsid w:val="00B46588"/>
    <w:rsid w:val="00B5101A"/>
    <w:rsid w:val="00B53B01"/>
    <w:rsid w:val="00B542DA"/>
    <w:rsid w:val="00B607AC"/>
    <w:rsid w:val="00B623A4"/>
    <w:rsid w:val="00B6584C"/>
    <w:rsid w:val="00B65B04"/>
    <w:rsid w:val="00B65D72"/>
    <w:rsid w:val="00B667E0"/>
    <w:rsid w:val="00B66EB2"/>
    <w:rsid w:val="00B67479"/>
    <w:rsid w:val="00B6798F"/>
    <w:rsid w:val="00B70163"/>
    <w:rsid w:val="00B72EAD"/>
    <w:rsid w:val="00B73327"/>
    <w:rsid w:val="00B73442"/>
    <w:rsid w:val="00B73559"/>
    <w:rsid w:val="00B73862"/>
    <w:rsid w:val="00B73F43"/>
    <w:rsid w:val="00B73FF1"/>
    <w:rsid w:val="00B745B4"/>
    <w:rsid w:val="00B74C50"/>
    <w:rsid w:val="00B75BBF"/>
    <w:rsid w:val="00B76323"/>
    <w:rsid w:val="00B77C5D"/>
    <w:rsid w:val="00B80A04"/>
    <w:rsid w:val="00B81680"/>
    <w:rsid w:val="00B81B4D"/>
    <w:rsid w:val="00B81CDC"/>
    <w:rsid w:val="00B824EE"/>
    <w:rsid w:val="00B825FF"/>
    <w:rsid w:val="00B83C85"/>
    <w:rsid w:val="00B83ED5"/>
    <w:rsid w:val="00B8410A"/>
    <w:rsid w:val="00B845A8"/>
    <w:rsid w:val="00B86117"/>
    <w:rsid w:val="00B86D9E"/>
    <w:rsid w:val="00B90305"/>
    <w:rsid w:val="00B90969"/>
    <w:rsid w:val="00B90E74"/>
    <w:rsid w:val="00B92125"/>
    <w:rsid w:val="00B928E4"/>
    <w:rsid w:val="00B93DAF"/>
    <w:rsid w:val="00B95171"/>
    <w:rsid w:val="00B954A2"/>
    <w:rsid w:val="00B95A11"/>
    <w:rsid w:val="00B961DA"/>
    <w:rsid w:val="00B974AF"/>
    <w:rsid w:val="00B97D78"/>
    <w:rsid w:val="00B97F0E"/>
    <w:rsid w:val="00BA05FD"/>
    <w:rsid w:val="00BA078F"/>
    <w:rsid w:val="00BA1B6E"/>
    <w:rsid w:val="00BA308C"/>
    <w:rsid w:val="00BA39D0"/>
    <w:rsid w:val="00BA4505"/>
    <w:rsid w:val="00BA4FBE"/>
    <w:rsid w:val="00BA6B66"/>
    <w:rsid w:val="00BA6E48"/>
    <w:rsid w:val="00BA714A"/>
    <w:rsid w:val="00BA7BC9"/>
    <w:rsid w:val="00BB0145"/>
    <w:rsid w:val="00BB0864"/>
    <w:rsid w:val="00BB2258"/>
    <w:rsid w:val="00BB3586"/>
    <w:rsid w:val="00BB35E1"/>
    <w:rsid w:val="00BB3CFA"/>
    <w:rsid w:val="00BB4A96"/>
    <w:rsid w:val="00BB5C2F"/>
    <w:rsid w:val="00BB67F3"/>
    <w:rsid w:val="00BB765F"/>
    <w:rsid w:val="00BC0240"/>
    <w:rsid w:val="00BC03D4"/>
    <w:rsid w:val="00BC133D"/>
    <w:rsid w:val="00BC1D53"/>
    <w:rsid w:val="00BC4261"/>
    <w:rsid w:val="00BC4CFE"/>
    <w:rsid w:val="00BC4EDF"/>
    <w:rsid w:val="00BC6CCE"/>
    <w:rsid w:val="00BC71AD"/>
    <w:rsid w:val="00BD01AD"/>
    <w:rsid w:val="00BD05DC"/>
    <w:rsid w:val="00BD06DA"/>
    <w:rsid w:val="00BD09FE"/>
    <w:rsid w:val="00BD13F7"/>
    <w:rsid w:val="00BD156B"/>
    <w:rsid w:val="00BD1E0F"/>
    <w:rsid w:val="00BD2975"/>
    <w:rsid w:val="00BD29CD"/>
    <w:rsid w:val="00BD3066"/>
    <w:rsid w:val="00BD3D66"/>
    <w:rsid w:val="00BD42C9"/>
    <w:rsid w:val="00BD4842"/>
    <w:rsid w:val="00BD4C45"/>
    <w:rsid w:val="00BD64F4"/>
    <w:rsid w:val="00BD6ACC"/>
    <w:rsid w:val="00BD7944"/>
    <w:rsid w:val="00BE022D"/>
    <w:rsid w:val="00BE0AF6"/>
    <w:rsid w:val="00BE1AB2"/>
    <w:rsid w:val="00BE1F03"/>
    <w:rsid w:val="00BE2DF5"/>
    <w:rsid w:val="00BE497C"/>
    <w:rsid w:val="00BE4AC2"/>
    <w:rsid w:val="00BE58A7"/>
    <w:rsid w:val="00BE626D"/>
    <w:rsid w:val="00BE64D9"/>
    <w:rsid w:val="00BE6684"/>
    <w:rsid w:val="00BE6A11"/>
    <w:rsid w:val="00BE74A3"/>
    <w:rsid w:val="00BE7BE8"/>
    <w:rsid w:val="00BE7BED"/>
    <w:rsid w:val="00BE7F81"/>
    <w:rsid w:val="00BF05AF"/>
    <w:rsid w:val="00BF12F3"/>
    <w:rsid w:val="00BF185E"/>
    <w:rsid w:val="00BF2001"/>
    <w:rsid w:val="00BF2218"/>
    <w:rsid w:val="00BF2C95"/>
    <w:rsid w:val="00BF38AA"/>
    <w:rsid w:val="00BF4001"/>
    <w:rsid w:val="00BF521A"/>
    <w:rsid w:val="00BF52D3"/>
    <w:rsid w:val="00BF5EE2"/>
    <w:rsid w:val="00BF612F"/>
    <w:rsid w:val="00BF622A"/>
    <w:rsid w:val="00BF6729"/>
    <w:rsid w:val="00BF6EDE"/>
    <w:rsid w:val="00BF709C"/>
    <w:rsid w:val="00C037A7"/>
    <w:rsid w:val="00C03E41"/>
    <w:rsid w:val="00C0426B"/>
    <w:rsid w:val="00C04520"/>
    <w:rsid w:val="00C04528"/>
    <w:rsid w:val="00C045DF"/>
    <w:rsid w:val="00C05593"/>
    <w:rsid w:val="00C0576E"/>
    <w:rsid w:val="00C061FE"/>
    <w:rsid w:val="00C06FC7"/>
    <w:rsid w:val="00C10116"/>
    <w:rsid w:val="00C114D5"/>
    <w:rsid w:val="00C11552"/>
    <w:rsid w:val="00C11554"/>
    <w:rsid w:val="00C12AAC"/>
    <w:rsid w:val="00C12E71"/>
    <w:rsid w:val="00C1347B"/>
    <w:rsid w:val="00C13954"/>
    <w:rsid w:val="00C1397F"/>
    <w:rsid w:val="00C13CAF"/>
    <w:rsid w:val="00C14244"/>
    <w:rsid w:val="00C1464C"/>
    <w:rsid w:val="00C15ACC"/>
    <w:rsid w:val="00C16B9B"/>
    <w:rsid w:val="00C177F5"/>
    <w:rsid w:val="00C17E7C"/>
    <w:rsid w:val="00C17F45"/>
    <w:rsid w:val="00C20FF2"/>
    <w:rsid w:val="00C2108D"/>
    <w:rsid w:val="00C212DA"/>
    <w:rsid w:val="00C21CB7"/>
    <w:rsid w:val="00C22610"/>
    <w:rsid w:val="00C22E64"/>
    <w:rsid w:val="00C22F3A"/>
    <w:rsid w:val="00C2315D"/>
    <w:rsid w:val="00C23957"/>
    <w:rsid w:val="00C23A9F"/>
    <w:rsid w:val="00C23B5E"/>
    <w:rsid w:val="00C246E6"/>
    <w:rsid w:val="00C247E7"/>
    <w:rsid w:val="00C25218"/>
    <w:rsid w:val="00C25AD5"/>
    <w:rsid w:val="00C26B64"/>
    <w:rsid w:val="00C26D43"/>
    <w:rsid w:val="00C26D7C"/>
    <w:rsid w:val="00C27D4C"/>
    <w:rsid w:val="00C30278"/>
    <w:rsid w:val="00C303C3"/>
    <w:rsid w:val="00C318A7"/>
    <w:rsid w:val="00C318AF"/>
    <w:rsid w:val="00C31931"/>
    <w:rsid w:val="00C31BC1"/>
    <w:rsid w:val="00C31C19"/>
    <w:rsid w:val="00C321BC"/>
    <w:rsid w:val="00C33659"/>
    <w:rsid w:val="00C35173"/>
    <w:rsid w:val="00C351CD"/>
    <w:rsid w:val="00C35D93"/>
    <w:rsid w:val="00C35E3C"/>
    <w:rsid w:val="00C35EE7"/>
    <w:rsid w:val="00C36B0C"/>
    <w:rsid w:val="00C36DAE"/>
    <w:rsid w:val="00C37000"/>
    <w:rsid w:val="00C40679"/>
    <w:rsid w:val="00C40686"/>
    <w:rsid w:val="00C42C67"/>
    <w:rsid w:val="00C44045"/>
    <w:rsid w:val="00C44D1E"/>
    <w:rsid w:val="00C45295"/>
    <w:rsid w:val="00C463D4"/>
    <w:rsid w:val="00C46548"/>
    <w:rsid w:val="00C46C6C"/>
    <w:rsid w:val="00C472C1"/>
    <w:rsid w:val="00C47B64"/>
    <w:rsid w:val="00C47B91"/>
    <w:rsid w:val="00C50A78"/>
    <w:rsid w:val="00C51A7D"/>
    <w:rsid w:val="00C51E3F"/>
    <w:rsid w:val="00C53394"/>
    <w:rsid w:val="00C5376F"/>
    <w:rsid w:val="00C540E7"/>
    <w:rsid w:val="00C55152"/>
    <w:rsid w:val="00C5534C"/>
    <w:rsid w:val="00C55511"/>
    <w:rsid w:val="00C55526"/>
    <w:rsid w:val="00C55749"/>
    <w:rsid w:val="00C55DDD"/>
    <w:rsid w:val="00C55FAD"/>
    <w:rsid w:val="00C574D5"/>
    <w:rsid w:val="00C605F9"/>
    <w:rsid w:val="00C60646"/>
    <w:rsid w:val="00C61C8E"/>
    <w:rsid w:val="00C629E3"/>
    <w:rsid w:val="00C63CE9"/>
    <w:rsid w:val="00C63E5A"/>
    <w:rsid w:val="00C64F22"/>
    <w:rsid w:val="00C6531E"/>
    <w:rsid w:val="00C65F76"/>
    <w:rsid w:val="00C660A7"/>
    <w:rsid w:val="00C66912"/>
    <w:rsid w:val="00C67A3B"/>
    <w:rsid w:val="00C67FD5"/>
    <w:rsid w:val="00C72A59"/>
    <w:rsid w:val="00C72AA7"/>
    <w:rsid w:val="00C72D3D"/>
    <w:rsid w:val="00C72D3E"/>
    <w:rsid w:val="00C72DBC"/>
    <w:rsid w:val="00C72E0C"/>
    <w:rsid w:val="00C7361C"/>
    <w:rsid w:val="00C73F32"/>
    <w:rsid w:val="00C741BD"/>
    <w:rsid w:val="00C74819"/>
    <w:rsid w:val="00C74AFC"/>
    <w:rsid w:val="00C76F03"/>
    <w:rsid w:val="00C77371"/>
    <w:rsid w:val="00C777D7"/>
    <w:rsid w:val="00C77B86"/>
    <w:rsid w:val="00C807CC"/>
    <w:rsid w:val="00C81838"/>
    <w:rsid w:val="00C84B0F"/>
    <w:rsid w:val="00C8513C"/>
    <w:rsid w:val="00C86E1A"/>
    <w:rsid w:val="00C87462"/>
    <w:rsid w:val="00C87D12"/>
    <w:rsid w:val="00C9149F"/>
    <w:rsid w:val="00C92032"/>
    <w:rsid w:val="00C92E0B"/>
    <w:rsid w:val="00C9312A"/>
    <w:rsid w:val="00C9317A"/>
    <w:rsid w:val="00C93700"/>
    <w:rsid w:val="00C93EEA"/>
    <w:rsid w:val="00C950E9"/>
    <w:rsid w:val="00C956FE"/>
    <w:rsid w:val="00C9635A"/>
    <w:rsid w:val="00C967EE"/>
    <w:rsid w:val="00C96FF7"/>
    <w:rsid w:val="00CA0659"/>
    <w:rsid w:val="00CA0CA3"/>
    <w:rsid w:val="00CA117E"/>
    <w:rsid w:val="00CA17EB"/>
    <w:rsid w:val="00CA180C"/>
    <w:rsid w:val="00CA1E60"/>
    <w:rsid w:val="00CA384A"/>
    <w:rsid w:val="00CA4377"/>
    <w:rsid w:val="00CA7154"/>
    <w:rsid w:val="00CA71FD"/>
    <w:rsid w:val="00CA7867"/>
    <w:rsid w:val="00CA7B1E"/>
    <w:rsid w:val="00CA7C25"/>
    <w:rsid w:val="00CA7EDA"/>
    <w:rsid w:val="00CB0697"/>
    <w:rsid w:val="00CB0713"/>
    <w:rsid w:val="00CB07A0"/>
    <w:rsid w:val="00CB0BBD"/>
    <w:rsid w:val="00CB1721"/>
    <w:rsid w:val="00CB1B09"/>
    <w:rsid w:val="00CB22B2"/>
    <w:rsid w:val="00CB2626"/>
    <w:rsid w:val="00CB29CE"/>
    <w:rsid w:val="00CB2CEB"/>
    <w:rsid w:val="00CB43A4"/>
    <w:rsid w:val="00CB45B0"/>
    <w:rsid w:val="00CB4CEA"/>
    <w:rsid w:val="00CB4E1F"/>
    <w:rsid w:val="00CB5CF5"/>
    <w:rsid w:val="00CB5EDE"/>
    <w:rsid w:val="00CB64F3"/>
    <w:rsid w:val="00CB77E0"/>
    <w:rsid w:val="00CC01F7"/>
    <w:rsid w:val="00CC1309"/>
    <w:rsid w:val="00CC1A0D"/>
    <w:rsid w:val="00CC1ED9"/>
    <w:rsid w:val="00CC2B30"/>
    <w:rsid w:val="00CC3884"/>
    <w:rsid w:val="00CC3EE2"/>
    <w:rsid w:val="00CC447E"/>
    <w:rsid w:val="00CC4C06"/>
    <w:rsid w:val="00CC56DF"/>
    <w:rsid w:val="00CC5DA3"/>
    <w:rsid w:val="00CD3E40"/>
    <w:rsid w:val="00CD4D69"/>
    <w:rsid w:val="00CD67FC"/>
    <w:rsid w:val="00CD6A6E"/>
    <w:rsid w:val="00CD6BD8"/>
    <w:rsid w:val="00CD7492"/>
    <w:rsid w:val="00CD7D9E"/>
    <w:rsid w:val="00CE22B7"/>
    <w:rsid w:val="00CE2333"/>
    <w:rsid w:val="00CE2496"/>
    <w:rsid w:val="00CE2815"/>
    <w:rsid w:val="00CE2895"/>
    <w:rsid w:val="00CE2AAB"/>
    <w:rsid w:val="00CE2BD1"/>
    <w:rsid w:val="00CE3A6B"/>
    <w:rsid w:val="00CE3F16"/>
    <w:rsid w:val="00CE458A"/>
    <w:rsid w:val="00CE4D97"/>
    <w:rsid w:val="00CE7B64"/>
    <w:rsid w:val="00CF00E5"/>
    <w:rsid w:val="00CF03E1"/>
    <w:rsid w:val="00CF1689"/>
    <w:rsid w:val="00CF1DB3"/>
    <w:rsid w:val="00CF2834"/>
    <w:rsid w:val="00CF30E8"/>
    <w:rsid w:val="00CF33EA"/>
    <w:rsid w:val="00CF4296"/>
    <w:rsid w:val="00CF4CC3"/>
    <w:rsid w:val="00CF786E"/>
    <w:rsid w:val="00CF7DB8"/>
    <w:rsid w:val="00D00211"/>
    <w:rsid w:val="00D004F9"/>
    <w:rsid w:val="00D006D1"/>
    <w:rsid w:val="00D007AA"/>
    <w:rsid w:val="00D019A9"/>
    <w:rsid w:val="00D025AE"/>
    <w:rsid w:val="00D02BB5"/>
    <w:rsid w:val="00D03AA0"/>
    <w:rsid w:val="00D03BD5"/>
    <w:rsid w:val="00D053F9"/>
    <w:rsid w:val="00D05CB1"/>
    <w:rsid w:val="00D05D68"/>
    <w:rsid w:val="00D06309"/>
    <w:rsid w:val="00D06884"/>
    <w:rsid w:val="00D06DB7"/>
    <w:rsid w:val="00D075B0"/>
    <w:rsid w:val="00D1000A"/>
    <w:rsid w:val="00D14409"/>
    <w:rsid w:val="00D15BE1"/>
    <w:rsid w:val="00D160A0"/>
    <w:rsid w:val="00D1631B"/>
    <w:rsid w:val="00D17285"/>
    <w:rsid w:val="00D21C6D"/>
    <w:rsid w:val="00D21CC2"/>
    <w:rsid w:val="00D22711"/>
    <w:rsid w:val="00D22B6E"/>
    <w:rsid w:val="00D234F8"/>
    <w:rsid w:val="00D23B31"/>
    <w:rsid w:val="00D2471A"/>
    <w:rsid w:val="00D26C26"/>
    <w:rsid w:val="00D271CA"/>
    <w:rsid w:val="00D279DC"/>
    <w:rsid w:val="00D3002B"/>
    <w:rsid w:val="00D311A3"/>
    <w:rsid w:val="00D32412"/>
    <w:rsid w:val="00D326CF"/>
    <w:rsid w:val="00D33018"/>
    <w:rsid w:val="00D340B7"/>
    <w:rsid w:val="00D347C0"/>
    <w:rsid w:val="00D35037"/>
    <w:rsid w:val="00D351EA"/>
    <w:rsid w:val="00D3653A"/>
    <w:rsid w:val="00D36714"/>
    <w:rsid w:val="00D4007E"/>
    <w:rsid w:val="00D40288"/>
    <w:rsid w:val="00D413ED"/>
    <w:rsid w:val="00D416DE"/>
    <w:rsid w:val="00D41F5E"/>
    <w:rsid w:val="00D42DF4"/>
    <w:rsid w:val="00D43403"/>
    <w:rsid w:val="00D44C29"/>
    <w:rsid w:val="00D44F26"/>
    <w:rsid w:val="00D46D37"/>
    <w:rsid w:val="00D505DA"/>
    <w:rsid w:val="00D50A6B"/>
    <w:rsid w:val="00D50B76"/>
    <w:rsid w:val="00D51962"/>
    <w:rsid w:val="00D51AAC"/>
    <w:rsid w:val="00D52190"/>
    <w:rsid w:val="00D521B7"/>
    <w:rsid w:val="00D5270B"/>
    <w:rsid w:val="00D53032"/>
    <w:rsid w:val="00D53DF3"/>
    <w:rsid w:val="00D54E39"/>
    <w:rsid w:val="00D550B7"/>
    <w:rsid w:val="00D55C82"/>
    <w:rsid w:val="00D56BC6"/>
    <w:rsid w:val="00D57932"/>
    <w:rsid w:val="00D602D1"/>
    <w:rsid w:val="00D60CA8"/>
    <w:rsid w:val="00D61773"/>
    <w:rsid w:val="00D619F5"/>
    <w:rsid w:val="00D620F6"/>
    <w:rsid w:val="00D623A8"/>
    <w:rsid w:val="00D628ED"/>
    <w:rsid w:val="00D62E71"/>
    <w:rsid w:val="00D63210"/>
    <w:rsid w:val="00D6355A"/>
    <w:rsid w:val="00D6430D"/>
    <w:rsid w:val="00D6453B"/>
    <w:rsid w:val="00D64B70"/>
    <w:rsid w:val="00D64F44"/>
    <w:rsid w:val="00D66129"/>
    <w:rsid w:val="00D66188"/>
    <w:rsid w:val="00D67A69"/>
    <w:rsid w:val="00D70EAA"/>
    <w:rsid w:val="00D731F6"/>
    <w:rsid w:val="00D740CA"/>
    <w:rsid w:val="00D74C98"/>
    <w:rsid w:val="00D756D6"/>
    <w:rsid w:val="00D77192"/>
    <w:rsid w:val="00D778F6"/>
    <w:rsid w:val="00D77CDB"/>
    <w:rsid w:val="00D8157E"/>
    <w:rsid w:val="00D83036"/>
    <w:rsid w:val="00D838EE"/>
    <w:rsid w:val="00D83E84"/>
    <w:rsid w:val="00D84EAA"/>
    <w:rsid w:val="00D85112"/>
    <w:rsid w:val="00D856AA"/>
    <w:rsid w:val="00D85728"/>
    <w:rsid w:val="00D8643C"/>
    <w:rsid w:val="00D903FB"/>
    <w:rsid w:val="00D9058E"/>
    <w:rsid w:val="00D91257"/>
    <w:rsid w:val="00D91296"/>
    <w:rsid w:val="00D91A18"/>
    <w:rsid w:val="00D91A5B"/>
    <w:rsid w:val="00D92361"/>
    <w:rsid w:val="00D9246A"/>
    <w:rsid w:val="00D92C87"/>
    <w:rsid w:val="00D946C2"/>
    <w:rsid w:val="00D95481"/>
    <w:rsid w:val="00D966ED"/>
    <w:rsid w:val="00D971A8"/>
    <w:rsid w:val="00DA0336"/>
    <w:rsid w:val="00DA0F68"/>
    <w:rsid w:val="00DA12A9"/>
    <w:rsid w:val="00DA1CD1"/>
    <w:rsid w:val="00DA2207"/>
    <w:rsid w:val="00DA22FC"/>
    <w:rsid w:val="00DA2B9E"/>
    <w:rsid w:val="00DA3B59"/>
    <w:rsid w:val="00DA5203"/>
    <w:rsid w:val="00DA555A"/>
    <w:rsid w:val="00DA55CE"/>
    <w:rsid w:val="00DA688E"/>
    <w:rsid w:val="00DA7297"/>
    <w:rsid w:val="00DB143A"/>
    <w:rsid w:val="00DB19F8"/>
    <w:rsid w:val="00DB1A3D"/>
    <w:rsid w:val="00DB1B48"/>
    <w:rsid w:val="00DB1FA1"/>
    <w:rsid w:val="00DB4082"/>
    <w:rsid w:val="00DB559F"/>
    <w:rsid w:val="00DB6019"/>
    <w:rsid w:val="00DB60ED"/>
    <w:rsid w:val="00DB61FE"/>
    <w:rsid w:val="00DC0BC0"/>
    <w:rsid w:val="00DC3A36"/>
    <w:rsid w:val="00DC3C45"/>
    <w:rsid w:val="00DC4FDC"/>
    <w:rsid w:val="00DC5F7A"/>
    <w:rsid w:val="00DC6F87"/>
    <w:rsid w:val="00DC722A"/>
    <w:rsid w:val="00DC73BF"/>
    <w:rsid w:val="00DC74D9"/>
    <w:rsid w:val="00DC769C"/>
    <w:rsid w:val="00DC79F5"/>
    <w:rsid w:val="00DC7A13"/>
    <w:rsid w:val="00DC7F86"/>
    <w:rsid w:val="00DD0087"/>
    <w:rsid w:val="00DD07DE"/>
    <w:rsid w:val="00DD0F82"/>
    <w:rsid w:val="00DD1702"/>
    <w:rsid w:val="00DD1718"/>
    <w:rsid w:val="00DD284E"/>
    <w:rsid w:val="00DD2FD3"/>
    <w:rsid w:val="00DD367F"/>
    <w:rsid w:val="00DD4D0D"/>
    <w:rsid w:val="00DD5794"/>
    <w:rsid w:val="00DD6A40"/>
    <w:rsid w:val="00DD6CA1"/>
    <w:rsid w:val="00DD73E0"/>
    <w:rsid w:val="00DE1425"/>
    <w:rsid w:val="00DE1F11"/>
    <w:rsid w:val="00DE2162"/>
    <w:rsid w:val="00DE2317"/>
    <w:rsid w:val="00DE2EF4"/>
    <w:rsid w:val="00DE3BA7"/>
    <w:rsid w:val="00DE3D4F"/>
    <w:rsid w:val="00DE4291"/>
    <w:rsid w:val="00DE4425"/>
    <w:rsid w:val="00DE444D"/>
    <w:rsid w:val="00DE4CA7"/>
    <w:rsid w:val="00DE56F6"/>
    <w:rsid w:val="00DE5FA4"/>
    <w:rsid w:val="00DE6CA3"/>
    <w:rsid w:val="00DE7064"/>
    <w:rsid w:val="00DF0CB7"/>
    <w:rsid w:val="00DF1363"/>
    <w:rsid w:val="00DF1C2E"/>
    <w:rsid w:val="00DF1DCB"/>
    <w:rsid w:val="00DF2997"/>
    <w:rsid w:val="00DF2AD7"/>
    <w:rsid w:val="00DF5C6C"/>
    <w:rsid w:val="00DF6595"/>
    <w:rsid w:val="00DF6997"/>
    <w:rsid w:val="00DF6D80"/>
    <w:rsid w:val="00DF77F1"/>
    <w:rsid w:val="00DF7B4D"/>
    <w:rsid w:val="00DF7C91"/>
    <w:rsid w:val="00E002D5"/>
    <w:rsid w:val="00E002E2"/>
    <w:rsid w:val="00E00E88"/>
    <w:rsid w:val="00E014CA"/>
    <w:rsid w:val="00E0242D"/>
    <w:rsid w:val="00E031B8"/>
    <w:rsid w:val="00E05ABE"/>
    <w:rsid w:val="00E06246"/>
    <w:rsid w:val="00E06288"/>
    <w:rsid w:val="00E10174"/>
    <w:rsid w:val="00E104D7"/>
    <w:rsid w:val="00E109FB"/>
    <w:rsid w:val="00E10A65"/>
    <w:rsid w:val="00E10BC4"/>
    <w:rsid w:val="00E11973"/>
    <w:rsid w:val="00E11F98"/>
    <w:rsid w:val="00E125C5"/>
    <w:rsid w:val="00E12956"/>
    <w:rsid w:val="00E12B68"/>
    <w:rsid w:val="00E13486"/>
    <w:rsid w:val="00E13748"/>
    <w:rsid w:val="00E13A7E"/>
    <w:rsid w:val="00E13CB6"/>
    <w:rsid w:val="00E1415D"/>
    <w:rsid w:val="00E14E23"/>
    <w:rsid w:val="00E16355"/>
    <w:rsid w:val="00E17893"/>
    <w:rsid w:val="00E17D29"/>
    <w:rsid w:val="00E17E79"/>
    <w:rsid w:val="00E17F69"/>
    <w:rsid w:val="00E201F9"/>
    <w:rsid w:val="00E20F0D"/>
    <w:rsid w:val="00E213BD"/>
    <w:rsid w:val="00E21C6B"/>
    <w:rsid w:val="00E226BF"/>
    <w:rsid w:val="00E2530C"/>
    <w:rsid w:val="00E26708"/>
    <w:rsid w:val="00E2709E"/>
    <w:rsid w:val="00E27E8F"/>
    <w:rsid w:val="00E30884"/>
    <w:rsid w:val="00E3170E"/>
    <w:rsid w:val="00E323E9"/>
    <w:rsid w:val="00E32D70"/>
    <w:rsid w:val="00E32FB6"/>
    <w:rsid w:val="00E33CB1"/>
    <w:rsid w:val="00E34018"/>
    <w:rsid w:val="00E34199"/>
    <w:rsid w:val="00E34A93"/>
    <w:rsid w:val="00E352DB"/>
    <w:rsid w:val="00E3758F"/>
    <w:rsid w:val="00E4004A"/>
    <w:rsid w:val="00E40301"/>
    <w:rsid w:val="00E40E86"/>
    <w:rsid w:val="00E4237A"/>
    <w:rsid w:val="00E423ED"/>
    <w:rsid w:val="00E42DEC"/>
    <w:rsid w:val="00E437D2"/>
    <w:rsid w:val="00E43BF9"/>
    <w:rsid w:val="00E442B3"/>
    <w:rsid w:val="00E44515"/>
    <w:rsid w:val="00E44BC4"/>
    <w:rsid w:val="00E4580D"/>
    <w:rsid w:val="00E45946"/>
    <w:rsid w:val="00E45B15"/>
    <w:rsid w:val="00E46057"/>
    <w:rsid w:val="00E46601"/>
    <w:rsid w:val="00E46E1E"/>
    <w:rsid w:val="00E47BC6"/>
    <w:rsid w:val="00E507ED"/>
    <w:rsid w:val="00E50DBC"/>
    <w:rsid w:val="00E518A0"/>
    <w:rsid w:val="00E51930"/>
    <w:rsid w:val="00E537EF"/>
    <w:rsid w:val="00E55242"/>
    <w:rsid w:val="00E55751"/>
    <w:rsid w:val="00E56D79"/>
    <w:rsid w:val="00E572B7"/>
    <w:rsid w:val="00E575DB"/>
    <w:rsid w:val="00E6062B"/>
    <w:rsid w:val="00E607BC"/>
    <w:rsid w:val="00E61B02"/>
    <w:rsid w:val="00E62AD7"/>
    <w:rsid w:val="00E635D9"/>
    <w:rsid w:val="00E64308"/>
    <w:rsid w:val="00E65F83"/>
    <w:rsid w:val="00E66728"/>
    <w:rsid w:val="00E668E1"/>
    <w:rsid w:val="00E67186"/>
    <w:rsid w:val="00E701C0"/>
    <w:rsid w:val="00E71C1B"/>
    <w:rsid w:val="00E72CEF"/>
    <w:rsid w:val="00E73259"/>
    <w:rsid w:val="00E733EC"/>
    <w:rsid w:val="00E7398E"/>
    <w:rsid w:val="00E7530B"/>
    <w:rsid w:val="00E75459"/>
    <w:rsid w:val="00E773D6"/>
    <w:rsid w:val="00E82B94"/>
    <w:rsid w:val="00E84178"/>
    <w:rsid w:val="00E8425F"/>
    <w:rsid w:val="00E874F0"/>
    <w:rsid w:val="00E90561"/>
    <w:rsid w:val="00E90F2A"/>
    <w:rsid w:val="00E941D2"/>
    <w:rsid w:val="00E94A56"/>
    <w:rsid w:val="00E94DA7"/>
    <w:rsid w:val="00E95DA2"/>
    <w:rsid w:val="00E95E7B"/>
    <w:rsid w:val="00E96641"/>
    <w:rsid w:val="00E96E59"/>
    <w:rsid w:val="00E979BE"/>
    <w:rsid w:val="00EA0455"/>
    <w:rsid w:val="00EA09AB"/>
    <w:rsid w:val="00EA10C8"/>
    <w:rsid w:val="00EA2055"/>
    <w:rsid w:val="00EA2311"/>
    <w:rsid w:val="00EA35BF"/>
    <w:rsid w:val="00EA39EF"/>
    <w:rsid w:val="00EA45E5"/>
    <w:rsid w:val="00EA6525"/>
    <w:rsid w:val="00EA6D76"/>
    <w:rsid w:val="00EB1013"/>
    <w:rsid w:val="00EB1345"/>
    <w:rsid w:val="00EB292A"/>
    <w:rsid w:val="00EB3F76"/>
    <w:rsid w:val="00EB4D47"/>
    <w:rsid w:val="00EB695D"/>
    <w:rsid w:val="00EB6ABE"/>
    <w:rsid w:val="00EB6DAB"/>
    <w:rsid w:val="00EB6E40"/>
    <w:rsid w:val="00EB756F"/>
    <w:rsid w:val="00EC1407"/>
    <w:rsid w:val="00EC1763"/>
    <w:rsid w:val="00EC577F"/>
    <w:rsid w:val="00EC76A6"/>
    <w:rsid w:val="00EC7BC3"/>
    <w:rsid w:val="00ED1148"/>
    <w:rsid w:val="00ED23D7"/>
    <w:rsid w:val="00ED2BBB"/>
    <w:rsid w:val="00ED349B"/>
    <w:rsid w:val="00ED3AAF"/>
    <w:rsid w:val="00ED519E"/>
    <w:rsid w:val="00ED6F74"/>
    <w:rsid w:val="00ED7600"/>
    <w:rsid w:val="00EE1791"/>
    <w:rsid w:val="00EE24AC"/>
    <w:rsid w:val="00EE2810"/>
    <w:rsid w:val="00EE4241"/>
    <w:rsid w:val="00EE62CE"/>
    <w:rsid w:val="00EE71D8"/>
    <w:rsid w:val="00EF0520"/>
    <w:rsid w:val="00EF10FD"/>
    <w:rsid w:val="00EF232C"/>
    <w:rsid w:val="00EF26B1"/>
    <w:rsid w:val="00EF4840"/>
    <w:rsid w:val="00EF4F9C"/>
    <w:rsid w:val="00EF5994"/>
    <w:rsid w:val="00EF6073"/>
    <w:rsid w:val="00EF698B"/>
    <w:rsid w:val="00EF6D1C"/>
    <w:rsid w:val="00EF6E37"/>
    <w:rsid w:val="00EF76B7"/>
    <w:rsid w:val="00F00041"/>
    <w:rsid w:val="00F00266"/>
    <w:rsid w:val="00F00459"/>
    <w:rsid w:val="00F007E1"/>
    <w:rsid w:val="00F02065"/>
    <w:rsid w:val="00F025A7"/>
    <w:rsid w:val="00F0338D"/>
    <w:rsid w:val="00F04374"/>
    <w:rsid w:val="00F06CDE"/>
    <w:rsid w:val="00F07BB2"/>
    <w:rsid w:val="00F106DA"/>
    <w:rsid w:val="00F112FE"/>
    <w:rsid w:val="00F130C8"/>
    <w:rsid w:val="00F1362C"/>
    <w:rsid w:val="00F1381B"/>
    <w:rsid w:val="00F146D0"/>
    <w:rsid w:val="00F14CEE"/>
    <w:rsid w:val="00F151D9"/>
    <w:rsid w:val="00F15A4F"/>
    <w:rsid w:val="00F1789F"/>
    <w:rsid w:val="00F20EE0"/>
    <w:rsid w:val="00F2289F"/>
    <w:rsid w:val="00F2356A"/>
    <w:rsid w:val="00F23BA7"/>
    <w:rsid w:val="00F23E61"/>
    <w:rsid w:val="00F23FE2"/>
    <w:rsid w:val="00F24D6C"/>
    <w:rsid w:val="00F2532E"/>
    <w:rsid w:val="00F2647E"/>
    <w:rsid w:val="00F2758D"/>
    <w:rsid w:val="00F315A4"/>
    <w:rsid w:val="00F316F9"/>
    <w:rsid w:val="00F33429"/>
    <w:rsid w:val="00F339C7"/>
    <w:rsid w:val="00F33A2A"/>
    <w:rsid w:val="00F34EAB"/>
    <w:rsid w:val="00F37187"/>
    <w:rsid w:val="00F3755C"/>
    <w:rsid w:val="00F37D10"/>
    <w:rsid w:val="00F40321"/>
    <w:rsid w:val="00F40706"/>
    <w:rsid w:val="00F40967"/>
    <w:rsid w:val="00F40C78"/>
    <w:rsid w:val="00F414F1"/>
    <w:rsid w:val="00F4158C"/>
    <w:rsid w:val="00F41914"/>
    <w:rsid w:val="00F43521"/>
    <w:rsid w:val="00F43B53"/>
    <w:rsid w:val="00F4409D"/>
    <w:rsid w:val="00F441E8"/>
    <w:rsid w:val="00F44797"/>
    <w:rsid w:val="00F45456"/>
    <w:rsid w:val="00F467E3"/>
    <w:rsid w:val="00F4710F"/>
    <w:rsid w:val="00F4758F"/>
    <w:rsid w:val="00F5038F"/>
    <w:rsid w:val="00F508B8"/>
    <w:rsid w:val="00F50AEB"/>
    <w:rsid w:val="00F51C54"/>
    <w:rsid w:val="00F51CF1"/>
    <w:rsid w:val="00F51DF1"/>
    <w:rsid w:val="00F52537"/>
    <w:rsid w:val="00F52FFE"/>
    <w:rsid w:val="00F55D24"/>
    <w:rsid w:val="00F5661B"/>
    <w:rsid w:val="00F56C23"/>
    <w:rsid w:val="00F56F44"/>
    <w:rsid w:val="00F57C94"/>
    <w:rsid w:val="00F57F44"/>
    <w:rsid w:val="00F605CF"/>
    <w:rsid w:val="00F607F2"/>
    <w:rsid w:val="00F608CC"/>
    <w:rsid w:val="00F609CE"/>
    <w:rsid w:val="00F60A95"/>
    <w:rsid w:val="00F60CED"/>
    <w:rsid w:val="00F6100C"/>
    <w:rsid w:val="00F61309"/>
    <w:rsid w:val="00F62A09"/>
    <w:rsid w:val="00F62FDA"/>
    <w:rsid w:val="00F630BD"/>
    <w:rsid w:val="00F63263"/>
    <w:rsid w:val="00F63E10"/>
    <w:rsid w:val="00F646D0"/>
    <w:rsid w:val="00F676D4"/>
    <w:rsid w:val="00F67B16"/>
    <w:rsid w:val="00F67CFD"/>
    <w:rsid w:val="00F70155"/>
    <w:rsid w:val="00F702BF"/>
    <w:rsid w:val="00F7139C"/>
    <w:rsid w:val="00F72CB1"/>
    <w:rsid w:val="00F750E4"/>
    <w:rsid w:val="00F751B8"/>
    <w:rsid w:val="00F76D64"/>
    <w:rsid w:val="00F8022D"/>
    <w:rsid w:val="00F80B34"/>
    <w:rsid w:val="00F80E10"/>
    <w:rsid w:val="00F81EDD"/>
    <w:rsid w:val="00F8215E"/>
    <w:rsid w:val="00F824C6"/>
    <w:rsid w:val="00F824F5"/>
    <w:rsid w:val="00F83256"/>
    <w:rsid w:val="00F843CB"/>
    <w:rsid w:val="00F844BF"/>
    <w:rsid w:val="00F84A6B"/>
    <w:rsid w:val="00F857EE"/>
    <w:rsid w:val="00F85AA1"/>
    <w:rsid w:val="00F85B03"/>
    <w:rsid w:val="00F86DE0"/>
    <w:rsid w:val="00F86F79"/>
    <w:rsid w:val="00F873C9"/>
    <w:rsid w:val="00F873D9"/>
    <w:rsid w:val="00F87C08"/>
    <w:rsid w:val="00F90FAB"/>
    <w:rsid w:val="00F9230B"/>
    <w:rsid w:val="00F928BF"/>
    <w:rsid w:val="00F9374D"/>
    <w:rsid w:val="00F93D7F"/>
    <w:rsid w:val="00F93DFF"/>
    <w:rsid w:val="00F95538"/>
    <w:rsid w:val="00FA1A64"/>
    <w:rsid w:val="00FA1DCA"/>
    <w:rsid w:val="00FA26E2"/>
    <w:rsid w:val="00FA2D46"/>
    <w:rsid w:val="00FA2DB5"/>
    <w:rsid w:val="00FA2DDF"/>
    <w:rsid w:val="00FA3282"/>
    <w:rsid w:val="00FA420F"/>
    <w:rsid w:val="00FA5B9E"/>
    <w:rsid w:val="00FA5E88"/>
    <w:rsid w:val="00FA7D4C"/>
    <w:rsid w:val="00FA7E4F"/>
    <w:rsid w:val="00FB0C30"/>
    <w:rsid w:val="00FB301D"/>
    <w:rsid w:val="00FB3050"/>
    <w:rsid w:val="00FB463C"/>
    <w:rsid w:val="00FB47ED"/>
    <w:rsid w:val="00FB4BA0"/>
    <w:rsid w:val="00FB545D"/>
    <w:rsid w:val="00FB5A30"/>
    <w:rsid w:val="00FB6170"/>
    <w:rsid w:val="00FB7298"/>
    <w:rsid w:val="00FC05BC"/>
    <w:rsid w:val="00FC0C2F"/>
    <w:rsid w:val="00FC139C"/>
    <w:rsid w:val="00FC2015"/>
    <w:rsid w:val="00FC22DB"/>
    <w:rsid w:val="00FC29B9"/>
    <w:rsid w:val="00FC2B09"/>
    <w:rsid w:val="00FC3EC4"/>
    <w:rsid w:val="00FC4783"/>
    <w:rsid w:val="00FC5C61"/>
    <w:rsid w:val="00FC6302"/>
    <w:rsid w:val="00FC6FD3"/>
    <w:rsid w:val="00FC7157"/>
    <w:rsid w:val="00FC773E"/>
    <w:rsid w:val="00FC7D2F"/>
    <w:rsid w:val="00FD0C72"/>
    <w:rsid w:val="00FD3667"/>
    <w:rsid w:val="00FD411F"/>
    <w:rsid w:val="00FD432A"/>
    <w:rsid w:val="00FD4B32"/>
    <w:rsid w:val="00FD5047"/>
    <w:rsid w:val="00FD7B5F"/>
    <w:rsid w:val="00FE0A79"/>
    <w:rsid w:val="00FE1026"/>
    <w:rsid w:val="00FE1E7F"/>
    <w:rsid w:val="00FE24AE"/>
    <w:rsid w:val="00FE26F2"/>
    <w:rsid w:val="00FE305C"/>
    <w:rsid w:val="00FE3404"/>
    <w:rsid w:val="00FE34A0"/>
    <w:rsid w:val="00FE3D0F"/>
    <w:rsid w:val="00FE534B"/>
    <w:rsid w:val="00FE5505"/>
    <w:rsid w:val="00FF0301"/>
    <w:rsid w:val="00FF0B0E"/>
    <w:rsid w:val="00FF13C6"/>
    <w:rsid w:val="00FF1416"/>
    <w:rsid w:val="00FF1D82"/>
    <w:rsid w:val="00FF31F4"/>
    <w:rsid w:val="00FF356A"/>
    <w:rsid w:val="00FF3836"/>
    <w:rsid w:val="00FF3C0A"/>
    <w:rsid w:val="00FF40FE"/>
    <w:rsid w:val="00FF5303"/>
    <w:rsid w:val="00FF53B9"/>
    <w:rsid w:val="00FF5C1C"/>
    <w:rsid w:val="00FF6565"/>
    <w:rsid w:val="00FF7071"/>
    <w:rsid w:val="00FF7C3C"/>
    <w:rsid w:val="00FF7D40"/>
    <w:rsid w:val="00FF7E15"/>
    <w:rsid w:val="00FF7F24"/>
    <w:rsid w:val="02D18B29"/>
    <w:rsid w:val="03D33B31"/>
    <w:rsid w:val="090F4569"/>
    <w:rsid w:val="0944A5CD"/>
    <w:rsid w:val="0AEE5EFA"/>
    <w:rsid w:val="0D09A3A4"/>
    <w:rsid w:val="0E6DA061"/>
    <w:rsid w:val="11306B8C"/>
    <w:rsid w:val="14B5236E"/>
    <w:rsid w:val="25A8185D"/>
    <w:rsid w:val="27D432A6"/>
    <w:rsid w:val="34B1BB82"/>
    <w:rsid w:val="35DC04B1"/>
    <w:rsid w:val="3C4C2475"/>
    <w:rsid w:val="41F33F68"/>
    <w:rsid w:val="4669D220"/>
    <w:rsid w:val="46BAF7F3"/>
    <w:rsid w:val="4D6C20B6"/>
    <w:rsid w:val="53C111C2"/>
    <w:rsid w:val="57F5399C"/>
    <w:rsid w:val="59C5E3E1"/>
    <w:rsid w:val="5AE28625"/>
    <w:rsid w:val="5B46DDE7"/>
    <w:rsid w:val="6295AECE"/>
    <w:rsid w:val="62C83B6D"/>
    <w:rsid w:val="64E51968"/>
    <w:rsid w:val="7A2541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FD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CD3"/>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lang w:val="en-GB" w:eastAsia="en-GB"/>
    </w:rPr>
  </w:style>
  <w:style w:type="paragraph" w:styleId="Caption">
    <w:name w:val="caption"/>
    <w:basedOn w:val="Normal"/>
    <w:next w:val="Normal"/>
    <w:link w:val="CaptionChar"/>
    <w:uiPriority w:val="35"/>
    <w:unhideWhenUsed/>
    <w:qFormat/>
    <w:rsid w:val="0008612A"/>
    <w:pPr>
      <w:spacing w:after="200"/>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99"/>
    <w:qFormat/>
    <w:rsid w:val="002C2D19"/>
    <w:pPr>
      <w:spacing w:after="160" w:line="259" w:lineRule="auto"/>
      <w:ind w:left="720"/>
      <w:contextualSpacing/>
    </w:pPr>
    <w:rPr>
      <w:rFonts w:eastAsiaTheme="minorHAnsi" w:cstheme="minorBidi"/>
      <w:sz w:val="20"/>
      <w:szCs w:val="22"/>
      <w:lang w:eastAsia="en-US"/>
    </w:r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eastAsia="en-GB"/>
    </w:rPr>
  </w:style>
  <w:style w:type="paragraph" w:customStyle="1" w:styleId="RAN4Observation">
    <w:name w:val="RAN4 Observation"/>
    <w:basedOn w:val="ListParagraph"/>
    <w:next w:val="Normal"/>
    <w:link w:val="RAN4ObservationChar"/>
    <w:rsid w:val="0008612A"/>
    <w:pPr>
      <w:numPr>
        <w:numId w:val="2"/>
      </w:numPr>
      <w:ind w:left="277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eastAsia="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99"/>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eastAsia="Times New Roman" w:hAnsi="Arial" w:cs="Times New Roman"/>
      <w:i/>
      <w:iCs/>
      <w:sz w:val="18"/>
      <w:szCs w:val="18"/>
      <w:lang w:val="en-GB" w:eastAsia="en-GB"/>
    </w:rPr>
  </w:style>
  <w:style w:type="character" w:customStyle="1" w:styleId="RAN4proposalChar0">
    <w:name w:val="RAN4 proposal Char"/>
    <w:basedOn w:val="CaptionChar"/>
    <w:link w:val="RAN4proposal"/>
    <w:rsid w:val="000B0056"/>
    <w:rPr>
      <w:rFonts w:ascii="Times New Roman" w:eastAsia="Times New Roman" w:hAnsi="Times New Roman" w:cs="Times New Roman"/>
      <w:b/>
      <w:i w:val="0"/>
      <w:iCs/>
      <w:sz w:val="20"/>
      <w:szCs w:val="18"/>
      <w:lang w:val="en-GB" w:eastAsia="en-GB"/>
    </w:rPr>
  </w:style>
  <w:style w:type="paragraph" w:styleId="TOC1">
    <w:name w:val="toc 1"/>
    <w:basedOn w:val="Normal"/>
    <w:next w:val="Normal"/>
    <w:autoRedefine/>
    <w:uiPriority w:val="39"/>
    <w:unhideWhenUsed/>
    <w:rsid w:val="00F8215E"/>
    <w:pPr>
      <w:tabs>
        <w:tab w:val="right" w:leader="dot" w:pos="9617"/>
      </w:tabs>
      <w:spacing w:after="100" w:line="259" w:lineRule="auto"/>
    </w:pPr>
    <w:rPr>
      <w:rFonts w:eastAsiaTheme="minorHAnsi" w:cstheme="minorBidi"/>
      <w:i/>
      <w:iCs/>
      <w:noProof/>
      <w:sz w:val="20"/>
      <w:szCs w:val="22"/>
      <w:u w:val="single"/>
      <w:lang w:eastAsia="en-US"/>
    </w:rPr>
  </w:style>
  <w:style w:type="paragraph" w:styleId="TOC2">
    <w:name w:val="toc 2"/>
    <w:basedOn w:val="Normal"/>
    <w:next w:val="Normal"/>
    <w:autoRedefine/>
    <w:uiPriority w:val="39"/>
    <w:unhideWhenUsed/>
    <w:rsid w:val="00FC29B9"/>
    <w:pPr>
      <w:spacing w:after="100" w:line="259" w:lineRule="auto"/>
      <w:ind w:left="200"/>
    </w:pPr>
    <w:rPr>
      <w:rFonts w:eastAsiaTheme="minorHAnsi" w:cstheme="minorBidi"/>
      <w:sz w:val="20"/>
      <w:szCs w:val="22"/>
      <w:lang w:eastAsia="en-US"/>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rPr>
  </w:style>
  <w:style w:type="character" w:customStyle="1" w:styleId="RAN4H3Char">
    <w:name w:val="RAN4 H3 Char"/>
    <w:basedOn w:val="DefaultParagraphFont"/>
    <w:link w:val="RAN4H3"/>
    <w:rsid w:val="00A37002"/>
    <w:rPr>
      <w:rFonts w:ascii="Arial" w:eastAsia="Times New Roman" w:hAnsi="Arial" w:cs="Arial"/>
      <w:sz w:val="24"/>
      <w:szCs w:val="24"/>
      <w:lang w:val="en-GB" w:eastAsia="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lang w:val="en-GB" w:eastAsia="en-GB"/>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eastAsia="Times New Roman" w:hAnsiTheme="minorHAnsi" w:cs="Arial"/>
      <w:color w:val="44546A" w:themeColor="text2"/>
      <w:sz w:val="22"/>
      <w:szCs w:val="24"/>
      <w:lang w:eastAsia="en-GB"/>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after="160" w:line="259" w:lineRule="auto"/>
      <w:ind w:left="864" w:right="864"/>
      <w:jc w:val="center"/>
    </w:pPr>
    <w:rPr>
      <w:rFonts w:eastAsiaTheme="minorHAnsi" w:cstheme="minorBidi"/>
      <w:i/>
      <w:iCs/>
      <w:color w:val="404040" w:themeColor="text1" w:themeTint="BF"/>
      <w:sz w:val="20"/>
      <w:szCs w:val="22"/>
      <w:lang w:eastAsia="en-US"/>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rPr>
      <w:szCs w:val="20"/>
    </w:rPr>
  </w:style>
  <w:style w:type="character" w:customStyle="1" w:styleId="CommentTextChar">
    <w:name w:val="Comment Text Char"/>
    <w:basedOn w:val="DefaultParagraphFont"/>
    <w:link w:val="CommentText"/>
    <w:uiPriority w:val="99"/>
    <w:rsid w:val="00542D23"/>
    <w:rPr>
      <w:rFonts w:ascii="Times New Roman" w:eastAsia="Times New Roman" w:hAnsi="Times New Roman" w:cs="Times New Roman"/>
      <w:sz w:val="24"/>
      <w:szCs w:val="20"/>
      <w:lang w:val="en-GB" w:eastAsia="en-GB"/>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eastAsia="Times New Roman" w:hAnsi="Times New Roman" w:cs="Times New Roman"/>
      <w:b/>
      <w:bCs/>
      <w:sz w:val="20"/>
      <w:szCs w:val="20"/>
      <w:lang w:val="en-GB" w:eastAsia="en-GB"/>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4"/>
      <w:szCs w:val="24"/>
      <w:lang w:val="en-GB" w:eastAsia="en-GB"/>
    </w:rPr>
  </w:style>
  <w:style w:type="paragraph" w:styleId="TOC3">
    <w:name w:val="toc 3"/>
    <w:basedOn w:val="Normal"/>
    <w:next w:val="Normal"/>
    <w:autoRedefine/>
    <w:uiPriority w:val="39"/>
    <w:unhideWhenUsed/>
    <w:rsid w:val="00592A86"/>
    <w:pPr>
      <w:spacing w:after="100" w:line="259" w:lineRule="auto"/>
      <w:ind w:left="400"/>
    </w:pPr>
    <w:rPr>
      <w:rFonts w:eastAsiaTheme="minorHAnsi" w:cstheme="minorBidi"/>
      <w:sz w:val="20"/>
      <w:szCs w:val="22"/>
      <w:lang w:eastAsia="en-US"/>
    </w:r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4"/>
      <w:szCs w:val="24"/>
      <w:lang w:val="en-GB" w:eastAsia="en-GB"/>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lang w:val="en-GB" w:eastAsia="en-GB"/>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lang w:val="en-GB" w:eastAsia="en-GB"/>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4"/>
      <w:szCs w:val="24"/>
      <w:lang w:val="en-GB" w:eastAsia="en-GB"/>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4"/>
      <w:szCs w:val="24"/>
      <w:lang w:val="en-GB" w:eastAsia="en-GB"/>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line="259" w:lineRule="auto"/>
    </w:pPr>
    <w:rPr>
      <w:rFonts w:eastAsiaTheme="minorHAnsi" w:cstheme="minorBidi"/>
      <w:sz w:val="20"/>
      <w:szCs w:val="22"/>
      <w:lang w:eastAsia="en-US"/>
    </w:rPr>
  </w:style>
  <w:style w:type="paragraph" w:styleId="TOC5">
    <w:name w:val="toc 5"/>
    <w:aliases w:val="Proposal"/>
    <w:basedOn w:val="Normal"/>
    <w:next w:val="Normal"/>
    <w:autoRedefine/>
    <w:uiPriority w:val="39"/>
    <w:unhideWhenUsed/>
    <w:rsid w:val="00A4355E"/>
    <w:pPr>
      <w:spacing w:after="100" w:line="259" w:lineRule="auto"/>
    </w:pPr>
    <w:rPr>
      <w:rFonts w:eastAsiaTheme="minorHAnsi" w:cstheme="minorBidi"/>
      <w:b/>
      <w:sz w:val="20"/>
      <w:szCs w:val="22"/>
      <w:lang w:eastAsia="en-US"/>
    </w:rPr>
  </w:style>
  <w:style w:type="paragraph" w:styleId="Header">
    <w:name w:val="header"/>
    <w:basedOn w:val="Normal"/>
    <w:link w:val="HeaderChar"/>
    <w:uiPriority w:val="99"/>
    <w:unhideWhenUsed/>
    <w:rsid w:val="002D21D5"/>
    <w:pPr>
      <w:tabs>
        <w:tab w:val="center" w:pos="4680"/>
        <w:tab w:val="right" w:pos="9360"/>
      </w:tabs>
    </w:pPr>
  </w:style>
  <w:style w:type="character" w:customStyle="1" w:styleId="HeaderChar">
    <w:name w:val="Header Char"/>
    <w:basedOn w:val="DefaultParagraphFont"/>
    <w:link w:val="Header"/>
    <w:uiPriority w:val="99"/>
    <w:rsid w:val="002D21D5"/>
    <w:rPr>
      <w:rFonts w:ascii="Times New Roman" w:eastAsia="Times New Roman" w:hAnsi="Times New Roman" w:cs="Times New Roman"/>
      <w:sz w:val="24"/>
      <w:szCs w:val="24"/>
      <w:lang w:val="en-GB" w:eastAsia="en-GB"/>
    </w:rPr>
  </w:style>
  <w:style w:type="paragraph" w:styleId="Footer">
    <w:name w:val="footer"/>
    <w:basedOn w:val="Normal"/>
    <w:link w:val="FooterChar"/>
    <w:uiPriority w:val="99"/>
    <w:unhideWhenUsed/>
    <w:rsid w:val="002D21D5"/>
    <w:pPr>
      <w:tabs>
        <w:tab w:val="center" w:pos="4680"/>
        <w:tab w:val="right" w:pos="9360"/>
      </w:tabs>
    </w:pPr>
  </w:style>
  <w:style w:type="character" w:customStyle="1" w:styleId="FooterChar">
    <w:name w:val="Footer Char"/>
    <w:basedOn w:val="DefaultParagraphFont"/>
    <w:link w:val="Footer"/>
    <w:uiPriority w:val="99"/>
    <w:rsid w:val="002D21D5"/>
    <w:rPr>
      <w:rFonts w:ascii="Times New Roman" w:eastAsia="Times New Roman" w:hAnsi="Times New Roman" w:cs="Times New Roman"/>
      <w:sz w:val="24"/>
      <w:szCs w:val="24"/>
      <w:lang w:val="en-GB" w:eastAsia="en-GB"/>
    </w:rPr>
  </w:style>
  <w:style w:type="paragraph" w:customStyle="1" w:styleId="TAL">
    <w:name w:val="TAL"/>
    <w:basedOn w:val="Normal"/>
    <w:link w:val="TALChar"/>
    <w:qFormat/>
    <w:rsid w:val="00BD2975"/>
    <w:pPr>
      <w:keepNext/>
      <w:keepLines/>
    </w:pPr>
    <w:rPr>
      <w:rFonts w:ascii="Arial" w:eastAsia="SimSun" w:hAnsi="Arial"/>
      <w:sz w:val="18"/>
      <w:szCs w:val="20"/>
      <w:lang w:val="x-none"/>
    </w:rPr>
  </w:style>
  <w:style w:type="paragraph" w:customStyle="1" w:styleId="TAH">
    <w:name w:val="TAH"/>
    <w:basedOn w:val="Normal"/>
    <w:link w:val="TAHCar"/>
    <w:qFormat/>
    <w:rsid w:val="00BD2975"/>
    <w:pPr>
      <w:keepNext/>
      <w:keepLines/>
      <w:jc w:val="center"/>
    </w:pPr>
    <w:rPr>
      <w:rFonts w:ascii="Arial" w:eastAsia="SimSun" w:hAnsi="Arial"/>
      <w:b/>
      <w:sz w:val="18"/>
      <w:szCs w:val="20"/>
      <w:lang w:val="x-none"/>
    </w:rPr>
  </w:style>
  <w:style w:type="paragraph" w:customStyle="1" w:styleId="TH">
    <w:name w:val="TH"/>
    <w:basedOn w:val="Normal"/>
    <w:link w:val="THChar"/>
    <w:qFormat/>
    <w:rsid w:val="00BD2975"/>
    <w:pPr>
      <w:keepNext/>
      <w:keepLines/>
      <w:spacing w:before="60" w:after="180"/>
      <w:jc w:val="center"/>
    </w:pPr>
    <w:rPr>
      <w:rFonts w:ascii="Arial" w:eastAsia="SimSun" w:hAnsi="Arial"/>
      <w:b/>
      <w:szCs w:val="20"/>
      <w:lang w:val="x-none"/>
    </w:rPr>
  </w:style>
  <w:style w:type="character" w:customStyle="1" w:styleId="THChar">
    <w:name w:val="TH Char"/>
    <w:link w:val="TH"/>
    <w:qFormat/>
    <w:rsid w:val="00BD2975"/>
    <w:rPr>
      <w:rFonts w:ascii="Arial" w:eastAsia="SimSun" w:hAnsi="Arial" w:cs="Times New Roman"/>
      <w:b/>
      <w:sz w:val="24"/>
      <w:szCs w:val="20"/>
      <w:lang w:val="x-none" w:eastAsia="en-GB"/>
    </w:rPr>
  </w:style>
  <w:style w:type="character" w:customStyle="1" w:styleId="TAHCar">
    <w:name w:val="TAH Car"/>
    <w:link w:val="TAH"/>
    <w:qFormat/>
    <w:rsid w:val="00BD2975"/>
    <w:rPr>
      <w:rFonts w:ascii="Arial" w:eastAsia="SimSun" w:hAnsi="Arial" w:cs="Times New Roman"/>
      <w:b/>
      <w:sz w:val="18"/>
      <w:szCs w:val="20"/>
      <w:lang w:val="x-none" w:eastAsia="en-GB"/>
    </w:rPr>
  </w:style>
  <w:style w:type="character" w:customStyle="1" w:styleId="TALChar">
    <w:name w:val="TAL Char"/>
    <w:link w:val="TAL"/>
    <w:qFormat/>
    <w:locked/>
    <w:rsid w:val="00BD2975"/>
    <w:rPr>
      <w:rFonts w:ascii="Arial" w:eastAsia="SimSun" w:hAnsi="Arial" w:cs="Times New Roman"/>
      <w:sz w:val="18"/>
      <w:szCs w:val="20"/>
      <w:lang w:val="x-none" w:eastAsia="en-GB"/>
    </w:rPr>
  </w:style>
  <w:style w:type="paragraph" w:customStyle="1" w:styleId="a">
    <w:name w:val="佐藤２"/>
    <w:basedOn w:val="Normal"/>
    <w:rsid w:val="00BD2975"/>
    <w:pPr>
      <w:numPr>
        <w:numId w:val="11"/>
      </w:numPr>
      <w:spacing w:after="180"/>
    </w:pPr>
    <w:rPr>
      <w:rFonts w:eastAsia="MS Gothic"/>
      <w:szCs w:val="20"/>
      <w:lang w:eastAsia="ja-JP"/>
    </w:rPr>
  </w:style>
  <w:style w:type="character" w:styleId="Mention">
    <w:name w:val="Mention"/>
    <w:basedOn w:val="DefaultParagraphFont"/>
    <w:uiPriority w:val="99"/>
    <w:unhideWhenUsed/>
    <w:rsid w:val="00856415"/>
    <w:rPr>
      <w:color w:val="2B579A"/>
      <w:shd w:val="clear" w:color="auto" w:fill="E1DFDD"/>
    </w:rPr>
  </w:style>
  <w:style w:type="paragraph" w:styleId="Revision">
    <w:name w:val="Revision"/>
    <w:hidden/>
    <w:uiPriority w:val="99"/>
    <w:semiHidden/>
    <w:rsid w:val="00735409"/>
    <w:pPr>
      <w:spacing w:after="0" w:line="240" w:lineRule="auto"/>
    </w:pPr>
    <w:rPr>
      <w:rFonts w:ascii="Times New Roman" w:hAnsi="Times New Roman"/>
      <w:sz w:val="20"/>
      <w:lang w:val="en-GB"/>
    </w:rPr>
  </w:style>
  <w:style w:type="paragraph" w:styleId="NormalWeb">
    <w:name w:val="Normal (Web)"/>
    <w:basedOn w:val="Normal"/>
    <w:uiPriority w:val="99"/>
    <w:unhideWhenUsed/>
    <w:rsid w:val="006A307B"/>
    <w:pPr>
      <w:spacing w:before="100" w:beforeAutospacing="1" w:after="100" w:afterAutospacing="1"/>
    </w:pPr>
    <w:rPr>
      <w:lang w:val="en-US"/>
    </w:rPr>
  </w:style>
  <w:style w:type="paragraph" w:customStyle="1" w:styleId="pf1">
    <w:name w:val="pf1"/>
    <w:basedOn w:val="Normal"/>
    <w:rsid w:val="007C0DB2"/>
    <w:pPr>
      <w:spacing w:before="100" w:beforeAutospacing="1" w:after="100" w:afterAutospacing="1"/>
    </w:pPr>
    <w:rPr>
      <w:lang w:val="en-US"/>
    </w:rPr>
  </w:style>
  <w:style w:type="paragraph" w:customStyle="1" w:styleId="pf2">
    <w:name w:val="pf2"/>
    <w:basedOn w:val="Normal"/>
    <w:rsid w:val="007C0DB2"/>
    <w:pPr>
      <w:spacing w:before="100" w:beforeAutospacing="1" w:after="100" w:afterAutospacing="1"/>
    </w:pPr>
    <w:rPr>
      <w:lang w:val="en-US"/>
    </w:rPr>
  </w:style>
  <w:style w:type="paragraph" w:customStyle="1" w:styleId="pf0">
    <w:name w:val="pf0"/>
    <w:basedOn w:val="Normal"/>
    <w:rsid w:val="007C0DB2"/>
    <w:pPr>
      <w:spacing w:before="100" w:beforeAutospacing="1" w:after="100" w:afterAutospacing="1"/>
    </w:pPr>
    <w:rPr>
      <w:lang w:val="en-US"/>
    </w:rPr>
  </w:style>
  <w:style w:type="character" w:customStyle="1" w:styleId="cf01">
    <w:name w:val="cf01"/>
    <w:basedOn w:val="DefaultParagraphFont"/>
    <w:rsid w:val="007C0DB2"/>
    <w:rPr>
      <w:rFonts w:ascii="Segoe UI" w:hAnsi="Segoe UI" w:cs="Segoe UI" w:hint="default"/>
      <w:b/>
      <w:bCs/>
      <w:sz w:val="18"/>
      <w:szCs w:val="18"/>
      <w:shd w:val="clear" w:color="auto" w:fill="00FF00"/>
    </w:rPr>
  </w:style>
  <w:style w:type="character" w:customStyle="1" w:styleId="cf11">
    <w:name w:val="cf11"/>
    <w:basedOn w:val="DefaultParagraphFont"/>
    <w:rsid w:val="007C0DB2"/>
    <w:rPr>
      <w:rFonts w:ascii="Segoe UI" w:hAnsi="Segoe UI" w:cs="Segoe UI" w:hint="default"/>
      <w:b/>
      <w:bCs/>
      <w:sz w:val="18"/>
      <w:szCs w:val="18"/>
      <w:shd w:val="clear" w:color="auto" w:fill="FFFF00"/>
    </w:rPr>
  </w:style>
  <w:style w:type="character" w:customStyle="1" w:styleId="cf31">
    <w:name w:val="cf31"/>
    <w:basedOn w:val="DefaultParagraphFont"/>
    <w:rsid w:val="007C0DB2"/>
    <w:rPr>
      <w:rFonts w:ascii="Segoe UI" w:hAnsi="Segoe UI" w:cs="Segoe UI" w:hint="default"/>
      <w:sz w:val="18"/>
      <w:szCs w:val="18"/>
    </w:rPr>
  </w:style>
  <w:style w:type="character" w:customStyle="1" w:styleId="cf41">
    <w:name w:val="cf41"/>
    <w:basedOn w:val="DefaultParagraphFont"/>
    <w:rsid w:val="007C0DB2"/>
    <w:rPr>
      <w:rFonts w:ascii="Segoe UI" w:hAnsi="Segoe UI" w:cs="Segoe UI" w:hint="default"/>
      <w:i/>
      <w:iCs/>
      <w:sz w:val="18"/>
      <w:szCs w:val="18"/>
    </w:rPr>
  </w:style>
  <w:style w:type="character" w:customStyle="1" w:styleId="cf51">
    <w:name w:val="cf51"/>
    <w:basedOn w:val="DefaultParagraphFont"/>
    <w:rsid w:val="007C0DB2"/>
    <w:rPr>
      <w:rFonts w:ascii="Segoe UI" w:hAnsi="Segoe UI" w:cs="Segoe UI" w:hint="default"/>
      <w:sz w:val="18"/>
      <w:szCs w:val="18"/>
    </w:rPr>
  </w:style>
  <w:style w:type="character" w:customStyle="1" w:styleId="cf61">
    <w:name w:val="cf61"/>
    <w:basedOn w:val="DefaultParagraphFont"/>
    <w:rsid w:val="007C0DB2"/>
    <w:rPr>
      <w:rFonts w:ascii="Segoe UI" w:hAnsi="Segoe UI" w:cs="Segoe UI" w:hint="default"/>
      <w:i/>
      <w:iCs/>
      <w:sz w:val="18"/>
      <w:szCs w:val="18"/>
    </w:rPr>
  </w:style>
  <w:style w:type="character" w:customStyle="1" w:styleId="cf71">
    <w:name w:val="cf71"/>
    <w:basedOn w:val="DefaultParagraphFont"/>
    <w:rsid w:val="007C0DB2"/>
    <w:rPr>
      <w:rFonts w:ascii="Segoe UI" w:hAnsi="Segoe UI" w:cs="Segoe UI" w:hint="default"/>
      <w:sz w:val="18"/>
      <w:szCs w:val="18"/>
      <w:shd w:val="clear" w:color="auto" w:fill="00FFFF"/>
    </w:rPr>
  </w:style>
  <w:style w:type="character" w:customStyle="1" w:styleId="TALCar">
    <w:name w:val="TAL Car"/>
    <w:qFormat/>
    <w:rsid w:val="00187824"/>
    <w:rPr>
      <w:rFonts w:ascii="Arial" w:eastAsia="Times New Roman" w:hAnsi="Arial" w:cs="Times New Roman"/>
      <w:sz w:val="18"/>
      <w:szCs w:val="20"/>
      <w:lang w:val="en-GB" w:eastAsia="en-US"/>
    </w:rPr>
  </w:style>
  <w:style w:type="paragraph" w:customStyle="1" w:styleId="TAN">
    <w:name w:val="TAN"/>
    <w:basedOn w:val="TAL"/>
    <w:link w:val="TANChar"/>
    <w:qFormat/>
    <w:rsid w:val="00187824"/>
    <w:pPr>
      <w:overflowPunct w:val="0"/>
      <w:autoSpaceDE w:val="0"/>
      <w:autoSpaceDN w:val="0"/>
      <w:adjustRightInd w:val="0"/>
      <w:ind w:left="851" w:hanging="851"/>
      <w:textAlignment w:val="baseline"/>
    </w:pPr>
    <w:rPr>
      <w:rFonts w:eastAsia="Times New Roman"/>
      <w:lang w:val="en-GB" w:eastAsia="en-US"/>
    </w:rPr>
  </w:style>
  <w:style w:type="character" w:customStyle="1" w:styleId="TANChar">
    <w:name w:val="TAN Char"/>
    <w:link w:val="TAN"/>
    <w:qFormat/>
    <w:rsid w:val="00187824"/>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44390">
      <w:bodyDiv w:val="1"/>
      <w:marLeft w:val="0"/>
      <w:marRight w:val="0"/>
      <w:marTop w:val="0"/>
      <w:marBottom w:val="0"/>
      <w:divBdr>
        <w:top w:val="none" w:sz="0" w:space="0" w:color="auto"/>
        <w:left w:val="none" w:sz="0" w:space="0" w:color="auto"/>
        <w:bottom w:val="none" w:sz="0" w:space="0" w:color="auto"/>
        <w:right w:val="none" w:sz="0" w:space="0" w:color="auto"/>
      </w:divBdr>
      <w:divsChild>
        <w:div w:id="177888866">
          <w:marLeft w:val="1166"/>
          <w:marRight w:val="0"/>
          <w:marTop w:val="0"/>
          <w:marBottom w:val="0"/>
          <w:divBdr>
            <w:top w:val="none" w:sz="0" w:space="0" w:color="auto"/>
            <w:left w:val="none" w:sz="0" w:space="0" w:color="auto"/>
            <w:bottom w:val="none" w:sz="0" w:space="0" w:color="auto"/>
            <w:right w:val="none" w:sz="0" w:space="0" w:color="auto"/>
          </w:divBdr>
        </w:div>
        <w:div w:id="514423350">
          <w:marLeft w:val="547"/>
          <w:marRight w:val="0"/>
          <w:marTop w:val="0"/>
          <w:marBottom w:val="0"/>
          <w:divBdr>
            <w:top w:val="none" w:sz="0" w:space="0" w:color="auto"/>
            <w:left w:val="none" w:sz="0" w:space="0" w:color="auto"/>
            <w:bottom w:val="none" w:sz="0" w:space="0" w:color="auto"/>
            <w:right w:val="none" w:sz="0" w:space="0" w:color="auto"/>
          </w:divBdr>
        </w:div>
        <w:div w:id="1183131395">
          <w:marLeft w:val="1166"/>
          <w:marRight w:val="0"/>
          <w:marTop w:val="0"/>
          <w:marBottom w:val="0"/>
          <w:divBdr>
            <w:top w:val="none" w:sz="0" w:space="0" w:color="auto"/>
            <w:left w:val="none" w:sz="0" w:space="0" w:color="auto"/>
            <w:bottom w:val="none" w:sz="0" w:space="0" w:color="auto"/>
            <w:right w:val="none" w:sz="0" w:space="0" w:color="auto"/>
          </w:divBdr>
        </w:div>
        <w:div w:id="1773671060">
          <w:marLeft w:val="547"/>
          <w:marRight w:val="0"/>
          <w:marTop w:val="0"/>
          <w:marBottom w:val="0"/>
          <w:divBdr>
            <w:top w:val="none" w:sz="0" w:space="0" w:color="auto"/>
            <w:left w:val="none" w:sz="0" w:space="0" w:color="auto"/>
            <w:bottom w:val="none" w:sz="0" w:space="0" w:color="auto"/>
            <w:right w:val="none" w:sz="0" w:space="0" w:color="auto"/>
          </w:divBdr>
        </w:div>
        <w:div w:id="1865242949">
          <w:marLeft w:val="547"/>
          <w:marRight w:val="0"/>
          <w:marTop w:val="0"/>
          <w:marBottom w:val="0"/>
          <w:divBdr>
            <w:top w:val="none" w:sz="0" w:space="0" w:color="auto"/>
            <w:left w:val="none" w:sz="0" w:space="0" w:color="auto"/>
            <w:bottom w:val="none" w:sz="0" w:space="0" w:color="auto"/>
            <w:right w:val="none" w:sz="0" w:space="0" w:color="auto"/>
          </w:divBdr>
        </w:div>
        <w:div w:id="2119832829">
          <w:marLeft w:val="1166"/>
          <w:marRight w:val="0"/>
          <w:marTop w:val="0"/>
          <w:marBottom w:val="0"/>
          <w:divBdr>
            <w:top w:val="none" w:sz="0" w:space="0" w:color="auto"/>
            <w:left w:val="none" w:sz="0" w:space="0" w:color="auto"/>
            <w:bottom w:val="none" w:sz="0" w:space="0" w:color="auto"/>
            <w:right w:val="none" w:sz="0" w:space="0" w:color="auto"/>
          </w:divBdr>
        </w:div>
      </w:divsChild>
    </w:div>
    <w:div w:id="212276125">
      <w:bodyDiv w:val="1"/>
      <w:marLeft w:val="0"/>
      <w:marRight w:val="0"/>
      <w:marTop w:val="0"/>
      <w:marBottom w:val="0"/>
      <w:divBdr>
        <w:top w:val="none" w:sz="0" w:space="0" w:color="auto"/>
        <w:left w:val="none" w:sz="0" w:space="0" w:color="auto"/>
        <w:bottom w:val="none" w:sz="0" w:space="0" w:color="auto"/>
        <w:right w:val="none" w:sz="0" w:space="0" w:color="auto"/>
      </w:divBdr>
    </w:div>
    <w:div w:id="307050282">
      <w:bodyDiv w:val="1"/>
      <w:marLeft w:val="0"/>
      <w:marRight w:val="0"/>
      <w:marTop w:val="0"/>
      <w:marBottom w:val="0"/>
      <w:divBdr>
        <w:top w:val="none" w:sz="0" w:space="0" w:color="auto"/>
        <w:left w:val="none" w:sz="0" w:space="0" w:color="auto"/>
        <w:bottom w:val="none" w:sz="0" w:space="0" w:color="auto"/>
        <w:right w:val="none" w:sz="0" w:space="0" w:color="auto"/>
      </w:divBdr>
      <w:divsChild>
        <w:div w:id="612979712">
          <w:marLeft w:val="0"/>
          <w:marRight w:val="0"/>
          <w:marTop w:val="0"/>
          <w:marBottom w:val="0"/>
          <w:divBdr>
            <w:top w:val="none" w:sz="0" w:space="0" w:color="auto"/>
            <w:left w:val="none" w:sz="0" w:space="0" w:color="auto"/>
            <w:bottom w:val="none" w:sz="0" w:space="0" w:color="auto"/>
            <w:right w:val="none" w:sz="0" w:space="0" w:color="auto"/>
          </w:divBdr>
        </w:div>
      </w:divsChild>
    </w:div>
    <w:div w:id="672881234">
      <w:bodyDiv w:val="1"/>
      <w:marLeft w:val="0"/>
      <w:marRight w:val="0"/>
      <w:marTop w:val="0"/>
      <w:marBottom w:val="0"/>
      <w:divBdr>
        <w:top w:val="none" w:sz="0" w:space="0" w:color="auto"/>
        <w:left w:val="none" w:sz="0" w:space="0" w:color="auto"/>
        <w:bottom w:val="none" w:sz="0" w:space="0" w:color="auto"/>
        <w:right w:val="none" w:sz="0" w:space="0" w:color="auto"/>
      </w:divBdr>
    </w:div>
    <w:div w:id="743070439">
      <w:bodyDiv w:val="1"/>
      <w:marLeft w:val="0"/>
      <w:marRight w:val="0"/>
      <w:marTop w:val="0"/>
      <w:marBottom w:val="0"/>
      <w:divBdr>
        <w:top w:val="none" w:sz="0" w:space="0" w:color="auto"/>
        <w:left w:val="none" w:sz="0" w:space="0" w:color="auto"/>
        <w:bottom w:val="none" w:sz="0" w:space="0" w:color="auto"/>
        <w:right w:val="none" w:sz="0" w:space="0" w:color="auto"/>
      </w:divBdr>
    </w:div>
    <w:div w:id="875628491">
      <w:bodyDiv w:val="1"/>
      <w:marLeft w:val="0"/>
      <w:marRight w:val="0"/>
      <w:marTop w:val="0"/>
      <w:marBottom w:val="0"/>
      <w:divBdr>
        <w:top w:val="none" w:sz="0" w:space="0" w:color="auto"/>
        <w:left w:val="none" w:sz="0" w:space="0" w:color="auto"/>
        <w:bottom w:val="none" w:sz="0" w:space="0" w:color="auto"/>
        <w:right w:val="none" w:sz="0" w:space="0" w:color="auto"/>
      </w:divBdr>
      <w:divsChild>
        <w:div w:id="279799530">
          <w:marLeft w:val="274"/>
          <w:marRight w:val="0"/>
          <w:marTop w:val="0"/>
          <w:marBottom w:val="120"/>
          <w:divBdr>
            <w:top w:val="none" w:sz="0" w:space="0" w:color="auto"/>
            <w:left w:val="none" w:sz="0" w:space="0" w:color="auto"/>
            <w:bottom w:val="none" w:sz="0" w:space="0" w:color="auto"/>
            <w:right w:val="none" w:sz="0" w:space="0" w:color="auto"/>
          </w:divBdr>
        </w:div>
      </w:divsChild>
    </w:div>
    <w:div w:id="898369832">
      <w:bodyDiv w:val="1"/>
      <w:marLeft w:val="0"/>
      <w:marRight w:val="0"/>
      <w:marTop w:val="0"/>
      <w:marBottom w:val="0"/>
      <w:divBdr>
        <w:top w:val="none" w:sz="0" w:space="0" w:color="auto"/>
        <w:left w:val="none" w:sz="0" w:space="0" w:color="auto"/>
        <w:bottom w:val="none" w:sz="0" w:space="0" w:color="auto"/>
        <w:right w:val="none" w:sz="0" w:space="0" w:color="auto"/>
      </w:divBdr>
    </w:div>
    <w:div w:id="922958289">
      <w:bodyDiv w:val="1"/>
      <w:marLeft w:val="0"/>
      <w:marRight w:val="0"/>
      <w:marTop w:val="0"/>
      <w:marBottom w:val="0"/>
      <w:divBdr>
        <w:top w:val="none" w:sz="0" w:space="0" w:color="auto"/>
        <w:left w:val="none" w:sz="0" w:space="0" w:color="auto"/>
        <w:bottom w:val="none" w:sz="0" w:space="0" w:color="auto"/>
        <w:right w:val="none" w:sz="0" w:space="0" w:color="auto"/>
      </w:divBdr>
    </w:div>
    <w:div w:id="1048147168">
      <w:bodyDiv w:val="1"/>
      <w:marLeft w:val="0"/>
      <w:marRight w:val="0"/>
      <w:marTop w:val="0"/>
      <w:marBottom w:val="0"/>
      <w:divBdr>
        <w:top w:val="none" w:sz="0" w:space="0" w:color="auto"/>
        <w:left w:val="none" w:sz="0" w:space="0" w:color="auto"/>
        <w:bottom w:val="none" w:sz="0" w:space="0" w:color="auto"/>
        <w:right w:val="none" w:sz="0" w:space="0" w:color="auto"/>
      </w:divBdr>
      <w:divsChild>
        <w:div w:id="99766056">
          <w:marLeft w:val="547"/>
          <w:marRight w:val="0"/>
          <w:marTop w:val="0"/>
          <w:marBottom w:val="0"/>
          <w:divBdr>
            <w:top w:val="none" w:sz="0" w:space="0" w:color="auto"/>
            <w:left w:val="none" w:sz="0" w:space="0" w:color="auto"/>
            <w:bottom w:val="none" w:sz="0" w:space="0" w:color="auto"/>
            <w:right w:val="none" w:sz="0" w:space="0" w:color="auto"/>
          </w:divBdr>
        </w:div>
        <w:div w:id="344555028">
          <w:marLeft w:val="547"/>
          <w:marRight w:val="0"/>
          <w:marTop w:val="0"/>
          <w:marBottom w:val="0"/>
          <w:divBdr>
            <w:top w:val="none" w:sz="0" w:space="0" w:color="auto"/>
            <w:left w:val="none" w:sz="0" w:space="0" w:color="auto"/>
            <w:bottom w:val="none" w:sz="0" w:space="0" w:color="auto"/>
            <w:right w:val="none" w:sz="0" w:space="0" w:color="auto"/>
          </w:divBdr>
        </w:div>
        <w:div w:id="507525086">
          <w:marLeft w:val="547"/>
          <w:marRight w:val="0"/>
          <w:marTop w:val="0"/>
          <w:marBottom w:val="0"/>
          <w:divBdr>
            <w:top w:val="none" w:sz="0" w:space="0" w:color="auto"/>
            <w:left w:val="none" w:sz="0" w:space="0" w:color="auto"/>
            <w:bottom w:val="none" w:sz="0" w:space="0" w:color="auto"/>
            <w:right w:val="none" w:sz="0" w:space="0" w:color="auto"/>
          </w:divBdr>
        </w:div>
        <w:div w:id="566959572">
          <w:marLeft w:val="1166"/>
          <w:marRight w:val="0"/>
          <w:marTop w:val="0"/>
          <w:marBottom w:val="0"/>
          <w:divBdr>
            <w:top w:val="none" w:sz="0" w:space="0" w:color="auto"/>
            <w:left w:val="none" w:sz="0" w:space="0" w:color="auto"/>
            <w:bottom w:val="none" w:sz="0" w:space="0" w:color="auto"/>
            <w:right w:val="none" w:sz="0" w:space="0" w:color="auto"/>
          </w:divBdr>
        </w:div>
        <w:div w:id="612053459">
          <w:marLeft w:val="1166"/>
          <w:marRight w:val="0"/>
          <w:marTop w:val="0"/>
          <w:marBottom w:val="0"/>
          <w:divBdr>
            <w:top w:val="none" w:sz="0" w:space="0" w:color="auto"/>
            <w:left w:val="none" w:sz="0" w:space="0" w:color="auto"/>
            <w:bottom w:val="none" w:sz="0" w:space="0" w:color="auto"/>
            <w:right w:val="none" w:sz="0" w:space="0" w:color="auto"/>
          </w:divBdr>
        </w:div>
        <w:div w:id="1050422904">
          <w:marLeft w:val="1166"/>
          <w:marRight w:val="0"/>
          <w:marTop w:val="0"/>
          <w:marBottom w:val="0"/>
          <w:divBdr>
            <w:top w:val="none" w:sz="0" w:space="0" w:color="auto"/>
            <w:left w:val="none" w:sz="0" w:space="0" w:color="auto"/>
            <w:bottom w:val="none" w:sz="0" w:space="0" w:color="auto"/>
            <w:right w:val="none" w:sz="0" w:space="0" w:color="auto"/>
          </w:divBdr>
        </w:div>
        <w:div w:id="1614290636">
          <w:marLeft w:val="547"/>
          <w:marRight w:val="0"/>
          <w:marTop w:val="0"/>
          <w:marBottom w:val="0"/>
          <w:divBdr>
            <w:top w:val="none" w:sz="0" w:space="0" w:color="auto"/>
            <w:left w:val="none" w:sz="0" w:space="0" w:color="auto"/>
            <w:bottom w:val="none" w:sz="0" w:space="0" w:color="auto"/>
            <w:right w:val="none" w:sz="0" w:space="0" w:color="auto"/>
          </w:divBdr>
        </w:div>
      </w:divsChild>
    </w:div>
    <w:div w:id="1124157930">
      <w:bodyDiv w:val="1"/>
      <w:marLeft w:val="0"/>
      <w:marRight w:val="0"/>
      <w:marTop w:val="0"/>
      <w:marBottom w:val="0"/>
      <w:divBdr>
        <w:top w:val="none" w:sz="0" w:space="0" w:color="auto"/>
        <w:left w:val="none" w:sz="0" w:space="0" w:color="auto"/>
        <w:bottom w:val="none" w:sz="0" w:space="0" w:color="auto"/>
        <w:right w:val="none" w:sz="0" w:space="0" w:color="auto"/>
      </w:divBdr>
    </w:div>
    <w:div w:id="1195576683">
      <w:bodyDiv w:val="1"/>
      <w:marLeft w:val="0"/>
      <w:marRight w:val="0"/>
      <w:marTop w:val="0"/>
      <w:marBottom w:val="0"/>
      <w:divBdr>
        <w:top w:val="none" w:sz="0" w:space="0" w:color="auto"/>
        <w:left w:val="none" w:sz="0" w:space="0" w:color="auto"/>
        <w:bottom w:val="none" w:sz="0" w:space="0" w:color="auto"/>
        <w:right w:val="none" w:sz="0" w:space="0" w:color="auto"/>
      </w:divBdr>
    </w:div>
    <w:div w:id="1218593827">
      <w:bodyDiv w:val="1"/>
      <w:marLeft w:val="0"/>
      <w:marRight w:val="0"/>
      <w:marTop w:val="0"/>
      <w:marBottom w:val="0"/>
      <w:divBdr>
        <w:top w:val="none" w:sz="0" w:space="0" w:color="auto"/>
        <w:left w:val="none" w:sz="0" w:space="0" w:color="auto"/>
        <w:bottom w:val="none" w:sz="0" w:space="0" w:color="auto"/>
        <w:right w:val="none" w:sz="0" w:space="0" w:color="auto"/>
      </w:divBdr>
      <w:divsChild>
        <w:div w:id="22290231">
          <w:marLeft w:val="1166"/>
          <w:marRight w:val="0"/>
          <w:marTop w:val="0"/>
          <w:marBottom w:val="0"/>
          <w:divBdr>
            <w:top w:val="none" w:sz="0" w:space="0" w:color="auto"/>
            <w:left w:val="none" w:sz="0" w:space="0" w:color="auto"/>
            <w:bottom w:val="none" w:sz="0" w:space="0" w:color="auto"/>
            <w:right w:val="none" w:sz="0" w:space="0" w:color="auto"/>
          </w:divBdr>
        </w:div>
        <w:div w:id="248514389">
          <w:marLeft w:val="547"/>
          <w:marRight w:val="0"/>
          <w:marTop w:val="0"/>
          <w:marBottom w:val="0"/>
          <w:divBdr>
            <w:top w:val="none" w:sz="0" w:space="0" w:color="auto"/>
            <w:left w:val="none" w:sz="0" w:space="0" w:color="auto"/>
            <w:bottom w:val="none" w:sz="0" w:space="0" w:color="auto"/>
            <w:right w:val="none" w:sz="0" w:space="0" w:color="auto"/>
          </w:divBdr>
        </w:div>
        <w:div w:id="1279532179">
          <w:marLeft w:val="547"/>
          <w:marRight w:val="0"/>
          <w:marTop w:val="0"/>
          <w:marBottom w:val="0"/>
          <w:divBdr>
            <w:top w:val="none" w:sz="0" w:space="0" w:color="auto"/>
            <w:left w:val="none" w:sz="0" w:space="0" w:color="auto"/>
            <w:bottom w:val="none" w:sz="0" w:space="0" w:color="auto"/>
            <w:right w:val="none" w:sz="0" w:space="0" w:color="auto"/>
          </w:divBdr>
        </w:div>
        <w:div w:id="1674408515">
          <w:marLeft w:val="1166"/>
          <w:marRight w:val="0"/>
          <w:marTop w:val="0"/>
          <w:marBottom w:val="0"/>
          <w:divBdr>
            <w:top w:val="none" w:sz="0" w:space="0" w:color="auto"/>
            <w:left w:val="none" w:sz="0" w:space="0" w:color="auto"/>
            <w:bottom w:val="none" w:sz="0" w:space="0" w:color="auto"/>
            <w:right w:val="none" w:sz="0" w:space="0" w:color="auto"/>
          </w:divBdr>
        </w:div>
        <w:div w:id="1856722905">
          <w:marLeft w:val="547"/>
          <w:marRight w:val="0"/>
          <w:marTop w:val="0"/>
          <w:marBottom w:val="0"/>
          <w:divBdr>
            <w:top w:val="none" w:sz="0" w:space="0" w:color="auto"/>
            <w:left w:val="none" w:sz="0" w:space="0" w:color="auto"/>
            <w:bottom w:val="none" w:sz="0" w:space="0" w:color="auto"/>
            <w:right w:val="none" w:sz="0" w:space="0" w:color="auto"/>
          </w:divBdr>
        </w:div>
        <w:div w:id="2098822959">
          <w:marLeft w:val="547"/>
          <w:marRight w:val="0"/>
          <w:marTop w:val="0"/>
          <w:marBottom w:val="0"/>
          <w:divBdr>
            <w:top w:val="none" w:sz="0" w:space="0" w:color="auto"/>
            <w:left w:val="none" w:sz="0" w:space="0" w:color="auto"/>
            <w:bottom w:val="none" w:sz="0" w:space="0" w:color="auto"/>
            <w:right w:val="none" w:sz="0" w:space="0" w:color="auto"/>
          </w:divBdr>
        </w:div>
        <w:div w:id="2110656558">
          <w:marLeft w:val="547"/>
          <w:marRight w:val="0"/>
          <w:marTop w:val="0"/>
          <w:marBottom w:val="0"/>
          <w:divBdr>
            <w:top w:val="none" w:sz="0" w:space="0" w:color="auto"/>
            <w:left w:val="none" w:sz="0" w:space="0" w:color="auto"/>
            <w:bottom w:val="none" w:sz="0" w:space="0" w:color="auto"/>
            <w:right w:val="none" w:sz="0" w:space="0" w:color="auto"/>
          </w:divBdr>
        </w:div>
      </w:divsChild>
    </w:div>
    <w:div w:id="1221795161">
      <w:bodyDiv w:val="1"/>
      <w:marLeft w:val="0"/>
      <w:marRight w:val="0"/>
      <w:marTop w:val="0"/>
      <w:marBottom w:val="0"/>
      <w:divBdr>
        <w:top w:val="none" w:sz="0" w:space="0" w:color="auto"/>
        <w:left w:val="none" w:sz="0" w:space="0" w:color="auto"/>
        <w:bottom w:val="none" w:sz="0" w:space="0" w:color="auto"/>
        <w:right w:val="none" w:sz="0" w:space="0" w:color="auto"/>
      </w:divBdr>
    </w:div>
    <w:div w:id="1602451102">
      <w:bodyDiv w:val="1"/>
      <w:marLeft w:val="0"/>
      <w:marRight w:val="0"/>
      <w:marTop w:val="0"/>
      <w:marBottom w:val="0"/>
      <w:divBdr>
        <w:top w:val="none" w:sz="0" w:space="0" w:color="auto"/>
        <w:left w:val="none" w:sz="0" w:space="0" w:color="auto"/>
        <w:bottom w:val="none" w:sz="0" w:space="0" w:color="auto"/>
        <w:right w:val="none" w:sz="0" w:space="0" w:color="auto"/>
      </w:divBdr>
    </w:div>
    <w:div w:id="1638337640">
      <w:bodyDiv w:val="1"/>
      <w:marLeft w:val="0"/>
      <w:marRight w:val="0"/>
      <w:marTop w:val="0"/>
      <w:marBottom w:val="0"/>
      <w:divBdr>
        <w:top w:val="none" w:sz="0" w:space="0" w:color="auto"/>
        <w:left w:val="none" w:sz="0" w:space="0" w:color="auto"/>
        <w:bottom w:val="none" w:sz="0" w:space="0" w:color="auto"/>
        <w:right w:val="none" w:sz="0" w:space="0" w:color="auto"/>
      </w:divBdr>
    </w:div>
    <w:div w:id="1701053105">
      <w:bodyDiv w:val="1"/>
      <w:marLeft w:val="0"/>
      <w:marRight w:val="0"/>
      <w:marTop w:val="0"/>
      <w:marBottom w:val="0"/>
      <w:divBdr>
        <w:top w:val="none" w:sz="0" w:space="0" w:color="auto"/>
        <w:left w:val="none" w:sz="0" w:space="0" w:color="auto"/>
        <w:bottom w:val="none" w:sz="0" w:space="0" w:color="auto"/>
        <w:right w:val="none" w:sz="0" w:space="0" w:color="auto"/>
      </w:divBdr>
    </w:div>
    <w:div w:id="1710958224">
      <w:bodyDiv w:val="1"/>
      <w:marLeft w:val="0"/>
      <w:marRight w:val="0"/>
      <w:marTop w:val="0"/>
      <w:marBottom w:val="0"/>
      <w:divBdr>
        <w:top w:val="none" w:sz="0" w:space="0" w:color="auto"/>
        <w:left w:val="none" w:sz="0" w:space="0" w:color="auto"/>
        <w:bottom w:val="none" w:sz="0" w:space="0" w:color="auto"/>
        <w:right w:val="none" w:sz="0" w:space="0" w:color="auto"/>
      </w:divBdr>
    </w:div>
    <w:div w:id="1816215939">
      <w:bodyDiv w:val="1"/>
      <w:marLeft w:val="0"/>
      <w:marRight w:val="0"/>
      <w:marTop w:val="0"/>
      <w:marBottom w:val="0"/>
      <w:divBdr>
        <w:top w:val="none" w:sz="0" w:space="0" w:color="auto"/>
        <w:left w:val="none" w:sz="0" w:space="0" w:color="auto"/>
        <w:bottom w:val="none" w:sz="0" w:space="0" w:color="auto"/>
        <w:right w:val="none" w:sz="0" w:space="0" w:color="auto"/>
      </w:divBdr>
    </w:div>
    <w:div w:id="1823234021">
      <w:bodyDiv w:val="1"/>
      <w:marLeft w:val="0"/>
      <w:marRight w:val="0"/>
      <w:marTop w:val="0"/>
      <w:marBottom w:val="0"/>
      <w:divBdr>
        <w:top w:val="none" w:sz="0" w:space="0" w:color="auto"/>
        <w:left w:val="none" w:sz="0" w:space="0" w:color="auto"/>
        <w:bottom w:val="none" w:sz="0" w:space="0" w:color="auto"/>
        <w:right w:val="none" w:sz="0" w:space="0" w:color="auto"/>
      </w:divBdr>
      <w:divsChild>
        <w:div w:id="918446120">
          <w:marLeft w:val="547"/>
          <w:marRight w:val="0"/>
          <w:marTop w:val="0"/>
          <w:marBottom w:val="0"/>
          <w:divBdr>
            <w:top w:val="none" w:sz="0" w:space="0" w:color="auto"/>
            <w:left w:val="none" w:sz="0" w:space="0" w:color="auto"/>
            <w:bottom w:val="none" w:sz="0" w:space="0" w:color="auto"/>
            <w:right w:val="none" w:sz="0" w:space="0" w:color="auto"/>
          </w:divBdr>
        </w:div>
        <w:div w:id="1111169218">
          <w:marLeft w:val="1166"/>
          <w:marRight w:val="0"/>
          <w:marTop w:val="0"/>
          <w:marBottom w:val="0"/>
          <w:divBdr>
            <w:top w:val="none" w:sz="0" w:space="0" w:color="auto"/>
            <w:left w:val="none" w:sz="0" w:space="0" w:color="auto"/>
            <w:bottom w:val="none" w:sz="0" w:space="0" w:color="auto"/>
            <w:right w:val="none" w:sz="0" w:space="0" w:color="auto"/>
          </w:divBdr>
        </w:div>
        <w:div w:id="1129394343">
          <w:marLeft w:val="1166"/>
          <w:marRight w:val="0"/>
          <w:marTop w:val="0"/>
          <w:marBottom w:val="0"/>
          <w:divBdr>
            <w:top w:val="none" w:sz="0" w:space="0" w:color="auto"/>
            <w:left w:val="none" w:sz="0" w:space="0" w:color="auto"/>
            <w:bottom w:val="none" w:sz="0" w:space="0" w:color="auto"/>
            <w:right w:val="none" w:sz="0" w:space="0" w:color="auto"/>
          </w:divBdr>
        </w:div>
        <w:div w:id="1596280704">
          <w:marLeft w:val="547"/>
          <w:marRight w:val="0"/>
          <w:marTop w:val="0"/>
          <w:marBottom w:val="0"/>
          <w:divBdr>
            <w:top w:val="none" w:sz="0" w:space="0" w:color="auto"/>
            <w:left w:val="none" w:sz="0" w:space="0" w:color="auto"/>
            <w:bottom w:val="none" w:sz="0" w:space="0" w:color="auto"/>
            <w:right w:val="none" w:sz="0" w:space="0" w:color="auto"/>
          </w:divBdr>
        </w:div>
        <w:div w:id="1786533066">
          <w:marLeft w:val="1166"/>
          <w:marRight w:val="0"/>
          <w:marTop w:val="0"/>
          <w:marBottom w:val="0"/>
          <w:divBdr>
            <w:top w:val="none" w:sz="0" w:space="0" w:color="auto"/>
            <w:left w:val="none" w:sz="0" w:space="0" w:color="auto"/>
            <w:bottom w:val="none" w:sz="0" w:space="0" w:color="auto"/>
            <w:right w:val="none" w:sz="0" w:space="0" w:color="auto"/>
          </w:divBdr>
        </w:div>
        <w:div w:id="1870414174">
          <w:marLeft w:val="547"/>
          <w:marRight w:val="0"/>
          <w:marTop w:val="0"/>
          <w:marBottom w:val="0"/>
          <w:divBdr>
            <w:top w:val="none" w:sz="0" w:space="0" w:color="auto"/>
            <w:left w:val="none" w:sz="0" w:space="0" w:color="auto"/>
            <w:bottom w:val="none" w:sz="0" w:space="0" w:color="auto"/>
            <w:right w:val="none" w:sz="0" w:space="0" w:color="auto"/>
          </w:divBdr>
        </w:div>
      </w:divsChild>
    </w:div>
    <w:div w:id="1840391391">
      <w:bodyDiv w:val="1"/>
      <w:marLeft w:val="0"/>
      <w:marRight w:val="0"/>
      <w:marTop w:val="0"/>
      <w:marBottom w:val="0"/>
      <w:divBdr>
        <w:top w:val="none" w:sz="0" w:space="0" w:color="auto"/>
        <w:left w:val="none" w:sz="0" w:space="0" w:color="auto"/>
        <w:bottom w:val="none" w:sz="0" w:space="0" w:color="auto"/>
        <w:right w:val="none" w:sz="0" w:space="0" w:color="auto"/>
      </w:divBdr>
    </w:div>
    <w:div w:id="1962421702">
      <w:bodyDiv w:val="1"/>
      <w:marLeft w:val="0"/>
      <w:marRight w:val="0"/>
      <w:marTop w:val="0"/>
      <w:marBottom w:val="0"/>
      <w:divBdr>
        <w:top w:val="none" w:sz="0" w:space="0" w:color="auto"/>
        <w:left w:val="none" w:sz="0" w:space="0" w:color="auto"/>
        <w:bottom w:val="none" w:sz="0" w:space="0" w:color="auto"/>
        <w:right w:val="none" w:sz="0" w:space="0" w:color="auto"/>
      </w:divBdr>
      <w:divsChild>
        <w:div w:id="22943413">
          <w:marLeft w:val="1166"/>
          <w:marRight w:val="0"/>
          <w:marTop w:val="0"/>
          <w:marBottom w:val="0"/>
          <w:divBdr>
            <w:top w:val="none" w:sz="0" w:space="0" w:color="auto"/>
            <w:left w:val="none" w:sz="0" w:space="0" w:color="auto"/>
            <w:bottom w:val="none" w:sz="0" w:space="0" w:color="auto"/>
            <w:right w:val="none" w:sz="0" w:space="0" w:color="auto"/>
          </w:divBdr>
        </w:div>
        <w:div w:id="867063695">
          <w:marLeft w:val="547"/>
          <w:marRight w:val="0"/>
          <w:marTop w:val="0"/>
          <w:marBottom w:val="0"/>
          <w:divBdr>
            <w:top w:val="none" w:sz="0" w:space="0" w:color="auto"/>
            <w:left w:val="none" w:sz="0" w:space="0" w:color="auto"/>
            <w:bottom w:val="none" w:sz="0" w:space="0" w:color="auto"/>
            <w:right w:val="none" w:sz="0" w:space="0" w:color="auto"/>
          </w:divBdr>
        </w:div>
        <w:div w:id="946734549">
          <w:marLeft w:val="547"/>
          <w:marRight w:val="0"/>
          <w:marTop w:val="0"/>
          <w:marBottom w:val="0"/>
          <w:divBdr>
            <w:top w:val="none" w:sz="0" w:space="0" w:color="auto"/>
            <w:left w:val="none" w:sz="0" w:space="0" w:color="auto"/>
            <w:bottom w:val="none" w:sz="0" w:space="0" w:color="auto"/>
            <w:right w:val="none" w:sz="0" w:space="0" w:color="auto"/>
          </w:divBdr>
        </w:div>
        <w:div w:id="1228028618">
          <w:marLeft w:val="547"/>
          <w:marRight w:val="0"/>
          <w:marTop w:val="0"/>
          <w:marBottom w:val="0"/>
          <w:divBdr>
            <w:top w:val="none" w:sz="0" w:space="0" w:color="auto"/>
            <w:left w:val="none" w:sz="0" w:space="0" w:color="auto"/>
            <w:bottom w:val="none" w:sz="0" w:space="0" w:color="auto"/>
            <w:right w:val="none" w:sz="0" w:space="0" w:color="auto"/>
          </w:divBdr>
        </w:div>
        <w:div w:id="1490710882">
          <w:marLeft w:val="1166"/>
          <w:marRight w:val="0"/>
          <w:marTop w:val="0"/>
          <w:marBottom w:val="0"/>
          <w:divBdr>
            <w:top w:val="none" w:sz="0" w:space="0" w:color="auto"/>
            <w:left w:val="none" w:sz="0" w:space="0" w:color="auto"/>
            <w:bottom w:val="none" w:sz="0" w:space="0" w:color="auto"/>
            <w:right w:val="none" w:sz="0" w:space="0" w:color="auto"/>
          </w:divBdr>
        </w:div>
        <w:div w:id="212364282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sv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6F108-0227-42E7-BE0B-15C293E0752B}">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4881</Words>
  <Characters>27825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2025-02-07T23:15:00Z</dcterms:created>
  <dcterms:modified xsi:type="dcterms:W3CDTF">2025-02-07T23:15:00Z</dcterms:modified>
</cp:coreProperties>
</file>