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7174A" w14:textId="6BC3FA67" w:rsidR="00B20D0A" w:rsidRPr="00B20D0A" w:rsidRDefault="00B20D0A" w:rsidP="00B20D0A">
      <w:pPr>
        <w:rPr>
          <w:rFonts w:ascii="Arial" w:hAnsi="Arial" w:cs="Arial"/>
          <w:b/>
          <w:bCs/>
          <w:sz w:val="24"/>
          <w:szCs w:val="24"/>
        </w:rPr>
      </w:pPr>
      <w:r w:rsidRPr="00B20D0A">
        <w:rPr>
          <w:rFonts w:ascii="Arial" w:hAnsi="Arial" w:cs="Arial"/>
          <w:b/>
          <w:bCs/>
          <w:sz w:val="24"/>
          <w:szCs w:val="24"/>
        </w:rPr>
        <w:t xml:space="preserve">3GPP TSG-RAN WG4 Meeting # 114                                    </w:t>
      </w:r>
      <w:r w:rsidR="0002575B" w:rsidRPr="0002575B">
        <w:rPr>
          <w:rFonts w:ascii="Arial" w:hAnsi="Arial" w:cs="Arial"/>
          <w:b/>
          <w:bCs/>
          <w:sz w:val="24"/>
          <w:szCs w:val="24"/>
        </w:rPr>
        <w:t>R4-2500866</w:t>
      </w:r>
    </w:p>
    <w:p w14:paraId="1341A0DE" w14:textId="4CF549A0" w:rsidR="0095524F" w:rsidRDefault="00B20D0A" w:rsidP="00B20D0A">
      <w:pPr>
        <w:rPr>
          <w:rFonts w:ascii="Arial" w:hAnsi="Arial" w:cs="Arial"/>
          <w:b/>
          <w:bCs/>
          <w:sz w:val="24"/>
          <w:szCs w:val="24"/>
        </w:rPr>
      </w:pPr>
      <w:r w:rsidRPr="00B20D0A">
        <w:rPr>
          <w:rFonts w:ascii="Arial" w:hAnsi="Arial" w:cs="Arial"/>
          <w:b/>
          <w:bCs/>
          <w:sz w:val="24"/>
          <w:szCs w:val="24"/>
        </w:rPr>
        <w:t>Athens, GR, 17th – 21st February, 2025</w:t>
      </w:r>
    </w:p>
    <w:p w14:paraId="57C5235D" w14:textId="77777777" w:rsidR="0095524F" w:rsidRDefault="0095524F"/>
    <w:p w14:paraId="40EA81E6" w14:textId="45E9C99E" w:rsidR="0095524F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E3CBE">
        <w:rPr>
          <w:rFonts w:ascii="Arial" w:hAnsi="Arial" w:cs="Arial" w:hint="eastAsia"/>
          <w:b/>
          <w:sz w:val="24"/>
          <w:szCs w:val="24"/>
        </w:rPr>
        <w:t>7</w:t>
      </w:r>
      <w:r w:rsidR="00B84F88">
        <w:rPr>
          <w:rFonts w:ascii="Arial" w:hAnsi="Arial" w:cs="Arial" w:hint="eastAsia"/>
          <w:b/>
          <w:sz w:val="24"/>
          <w:szCs w:val="24"/>
        </w:rPr>
        <w:t>.2</w:t>
      </w:r>
      <w:r w:rsidR="00B20D0A">
        <w:rPr>
          <w:rFonts w:ascii="Arial" w:hAnsi="Arial" w:cs="Arial" w:hint="eastAsia"/>
          <w:b/>
          <w:sz w:val="24"/>
          <w:szCs w:val="24"/>
        </w:rPr>
        <w:t>3</w:t>
      </w:r>
      <w:r w:rsidR="00B84F88">
        <w:rPr>
          <w:rFonts w:ascii="Arial" w:hAnsi="Arial" w:cs="Arial" w:hint="eastAsia"/>
          <w:b/>
          <w:sz w:val="24"/>
          <w:szCs w:val="24"/>
        </w:rPr>
        <w:t>.2.1</w:t>
      </w:r>
    </w:p>
    <w:p w14:paraId="7F862998" w14:textId="77777777" w:rsidR="0095524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58F6B2A4" w14:textId="7DD6A9FF" w:rsidR="0095524F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new RF requirement for SBFD</w:t>
      </w:r>
    </w:p>
    <w:p w14:paraId="0B301253" w14:textId="77777777" w:rsidR="0095524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4E3BBE56" w14:textId="77777777" w:rsidR="0095524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501CE52" w14:textId="79164D7F" w:rsidR="0095524F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1154FAE8" w14:textId="1A1900EA" w:rsidR="0095524F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</w:t>
      </w:r>
      <w:r w:rsidR="0006138C">
        <w:rPr>
          <w:rFonts w:ascii="Times New Roman" w:hAnsi="Times New Roman" w:hint="eastAsia"/>
          <w:sz w:val="20"/>
        </w:rPr>
        <w:t>2</w:t>
      </w:r>
      <w:r>
        <w:rPr>
          <w:rFonts w:ascii="Times New Roman" w:hAnsi="Times New Roman" w:hint="eastAsia"/>
          <w:sz w:val="20"/>
        </w:rPr>
        <w:t>]</w:t>
      </w:r>
    </w:p>
    <w:p w14:paraId="042A44F7" w14:textId="77777777" w:rsidR="0095524F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4A4716C" w14:textId="77777777" w:rsidR="0095524F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43AD7F9" w14:textId="78C0202A" w:rsidR="0095524F" w:rsidRDefault="00000000">
      <w:pPr>
        <w:pStyle w:val="3"/>
        <w:spacing w:before="156" w:after="156"/>
      </w:pPr>
      <w:bookmarkStart w:id="0" w:name="_Hlk189498289"/>
      <w:r>
        <w:rPr>
          <w:rFonts w:hint="eastAsia"/>
        </w:rPr>
        <w:t>2.</w:t>
      </w:r>
      <w:r w:rsidR="00C8091E">
        <w:rPr>
          <w:rFonts w:hint="eastAsia"/>
        </w:rPr>
        <w:t>1</w:t>
      </w:r>
      <w:r>
        <w:rPr>
          <w:rFonts w:hint="eastAsia"/>
        </w:rPr>
        <w:t xml:space="preserve"> </w:t>
      </w:r>
      <w:r w:rsidR="00B20D0A" w:rsidRPr="00B20D0A">
        <w:t>Location of transient period between SBFD and non-SBFD</w:t>
      </w:r>
    </w:p>
    <w:bookmarkEnd w:id="0"/>
    <w:p w14:paraId="19F10E83" w14:textId="508D894D" w:rsidR="00D4777B" w:rsidRDefault="00D4777B" w:rsidP="00D4777B">
      <w:pPr>
        <w:spacing w:after="120"/>
        <w:rPr>
          <w:rFonts w:ascii="Times New Roman" w:hAnsi="Times New Roman"/>
          <w:sz w:val="20"/>
          <w:szCs w:val="20"/>
        </w:rPr>
      </w:pPr>
      <w:r w:rsidRPr="00D4777B">
        <w:rPr>
          <w:rFonts w:ascii="Times New Roman" w:hAnsi="Times New Roman"/>
          <w:sz w:val="20"/>
          <w:szCs w:val="20"/>
        </w:rPr>
        <w:t xml:space="preserve">Although there will be a transition phase between slots designated for SBFD operations and those not designated for SBFD, it was agreed that there is no necessity to define a transmitter transition period requirement for different configurations of SBFD. The unresolved issue now is to ascertain the placement of the transition period. Our </w:t>
      </w:r>
      <w:r>
        <w:rPr>
          <w:rFonts w:ascii="Times New Roman" w:hAnsi="Times New Roman" w:hint="eastAsia"/>
          <w:sz w:val="20"/>
          <w:szCs w:val="20"/>
        </w:rPr>
        <w:t>opinion</w:t>
      </w:r>
      <w:r w:rsidRPr="00D4777B">
        <w:rPr>
          <w:rFonts w:ascii="Times New Roman" w:hAnsi="Times New Roman"/>
          <w:sz w:val="20"/>
          <w:szCs w:val="20"/>
        </w:rPr>
        <w:t xml:space="preserve"> is to designate the SBFD slot to handle the transition period, allowing for the necessary rearrangement of RF resources, thereby preserving the integrity of the TDD slot.</w:t>
      </w:r>
    </w:p>
    <w:p w14:paraId="094C9F37" w14:textId="072AB997" w:rsidR="00D4777B" w:rsidRDefault="0073586A" w:rsidP="00D4777B">
      <w:pPr>
        <w:spacing w:after="120"/>
        <w:rPr>
          <w:rFonts w:ascii="Times New Roman" w:hAnsi="Times New Roman"/>
          <w:b/>
          <w:bCs/>
          <w:sz w:val="20"/>
          <w:szCs w:val="20"/>
        </w:rPr>
      </w:pPr>
      <w:r w:rsidRPr="0073586A">
        <w:rPr>
          <w:rFonts w:ascii="Times New Roman" w:hAnsi="Times New Roman" w:hint="eastAsia"/>
          <w:b/>
          <w:bCs/>
          <w:sz w:val="20"/>
          <w:szCs w:val="20"/>
        </w:rPr>
        <w:t>Proposal 1: T</w:t>
      </w:r>
      <w:r w:rsidRPr="0073586A">
        <w:rPr>
          <w:rFonts w:ascii="Times New Roman" w:hAnsi="Times New Roman"/>
          <w:b/>
          <w:bCs/>
          <w:sz w:val="20"/>
          <w:szCs w:val="20"/>
        </w:rPr>
        <w:t>ransmitter transient period shall be located within the SBFD symbol</w:t>
      </w:r>
      <w:r w:rsidRPr="0073586A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650090A6" w14:textId="2D911E19" w:rsidR="0073586A" w:rsidRPr="0073586A" w:rsidRDefault="0073586A" w:rsidP="0073586A">
      <w:pPr>
        <w:pStyle w:val="3"/>
        <w:spacing w:before="156" w:after="156"/>
      </w:pPr>
      <w:r>
        <w:rPr>
          <w:rFonts w:hint="eastAsia"/>
        </w:rPr>
        <w:t>2.2 I</w:t>
      </w:r>
      <w:r w:rsidRPr="0073586A">
        <w:t xml:space="preserve">n-channel adjacent </w:t>
      </w:r>
      <w:proofErr w:type="spellStart"/>
      <w:r w:rsidRPr="0073586A">
        <w:t>subband</w:t>
      </w:r>
      <w:proofErr w:type="spellEnd"/>
      <w:r w:rsidRPr="0073586A">
        <w:t xml:space="preserve"> leakage ratio requirements</w:t>
      </w:r>
    </w:p>
    <w:p w14:paraId="407C5E8C" w14:textId="29FE24DC" w:rsidR="0095524F" w:rsidRDefault="0073586A">
      <w:pPr>
        <w:rPr>
          <w:rFonts w:ascii="Times New Roman" w:hAnsi="Times New Roman"/>
          <w:sz w:val="20"/>
          <w:szCs w:val="20"/>
        </w:rPr>
      </w:pPr>
      <w:r w:rsidRPr="0073586A">
        <w:rPr>
          <w:rFonts w:ascii="Times New Roman" w:hAnsi="Times New Roman"/>
          <w:sz w:val="20"/>
          <w:szCs w:val="20"/>
        </w:rPr>
        <w:t>In last meeting, agreements are listed as below</w:t>
      </w:r>
      <w:r>
        <w:rPr>
          <w:rFonts w:ascii="Times New Roman" w:hAnsi="Times New Roman" w:hint="eastAsia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524F" w14:paraId="10F576B4" w14:textId="77777777">
        <w:tc>
          <w:tcPr>
            <w:tcW w:w="9962" w:type="dxa"/>
          </w:tcPr>
          <w:p w14:paraId="1C9F3212" w14:textId="77777777" w:rsidR="0073586A" w:rsidRPr="0073586A" w:rsidRDefault="0073586A" w:rsidP="0073586A">
            <w:pPr>
              <w:spacing w:after="120" w:line="259" w:lineRule="auto"/>
              <w:rPr>
                <w:rFonts w:ascii="Times New Roman" w:hAnsi="Times New Roman"/>
              </w:rPr>
            </w:pPr>
            <w:r w:rsidRPr="0073586A">
              <w:rPr>
                <w:rFonts w:ascii="Times New Roman" w:hAnsi="Times New Roman"/>
                <w:highlight w:val="green"/>
              </w:rPr>
              <w:t xml:space="preserve">Agreement: </w:t>
            </w:r>
          </w:p>
          <w:p w14:paraId="2250A8E5" w14:textId="77777777" w:rsidR="0073586A" w:rsidRPr="0073586A" w:rsidRDefault="0073586A" w:rsidP="0073586A">
            <w:pPr>
              <w:pStyle w:val="af6"/>
              <w:widowControl/>
              <w:numPr>
                <w:ilvl w:val="0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73586A">
              <w:rPr>
                <w:rFonts w:ascii="Times New Roman" w:eastAsiaTheme="minorEastAsia" w:hAnsi="Times New Roman"/>
                <w:lang w:val="en-US" w:eastAsia="zh-CN"/>
              </w:rPr>
              <w:t xml:space="preserve">New requirement for in-channel adjacent </w:t>
            </w:r>
            <w:proofErr w:type="spellStart"/>
            <w:r w:rsidRPr="0073586A">
              <w:rPr>
                <w:rFonts w:ascii="Times New Roman" w:eastAsiaTheme="minorEastAsia" w:hAnsi="Times New Roman"/>
                <w:lang w:val="en-US" w:eastAsia="zh-CN"/>
              </w:rPr>
              <w:t>subband</w:t>
            </w:r>
            <w:proofErr w:type="spellEnd"/>
            <w:r w:rsidRPr="0073586A">
              <w:rPr>
                <w:rFonts w:ascii="Times New Roman" w:eastAsiaTheme="minorEastAsia" w:hAnsi="Times New Roman"/>
                <w:lang w:val="en-US" w:eastAsia="zh-CN"/>
              </w:rPr>
              <w:t xml:space="preserve"> leakage ratio should be defined</w:t>
            </w:r>
          </w:p>
          <w:p w14:paraId="7E43FAB2" w14:textId="14688585" w:rsidR="0095524F" w:rsidRPr="0073586A" w:rsidRDefault="0073586A" w:rsidP="0073586A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eastAsiaTheme="minorEastAsia"/>
                <w:lang w:val="en-US" w:eastAsia="zh-CN"/>
              </w:rPr>
            </w:pPr>
            <w:r w:rsidRPr="0073586A">
              <w:rPr>
                <w:rFonts w:ascii="Times New Roman" w:eastAsiaTheme="minorEastAsia" w:hAnsi="Times New Roman"/>
                <w:lang w:val="en-US" w:eastAsia="zh-CN"/>
              </w:rPr>
              <w:t>FFS whether the requirement can be defined similar to the ACLR requirement and use existing ACLR requirement as baseline.</w:t>
            </w:r>
          </w:p>
        </w:tc>
      </w:tr>
    </w:tbl>
    <w:p w14:paraId="33D78A91" w14:textId="77777777" w:rsidR="0095524F" w:rsidRDefault="0095524F">
      <w:pPr>
        <w:spacing w:after="120"/>
        <w:rPr>
          <w:rFonts w:ascii="Times New Roman" w:hAnsi="Times New Roman"/>
          <w:sz w:val="20"/>
          <w:szCs w:val="20"/>
        </w:rPr>
      </w:pPr>
    </w:p>
    <w:p w14:paraId="2C6B8256" w14:textId="6917B4C0" w:rsidR="0095524F" w:rsidRDefault="00912622">
      <w:pPr>
        <w:spacing w:beforeLines="50" w:before="156"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co-exist with legacy NR network, interference may still occur even with infinitely increased SBFD performance. But when co-exist with SBFD of different configuration, interference could be avoided by increased SBFD performance. So before defining sub-band Tx leakage when falling into adjacent carrier, we should identify the assumption of adjacent </w:t>
      </w:r>
      <w:r>
        <w:rPr>
          <w:rFonts w:ascii="Times New Roman" w:hAnsi="Times New Roman" w:hint="eastAsia"/>
          <w:sz w:val="20"/>
          <w:szCs w:val="20"/>
        </w:rPr>
        <w:lastRenderedPageBreak/>
        <w:t>network performance, i.e. with legacy 3GPP requirement or with enhanced requirements.</w:t>
      </w:r>
    </w:p>
    <w:p w14:paraId="3373EACB" w14:textId="43ED6AA8" w:rsidR="0095524F" w:rsidRDefault="0099619D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99619D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>I</w:t>
      </w:r>
      <w:r w:rsidR="00912622" w:rsidRPr="00912622">
        <w:rPr>
          <w:rFonts w:ascii="Times New Roman" w:hAnsi="Times New Roman"/>
          <w:b/>
          <w:bCs/>
          <w:sz w:val="20"/>
          <w:szCs w:val="20"/>
        </w:rPr>
        <w:t>dentify the assumption of adjacent network performance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 xml:space="preserve"> before defining </w:t>
      </w:r>
      <w:r w:rsidR="00912622" w:rsidRPr="00912622">
        <w:rPr>
          <w:rFonts w:ascii="Times New Roman" w:hAnsi="Times New Roman"/>
          <w:b/>
          <w:bCs/>
          <w:sz w:val="20"/>
          <w:szCs w:val="20"/>
        </w:rPr>
        <w:t>sub-band Tx leakage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4F02AAE4" w14:textId="212458E9" w:rsidR="00912622" w:rsidRDefault="00912622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3: </w:t>
      </w:r>
      <w:r w:rsidR="00B05FE7">
        <w:rPr>
          <w:rFonts w:ascii="Times New Roman" w:hAnsi="Times New Roman" w:hint="eastAsia"/>
          <w:b/>
          <w:bCs/>
          <w:sz w:val="20"/>
          <w:szCs w:val="20"/>
        </w:rPr>
        <w:t>Legacy ACLR requirements could be used as starting point.</w:t>
      </w:r>
    </w:p>
    <w:p w14:paraId="082E9262" w14:textId="77777777" w:rsidR="0095524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7DB274DE" w14:textId="77777777" w:rsidR="0095524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71DECCA2" w14:textId="33CC3BF6" w:rsidR="00B05FE7" w:rsidRPr="00B05FE7" w:rsidRDefault="00B05FE7" w:rsidP="00B05FE7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B05FE7">
        <w:rPr>
          <w:rFonts w:ascii="Times New Roman" w:hAnsi="Times New Roman"/>
          <w:b/>
          <w:bCs/>
          <w:sz w:val="20"/>
          <w:szCs w:val="20"/>
        </w:rPr>
        <w:t>Proposal 1: Transmitter transient period shall be located within the SBFD symbol.</w:t>
      </w:r>
    </w:p>
    <w:p w14:paraId="117510FB" w14:textId="77777777" w:rsidR="00B05FE7" w:rsidRPr="00B05FE7" w:rsidRDefault="00B05FE7" w:rsidP="00B05FE7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B05FE7">
        <w:rPr>
          <w:rFonts w:ascii="Times New Roman" w:hAnsi="Times New Roman"/>
          <w:b/>
          <w:bCs/>
          <w:sz w:val="20"/>
          <w:szCs w:val="20"/>
        </w:rPr>
        <w:t>Proposal 2: Identify the assumption of adjacent network performance before defining sub-band Tx leakage.</w:t>
      </w:r>
    </w:p>
    <w:p w14:paraId="066711F1" w14:textId="53192CF2" w:rsidR="0095524F" w:rsidRDefault="00B05FE7" w:rsidP="00B05FE7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B05FE7">
        <w:rPr>
          <w:rFonts w:ascii="Times New Roman" w:hAnsi="Times New Roman"/>
          <w:b/>
          <w:bCs/>
          <w:sz w:val="20"/>
          <w:szCs w:val="20"/>
        </w:rPr>
        <w:t>Proposal 3: Legacy ACLR requirements could be used as starting point.</w:t>
      </w:r>
    </w:p>
    <w:p w14:paraId="3B27F928" w14:textId="77777777" w:rsidR="0095524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91E4879" w14:textId="532FE18B" w:rsidR="0095524F" w:rsidRDefault="00000000" w:rsidP="003F12B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[1] TR 38.858</w:t>
      </w:r>
    </w:p>
    <w:p w14:paraId="0090A064" w14:textId="326C440D" w:rsidR="0099619D" w:rsidRDefault="00EC5C5E" w:rsidP="003F12B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C5C5E">
        <w:rPr>
          <w:rFonts w:ascii="Times New Roman" w:hAnsi="Times New Roman"/>
          <w:sz w:val="20"/>
          <w:szCs w:val="20"/>
        </w:rPr>
        <w:t>[1] R4-241</w:t>
      </w:r>
      <w:r w:rsidR="00B05FE7">
        <w:rPr>
          <w:rFonts w:ascii="Times New Roman" w:hAnsi="Times New Roman" w:hint="eastAsia"/>
          <w:sz w:val="20"/>
          <w:szCs w:val="20"/>
        </w:rPr>
        <w:t>9907</w:t>
      </w:r>
      <w:r w:rsidRPr="00EC5C5E">
        <w:rPr>
          <w:rFonts w:ascii="Times New Roman" w:hAnsi="Times New Roman"/>
          <w:sz w:val="20"/>
          <w:szCs w:val="20"/>
        </w:rPr>
        <w:t xml:space="preserve">, </w:t>
      </w:r>
      <w:r w:rsidR="00B05FE7" w:rsidRPr="00B05FE7">
        <w:rPr>
          <w:rFonts w:ascii="Times New Roman" w:hAnsi="Times New Roman"/>
          <w:sz w:val="20"/>
          <w:szCs w:val="20"/>
        </w:rPr>
        <w:t xml:space="preserve">Way Forward for [113][306] </w:t>
      </w:r>
      <w:proofErr w:type="spellStart"/>
      <w:r w:rsidR="00B05FE7" w:rsidRPr="00B05FE7">
        <w:rPr>
          <w:rFonts w:ascii="Times New Roman" w:hAnsi="Times New Roman"/>
          <w:sz w:val="20"/>
          <w:szCs w:val="20"/>
        </w:rPr>
        <w:t>NR_duplex_evo_General</w:t>
      </w:r>
      <w:proofErr w:type="spellEnd"/>
    </w:p>
    <w:sectPr w:rsidR="0099619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0A39" w14:textId="77777777" w:rsidR="00B20ABB" w:rsidRDefault="00B20ABB">
      <w:r>
        <w:separator/>
      </w:r>
    </w:p>
  </w:endnote>
  <w:endnote w:type="continuationSeparator" w:id="0">
    <w:p w14:paraId="0B47F972" w14:textId="77777777" w:rsidR="00B20ABB" w:rsidRDefault="00B2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F115" w14:textId="77777777" w:rsidR="00B20ABB" w:rsidRDefault="00B20ABB">
      <w:r>
        <w:separator/>
      </w:r>
    </w:p>
  </w:footnote>
  <w:footnote w:type="continuationSeparator" w:id="0">
    <w:p w14:paraId="65E9E044" w14:textId="77777777" w:rsidR="00B20ABB" w:rsidRDefault="00B20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37A6" w14:textId="77777777" w:rsidR="0095524F" w:rsidRDefault="0095524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5812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846433959">
    <w:abstractNumId w:val="0"/>
  </w:num>
  <w:num w:numId="2" w16cid:durableId="158683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75B"/>
    <w:rsid w:val="00025E8F"/>
    <w:rsid w:val="00026146"/>
    <w:rsid w:val="00026563"/>
    <w:rsid w:val="00027F7A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138C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1BAF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ADC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84F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A7F41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2BF"/>
    <w:rsid w:val="003F1C84"/>
    <w:rsid w:val="003F2035"/>
    <w:rsid w:val="003F2587"/>
    <w:rsid w:val="003F25E2"/>
    <w:rsid w:val="003F41C1"/>
    <w:rsid w:val="003F42A4"/>
    <w:rsid w:val="003F51E3"/>
    <w:rsid w:val="003F560A"/>
    <w:rsid w:val="003F7F29"/>
    <w:rsid w:val="004017E5"/>
    <w:rsid w:val="00403783"/>
    <w:rsid w:val="00403E79"/>
    <w:rsid w:val="0040406D"/>
    <w:rsid w:val="00405536"/>
    <w:rsid w:val="00405B19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321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60A6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395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1F83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586A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1CC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00C5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2EA8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07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3CBE"/>
    <w:rsid w:val="008E4462"/>
    <w:rsid w:val="008E6B18"/>
    <w:rsid w:val="008E7511"/>
    <w:rsid w:val="008E77DA"/>
    <w:rsid w:val="008E7A25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2622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36BF3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4F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19D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0E4E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1ED"/>
    <w:rsid w:val="00A764CF"/>
    <w:rsid w:val="00A776C7"/>
    <w:rsid w:val="00A803F2"/>
    <w:rsid w:val="00A8105F"/>
    <w:rsid w:val="00A84352"/>
    <w:rsid w:val="00A843CB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DE6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5FB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E0A"/>
    <w:rsid w:val="00B01F4E"/>
    <w:rsid w:val="00B025A1"/>
    <w:rsid w:val="00B02AC8"/>
    <w:rsid w:val="00B02E1E"/>
    <w:rsid w:val="00B03AE4"/>
    <w:rsid w:val="00B040A1"/>
    <w:rsid w:val="00B0421D"/>
    <w:rsid w:val="00B058A5"/>
    <w:rsid w:val="00B05BDE"/>
    <w:rsid w:val="00B05EB4"/>
    <w:rsid w:val="00B05FE7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0ABB"/>
    <w:rsid w:val="00B20D0A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4F8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256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91E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3EF2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1B55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5A"/>
    <w:rsid w:val="00D445C8"/>
    <w:rsid w:val="00D44E79"/>
    <w:rsid w:val="00D45839"/>
    <w:rsid w:val="00D4614A"/>
    <w:rsid w:val="00D47084"/>
    <w:rsid w:val="00D474C1"/>
    <w:rsid w:val="00D4777B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0D8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3351"/>
    <w:rsid w:val="00EC4D82"/>
    <w:rsid w:val="00EC508A"/>
    <w:rsid w:val="00EC50F1"/>
    <w:rsid w:val="00EC5B92"/>
    <w:rsid w:val="00EC5C5E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1F5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350710"/>
    <w:rsid w:val="156354FD"/>
    <w:rsid w:val="15724A4B"/>
    <w:rsid w:val="157A51BC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E9C0F87"/>
    <w:rsid w:val="2EB8044F"/>
    <w:rsid w:val="2EC16B9C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21027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5001A7"/>
    <w:rsid w:val="3D55441E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37A44"/>
    <w:rsid w:val="44B454C5"/>
    <w:rsid w:val="44C125DD"/>
    <w:rsid w:val="44DD6689"/>
    <w:rsid w:val="44E7774D"/>
    <w:rsid w:val="45127C50"/>
    <w:rsid w:val="4524487F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E2567D"/>
    <w:rsid w:val="47F00216"/>
    <w:rsid w:val="48FF25D1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AC7D1A"/>
    <w:rsid w:val="5CCF11D3"/>
    <w:rsid w:val="5D1154C0"/>
    <w:rsid w:val="5D4A309B"/>
    <w:rsid w:val="5D7F7CF2"/>
    <w:rsid w:val="5D851C35"/>
    <w:rsid w:val="5E1A7EF1"/>
    <w:rsid w:val="5E2A018B"/>
    <w:rsid w:val="5E3A1833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DEF708E"/>
    <w:rsid w:val="7E4C3A0F"/>
    <w:rsid w:val="7E4C3A98"/>
    <w:rsid w:val="7E9A0203"/>
    <w:rsid w:val="7E9E07CB"/>
    <w:rsid w:val="7EA426D4"/>
    <w:rsid w:val="7EDD5D31"/>
    <w:rsid w:val="7EFD70B3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7992D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197</cp:revision>
  <dcterms:created xsi:type="dcterms:W3CDTF">2022-04-25T02:55:00Z</dcterms:created>
  <dcterms:modified xsi:type="dcterms:W3CDTF">2025-02-07T10:06:00Z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