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02942" w14:textId="26CF226B" w:rsidR="00620745" w:rsidRPr="00620745" w:rsidRDefault="00620745" w:rsidP="00620745">
      <w:pPr>
        <w:tabs>
          <w:tab w:val="left" w:pos="1980"/>
        </w:tabs>
        <w:spacing w:after="180"/>
        <w:ind w:left="1980" w:hanging="1980"/>
        <w:rPr>
          <w:rFonts w:ascii="Arial" w:hAnsi="Arial" w:cs="Arial"/>
          <w:b/>
          <w:noProof/>
          <w:kern w:val="0"/>
          <w:sz w:val="24"/>
          <w:szCs w:val="24"/>
          <w:lang w:eastAsia="ja-JP"/>
        </w:rPr>
      </w:pPr>
      <w:r w:rsidRPr="00620745">
        <w:rPr>
          <w:rFonts w:ascii="Arial" w:hAnsi="Arial" w:cs="Arial"/>
          <w:b/>
          <w:noProof/>
          <w:kern w:val="0"/>
          <w:sz w:val="24"/>
          <w:szCs w:val="24"/>
          <w:lang w:eastAsia="ja-JP"/>
        </w:rPr>
        <w:t>3GPP TSG-RAN WG4 Meeting #114</w:t>
      </w:r>
      <w:r w:rsidRPr="00620745">
        <w:rPr>
          <w:rFonts w:ascii="Arial" w:hAnsi="Arial" w:cs="Arial"/>
          <w:b/>
          <w:noProof/>
          <w:kern w:val="0"/>
          <w:sz w:val="24"/>
          <w:szCs w:val="24"/>
          <w:lang w:eastAsia="ja-JP"/>
        </w:rPr>
        <w:tab/>
      </w:r>
      <w:r w:rsidRPr="00620745">
        <w:rPr>
          <w:rFonts w:ascii="Arial" w:hAnsi="Arial" w:cs="Arial"/>
          <w:b/>
          <w:noProof/>
          <w:kern w:val="0"/>
          <w:sz w:val="24"/>
          <w:szCs w:val="24"/>
          <w:lang w:eastAsia="ja-JP"/>
        </w:rPr>
        <w:tab/>
      </w:r>
      <w:r w:rsidRPr="00620745">
        <w:rPr>
          <w:rFonts w:ascii="Arial" w:hAnsi="Arial" w:cs="Arial"/>
          <w:b/>
          <w:noProof/>
          <w:kern w:val="0"/>
          <w:sz w:val="24"/>
          <w:szCs w:val="24"/>
          <w:lang w:eastAsia="ja-JP"/>
        </w:rPr>
        <w:tab/>
      </w:r>
      <w:r w:rsidRPr="00620745">
        <w:rPr>
          <w:rFonts w:ascii="Arial" w:hAnsi="Arial" w:cs="Arial"/>
          <w:b/>
          <w:noProof/>
          <w:kern w:val="0"/>
          <w:sz w:val="24"/>
          <w:szCs w:val="24"/>
          <w:lang w:eastAsia="ja-JP"/>
        </w:rPr>
        <w:tab/>
      </w:r>
      <w:r>
        <w:rPr>
          <w:rFonts w:ascii="Arial" w:hAnsi="Arial" w:cs="Arial" w:hint="eastAsia"/>
          <w:b/>
          <w:noProof/>
          <w:kern w:val="0"/>
          <w:sz w:val="24"/>
          <w:szCs w:val="24"/>
        </w:rPr>
        <w:t xml:space="preserve">                                         </w:t>
      </w:r>
      <w:r w:rsidR="00670AD1" w:rsidRPr="00670AD1">
        <w:rPr>
          <w:rFonts w:ascii="Arial" w:hAnsi="Arial" w:cs="Arial"/>
          <w:b/>
          <w:noProof/>
          <w:kern w:val="0"/>
          <w:sz w:val="24"/>
          <w:szCs w:val="24"/>
          <w:lang w:eastAsia="ja-JP"/>
        </w:rPr>
        <w:t>R4-2500859</w:t>
      </w:r>
    </w:p>
    <w:p w14:paraId="5E7B7F57" w14:textId="05DBC762" w:rsidR="00CE33F4" w:rsidRDefault="00620745" w:rsidP="00620745">
      <w:pPr>
        <w:tabs>
          <w:tab w:val="left" w:pos="1980"/>
        </w:tabs>
        <w:spacing w:after="180"/>
        <w:ind w:left="1980" w:hanging="1980"/>
        <w:rPr>
          <w:rFonts w:ascii="Arial" w:hAnsi="Arial" w:cs="Arial"/>
          <w:b/>
          <w:noProof/>
          <w:kern w:val="0"/>
          <w:sz w:val="24"/>
          <w:szCs w:val="24"/>
          <w:lang w:eastAsia="ja-JP"/>
        </w:rPr>
      </w:pPr>
      <w:r w:rsidRPr="00620745">
        <w:rPr>
          <w:rFonts w:ascii="Arial" w:hAnsi="Arial" w:cs="Arial"/>
          <w:b/>
          <w:noProof/>
          <w:kern w:val="0"/>
          <w:sz w:val="24"/>
          <w:szCs w:val="24"/>
          <w:lang w:eastAsia="ja-JP"/>
        </w:rPr>
        <w:t>Athens, GR, 17th – 21st February, 2025</w:t>
      </w:r>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75F8170F" w:rsidR="00BA60BF" w:rsidRPr="009B7765"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F2DF0">
        <w:rPr>
          <w:rFonts w:ascii="Arial" w:eastAsiaTheme="minorEastAsia" w:hAnsi="Arial" w:cs="Arial" w:hint="eastAsia"/>
          <w:b/>
          <w:sz w:val="24"/>
          <w:szCs w:val="24"/>
        </w:rPr>
        <w:t>7</w:t>
      </w:r>
      <w:r w:rsidR="009B7765">
        <w:rPr>
          <w:rFonts w:ascii="Arial" w:eastAsiaTheme="minorEastAsia" w:hAnsi="Arial" w:cs="Arial" w:hint="eastAsia"/>
          <w:b/>
          <w:sz w:val="24"/>
          <w:szCs w:val="24"/>
        </w:rPr>
        <w:t>.1</w:t>
      </w:r>
      <w:r w:rsidR="00AF22A5">
        <w:rPr>
          <w:rFonts w:ascii="Arial" w:eastAsiaTheme="minorEastAsia" w:hAnsi="Arial" w:cs="Arial" w:hint="eastAsia"/>
          <w:b/>
          <w:sz w:val="24"/>
          <w:szCs w:val="24"/>
        </w:rPr>
        <w:t>2</w:t>
      </w:r>
      <w:r w:rsidR="009B7765">
        <w:rPr>
          <w:rFonts w:ascii="Arial" w:eastAsiaTheme="minorEastAsia" w:hAnsi="Arial" w:cs="Arial" w:hint="eastAsia"/>
          <w:b/>
          <w:sz w:val="24"/>
          <w:szCs w:val="24"/>
        </w:rPr>
        <w:t>.</w:t>
      </w:r>
      <w:r w:rsidR="00670AD1">
        <w:rPr>
          <w:rFonts w:ascii="Arial" w:eastAsiaTheme="minorEastAsia" w:hAnsi="Arial" w:cs="Arial" w:hint="eastAsia"/>
          <w:b/>
          <w:sz w:val="24"/>
          <w:szCs w:val="24"/>
        </w:rPr>
        <w:t>1</w:t>
      </w:r>
      <w:r w:rsidR="009B7765">
        <w:rPr>
          <w:rFonts w:ascii="Arial" w:eastAsiaTheme="minorEastAsia" w:hAnsi="Arial" w:cs="Arial" w:hint="eastAsia"/>
          <w:b/>
          <w:sz w:val="24"/>
          <w:szCs w:val="24"/>
        </w:rPr>
        <w:t>.</w:t>
      </w:r>
      <w:r w:rsidR="00670AD1">
        <w:rPr>
          <w:rFonts w:ascii="Arial" w:eastAsiaTheme="minorEastAsia" w:hAnsi="Arial" w:cs="Arial" w:hint="eastAsia"/>
          <w:b/>
          <w:sz w:val="24"/>
          <w:szCs w:val="24"/>
        </w:rPr>
        <w:t>2</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7A90E21B" w:rsidR="00BA60BF" w:rsidRPr="00F562F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562F6" w:rsidRPr="00F562F6">
        <w:rPr>
          <w:rFonts w:ascii="Arial" w:eastAsia="MS Mincho" w:hAnsi="Arial" w:cs="Arial"/>
          <w:b/>
          <w:sz w:val="24"/>
          <w:szCs w:val="24"/>
          <w:lang w:eastAsia="en-US"/>
        </w:rPr>
        <w:t xml:space="preserve">Discussion on UE RF requirements for ATG with </w:t>
      </w:r>
      <w:r w:rsidR="00F562F6">
        <w:rPr>
          <w:rFonts w:ascii="Arial" w:eastAsiaTheme="minorEastAsia" w:hAnsi="Arial" w:cs="Arial" w:hint="eastAsia"/>
          <w:b/>
          <w:sz w:val="24"/>
          <w:szCs w:val="24"/>
        </w:rPr>
        <w:t>UL-MIMO</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762132E" w:rsidR="00BA60BF" w:rsidRPr="00C444FC" w:rsidRDefault="00346827" w:rsidP="00C444FC">
      <w:pPr>
        <w:rPr>
          <w:rFonts w:ascii="Times New Roman" w:hAnsi="Times New Roman"/>
          <w:sz w:val="20"/>
          <w:szCs w:val="21"/>
        </w:rPr>
      </w:pPr>
      <w:r w:rsidRPr="00346827">
        <w:rPr>
          <w:rFonts w:ascii="Times New Roman" w:hAnsi="Times New Roman"/>
          <w:sz w:val="20"/>
          <w:szCs w:val="21"/>
        </w:rPr>
        <w:t>RAN#10</w:t>
      </w:r>
      <w:r w:rsidR="00620745">
        <w:rPr>
          <w:rFonts w:ascii="Times New Roman" w:hAnsi="Times New Roman" w:hint="eastAsia"/>
          <w:sz w:val="20"/>
          <w:szCs w:val="21"/>
        </w:rPr>
        <w:t>6</w:t>
      </w:r>
      <w:r w:rsidRPr="00346827">
        <w:rPr>
          <w:rFonts w:ascii="Times New Roman" w:hAnsi="Times New Roman"/>
          <w:sz w:val="20"/>
          <w:szCs w:val="21"/>
        </w:rPr>
        <w:t xml:space="preserve"> meeting approved revised WID on Enhancements for Air-to-ground network for NR in Rel-19 [1]. After discussions of several meetings, we have made good progress on ATG </w:t>
      </w:r>
      <w:r>
        <w:rPr>
          <w:rFonts w:ascii="Times New Roman" w:hAnsi="Times New Roman" w:hint="eastAsia"/>
          <w:sz w:val="20"/>
          <w:szCs w:val="21"/>
        </w:rPr>
        <w:t>with UL-MIMO</w:t>
      </w:r>
      <w:r w:rsidRPr="00346827">
        <w:rPr>
          <w:rFonts w:ascii="Times New Roman" w:hAnsi="Times New Roman"/>
          <w:sz w:val="20"/>
          <w:szCs w:val="21"/>
        </w:rPr>
        <w:t>. This paper will focus on the remaining issues.</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927EE73" w14:textId="2DFB042B" w:rsidR="00866A57" w:rsidRDefault="00866A57" w:rsidP="00866A57">
      <w:pPr>
        <w:widowControl/>
        <w:spacing w:after="180"/>
        <w:jc w:val="left"/>
        <w:rPr>
          <w:rFonts w:ascii="Arial" w:hAnsi="Arial" w:cs="Arial"/>
          <w:sz w:val="28"/>
          <w:szCs w:val="28"/>
        </w:rPr>
      </w:pPr>
      <w:r>
        <w:rPr>
          <w:rFonts w:ascii="Arial" w:hAnsi="Arial" w:cs="Arial" w:hint="eastAsia"/>
          <w:sz w:val="28"/>
          <w:szCs w:val="28"/>
        </w:rPr>
        <w:t>2.</w:t>
      </w:r>
      <w:r w:rsidR="00C16B79">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proofErr w:type="spellStart"/>
      <w:r w:rsidR="003D3992" w:rsidRPr="003D3992">
        <w:rPr>
          <w:rFonts w:ascii="Arial" w:hAnsi="Arial" w:cs="Arial"/>
          <w:sz w:val="28"/>
          <w:szCs w:val="28"/>
        </w:rPr>
        <w:t>ULFPTx</w:t>
      </w:r>
      <w:proofErr w:type="spellEnd"/>
      <w:r w:rsidR="003D3992" w:rsidRPr="003D3992">
        <w:rPr>
          <w:rFonts w:ascii="Arial" w:hAnsi="Arial" w:cs="Arial"/>
          <w:sz w:val="28"/>
          <w:szCs w:val="28"/>
        </w:rPr>
        <w:t xml:space="preserve"> mode for UL-MIMO</w:t>
      </w:r>
    </w:p>
    <w:tbl>
      <w:tblPr>
        <w:tblStyle w:val="af3"/>
        <w:tblW w:w="0" w:type="auto"/>
        <w:tblLook w:val="04A0" w:firstRow="1" w:lastRow="0" w:firstColumn="1" w:lastColumn="0" w:noHBand="0" w:noVBand="1"/>
      </w:tblPr>
      <w:tblGrid>
        <w:gridCol w:w="9962"/>
      </w:tblGrid>
      <w:tr w:rsidR="00373BE2" w14:paraId="53E44CC4" w14:textId="77777777" w:rsidTr="00373BE2">
        <w:tc>
          <w:tcPr>
            <w:tcW w:w="9962" w:type="dxa"/>
          </w:tcPr>
          <w:p w14:paraId="1196D9E2" w14:textId="77777777" w:rsidR="00BA46EE" w:rsidRPr="00BA46EE" w:rsidRDefault="00BA46EE" w:rsidP="00BA46EE">
            <w:pPr>
              <w:rPr>
                <w:rFonts w:ascii="Times New Roman" w:hAnsi="Times New Roman"/>
                <w:b/>
                <w:color w:val="0070C0"/>
                <w:kern w:val="0"/>
                <w:sz w:val="20"/>
                <w:szCs w:val="20"/>
                <w:u w:val="single"/>
                <w:lang w:val="en-US" w:eastAsia="zh-CN"/>
              </w:rPr>
            </w:pPr>
            <w:r w:rsidRPr="00BA46EE">
              <w:rPr>
                <w:rFonts w:ascii="Times New Roman" w:hAnsi="Times New Roman"/>
                <w:b/>
                <w:color w:val="0070C0"/>
                <w:u w:val="single"/>
                <w:lang w:val="en-US" w:eastAsia="zh-CN"/>
              </w:rPr>
              <w:t xml:space="preserve">Issue 4-2: </w:t>
            </w:r>
            <w:proofErr w:type="spellStart"/>
            <w:r w:rsidRPr="00BA46EE">
              <w:rPr>
                <w:rFonts w:ascii="Times New Roman" w:hAnsi="Times New Roman"/>
                <w:b/>
                <w:color w:val="0070C0"/>
                <w:u w:val="single"/>
                <w:lang w:val="en-US" w:eastAsia="zh-CN"/>
              </w:rPr>
              <w:t>ULFPTx</w:t>
            </w:r>
            <w:proofErr w:type="spellEnd"/>
            <w:r w:rsidRPr="00BA46EE">
              <w:rPr>
                <w:rFonts w:ascii="Times New Roman" w:hAnsi="Times New Roman"/>
                <w:b/>
                <w:color w:val="0070C0"/>
                <w:u w:val="single"/>
                <w:lang w:val="en-US" w:eastAsia="zh-CN"/>
              </w:rPr>
              <w:t xml:space="preserve"> mode for UL-MIMO</w:t>
            </w:r>
          </w:p>
          <w:p w14:paraId="63317017" w14:textId="77777777" w:rsidR="00BA46EE" w:rsidRPr="00BA46EE" w:rsidRDefault="00BA46EE" w:rsidP="00BA46EE">
            <w:pPr>
              <w:spacing w:after="120"/>
              <w:rPr>
                <w:rFonts w:ascii="Times New Roman" w:eastAsiaTheme="minorEastAsia" w:hAnsi="Times New Roman"/>
                <w:lang w:eastAsia="zh-CN"/>
              </w:rPr>
            </w:pPr>
            <w:r w:rsidRPr="00BA46EE">
              <w:rPr>
                <w:rFonts w:ascii="Times New Roman" w:eastAsiaTheme="minorEastAsia" w:hAnsi="Times New Roman"/>
                <w:lang w:eastAsia="zh-CN"/>
              </w:rPr>
              <w:t>WF:</w:t>
            </w:r>
          </w:p>
          <w:p w14:paraId="7AA61D03" w14:textId="77777777" w:rsidR="00BA46EE" w:rsidRPr="00BA46EE" w:rsidRDefault="00BA46EE" w:rsidP="00BA46EE">
            <w:pPr>
              <w:pStyle w:val="af6"/>
              <w:widowControl/>
              <w:numPr>
                <w:ilvl w:val="0"/>
                <w:numId w:val="4"/>
              </w:numPr>
              <w:overflowPunct w:val="0"/>
              <w:autoSpaceDE w:val="0"/>
              <w:autoSpaceDN w:val="0"/>
              <w:adjustRightInd w:val="0"/>
              <w:spacing w:after="120"/>
              <w:ind w:firstLineChars="0"/>
              <w:jc w:val="left"/>
              <w:rPr>
                <w:rFonts w:ascii="Times New Roman" w:eastAsiaTheme="minorEastAsia" w:hAnsi="Times New Roman"/>
                <w:lang w:eastAsia="zh-CN"/>
              </w:rPr>
            </w:pPr>
            <w:r w:rsidRPr="00BA46EE">
              <w:rPr>
                <w:rFonts w:ascii="Times New Roman" w:eastAsiaTheme="minorEastAsia" w:hAnsi="Times New Roman"/>
                <w:lang w:eastAsia="zh-CN"/>
              </w:rPr>
              <w:t>FFS</w:t>
            </w:r>
          </w:p>
          <w:p w14:paraId="417F837E" w14:textId="0EE523A9" w:rsidR="00373BE2" w:rsidRPr="00BA46EE" w:rsidRDefault="00BA46EE" w:rsidP="00BA46EE">
            <w:pPr>
              <w:pStyle w:val="af6"/>
              <w:widowControl/>
              <w:numPr>
                <w:ilvl w:val="0"/>
                <w:numId w:val="5"/>
              </w:numPr>
              <w:overflowPunct w:val="0"/>
              <w:autoSpaceDE w:val="0"/>
              <w:autoSpaceDN w:val="0"/>
              <w:adjustRightInd w:val="0"/>
              <w:spacing w:after="120"/>
              <w:ind w:firstLineChars="0"/>
              <w:jc w:val="left"/>
              <w:rPr>
                <w:rFonts w:ascii="Times New Roman" w:eastAsiaTheme="minorEastAsia" w:hAnsi="Times New Roman"/>
                <w:lang w:val="en-US" w:eastAsia="zh-CN"/>
              </w:rPr>
            </w:pPr>
            <w:r w:rsidRPr="00BA46EE">
              <w:rPr>
                <w:rFonts w:ascii="Times New Roman" w:eastAsiaTheme="minorEastAsia" w:hAnsi="Times New Roman"/>
                <w:lang w:eastAsia="zh-CN"/>
              </w:rPr>
              <w:t xml:space="preserve">Companies are courage to </w:t>
            </w:r>
            <w:r w:rsidRPr="00BA46EE">
              <w:rPr>
                <w:rFonts w:ascii="Times New Roman" w:eastAsiaTheme="minorEastAsia" w:hAnsi="Times New Roman"/>
                <w:lang w:val="en-US" w:eastAsia="zh-CN"/>
              </w:rPr>
              <w:t xml:space="preserve">analyze the additional specification impact and benefit if </w:t>
            </w:r>
            <w:proofErr w:type="spellStart"/>
            <w:r w:rsidRPr="00BA46EE">
              <w:rPr>
                <w:rFonts w:ascii="Times New Roman" w:eastAsiaTheme="minorEastAsia" w:hAnsi="Times New Roman"/>
                <w:lang w:val="en-US" w:eastAsia="zh-CN"/>
              </w:rPr>
              <w:t>ULFPTx</w:t>
            </w:r>
            <w:proofErr w:type="spellEnd"/>
            <w:r w:rsidRPr="00BA46EE">
              <w:rPr>
                <w:rFonts w:ascii="Times New Roman" w:eastAsiaTheme="minorEastAsia" w:hAnsi="Times New Roman"/>
                <w:lang w:val="en-US" w:eastAsia="zh-CN"/>
              </w:rPr>
              <w:t xml:space="preserve"> mode for ATG is introduced.</w:t>
            </w:r>
          </w:p>
        </w:tc>
      </w:tr>
    </w:tbl>
    <w:p w14:paraId="0C43871A" w14:textId="77777777" w:rsidR="00077891" w:rsidRDefault="00077891" w:rsidP="00C16B79">
      <w:pPr>
        <w:rPr>
          <w:rFonts w:ascii="Times New Roman" w:hAnsi="Times New Roman"/>
          <w:sz w:val="20"/>
          <w:szCs w:val="21"/>
        </w:rPr>
      </w:pPr>
    </w:p>
    <w:p w14:paraId="3974EFB8" w14:textId="3EF931AF" w:rsidR="00373BE2" w:rsidRDefault="00670AD1" w:rsidP="00C16B79">
      <w:pPr>
        <w:rPr>
          <w:rFonts w:ascii="Times New Roman" w:hAnsi="Times New Roman"/>
          <w:sz w:val="20"/>
          <w:szCs w:val="21"/>
        </w:rPr>
      </w:pPr>
      <w:r w:rsidRPr="00670AD1">
        <w:rPr>
          <w:rFonts w:ascii="Times New Roman" w:hAnsi="Times New Roman"/>
          <w:sz w:val="20"/>
          <w:szCs w:val="21"/>
        </w:rPr>
        <w:t xml:space="preserve">Uplink full power transmission is a method for UE transmission enhancement. Limited by power control, UE cannot reach full power transmission in some cases, and this will influence the uplink coverage and transmission rate. To ensure that the PA can reach the maximum output power for the power class, different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modes are designed for UEs with different capabilities. Since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has been supported for legacy systems, we think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should be supported for ATG UL-MIMO.</w:t>
      </w:r>
    </w:p>
    <w:p w14:paraId="0964B4CB" w14:textId="6F9D21CE" w:rsidR="00B3643B" w:rsidRDefault="00B3643B" w:rsidP="00C16B79">
      <w:pPr>
        <w:rPr>
          <w:rFonts w:ascii="Times New Roman" w:hAnsi="Times New Roman"/>
          <w:b/>
          <w:bCs/>
          <w:sz w:val="20"/>
          <w:szCs w:val="21"/>
        </w:rPr>
      </w:pPr>
      <w:r w:rsidRPr="00B3643B">
        <w:rPr>
          <w:rFonts w:ascii="Times New Roman" w:hAnsi="Times New Roman" w:hint="eastAsia"/>
          <w:b/>
          <w:bCs/>
          <w:sz w:val="20"/>
          <w:szCs w:val="21"/>
        </w:rPr>
        <w:t xml:space="preserve">Proposal </w:t>
      </w:r>
      <w:r>
        <w:rPr>
          <w:rFonts w:ascii="Times New Roman" w:hAnsi="Times New Roman" w:hint="eastAsia"/>
          <w:b/>
          <w:bCs/>
          <w:sz w:val="20"/>
          <w:szCs w:val="21"/>
        </w:rPr>
        <w:t>1</w:t>
      </w:r>
      <w:r w:rsidRPr="00B3643B">
        <w:rPr>
          <w:rFonts w:ascii="Times New Roman" w:hAnsi="Times New Roman" w:hint="eastAsia"/>
          <w:b/>
          <w:bCs/>
          <w:sz w:val="20"/>
          <w:szCs w:val="21"/>
        </w:rPr>
        <w:t xml:space="preserve">: </w:t>
      </w:r>
      <w:r w:rsidR="006467FC">
        <w:rPr>
          <w:rFonts w:ascii="Times New Roman" w:hAnsi="Times New Roman" w:hint="eastAsia"/>
          <w:b/>
          <w:bCs/>
          <w:sz w:val="20"/>
          <w:szCs w:val="21"/>
        </w:rPr>
        <w:t>S</w:t>
      </w:r>
      <w:r w:rsidRPr="00B3643B">
        <w:rPr>
          <w:rFonts w:ascii="Times New Roman" w:hAnsi="Times New Roman"/>
          <w:b/>
          <w:bCs/>
          <w:sz w:val="20"/>
          <w:szCs w:val="21"/>
        </w:rPr>
        <w:t>upport</w:t>
      </w:r>
      <w:r w:rsidRPr="00B3643B">
        <w:rPr>
          <w:rFonts w:ascii="Times New Roman" w:hAnsi="Times New Roman" w:hint="eastAsia"/>
          <w:b/>
          <w:bCs/>
          <w:sz w:val="20"/>
          <w:szCs w:val="21"/>
        </w:rPr>
        <w:t xml:space="preserve"> </w:t>
      </w:r>
      <w:proofErr w:type="spellStart"/>
      <w:r w:rsidRPr="00B3643B">
        <w:rPr>
          <w:rFonts w:ascii="Times New Roman" w:hAnsi="Times New Roman"/>
          <w:b/>
          <w:bCs/>
          <w:sz w:val="20"/>
          <w:szCs w:val="21"/>
        </w:rPr>
        <w:t>ULFPTx</w:t>
      </w:r>
      <w:proofErr w:type="spellEnd"/>
      <w:r w:rsidRPr="00B3643B">
        <w:rPr>
          <w:rFonts w:ascii="Times New Roman" w:hAnsi="Times New Roman"/>
          <w:b/>
          <w:bCs/>
          <w:sz w:val="20"/>
          <w:szCs w:val="21"/>
        </w:rPr>
        <w:t xml:space="preserve"> mode</w:t>
      </w:r>
      <w:r w:rsidRPr="00B3643B">
        <w:rPr>
          <w:rFonts w:ascii="Times New Roman" w:hAnsi="Times New Roman" w:hint="eastAsia"/>
          <w:b/>
          <w:bCs/>
          <w:sz w:val="20"/>
          <w:szCs w:val="21"/>
        </w:rPr>
        <w:t xml:space="preserve"> </w:t>
      </w:r>
      <w:r w:rsidRPr="00B3643B">
        <w:rPr>
          <w:rFonts w:ascii="Times New Roman" w:hAnsi="Times New Roman"/>
          <w:b/>
          <w:bCs/>
          <w:sz w:val="20"/>
          <w:szCs w:val="21"/>
        </w:rPr>
        <w:t>for ATG UL-MIMO</w:t>
      </w:r>
      <w:r w:rsidRPr="00B3643B">
        <w:rPr>
          <w:rFonts w:ascii="Times New Roman" w:hAnsi="Times New Roman" w:hint="eastAsia"/>
          <w:b/>
          <w:bCs/>
          <w:sz w:val="20"/>
          <w:szCs w:val="21"/>
        </w:rPr>
        <w:t>.</w:t>
      </w:r>
    </w:p>
    <w:p w14:paraId="35AD22EF" w14:textId="68AE1211" w:rsidR="00806EAE" w:rsidRPr="000D22B7" w:rsidRDefault="00670AD1" w:rsidP="00C16B79">
      <w:pPr>
        <w:rPr>
          <w:rFonts w:ascii="Times New Roman" w:hAnsi="Times New Roman"/>
          <w:sz w:val="20"/>
          <w:szCs w:val="21"/>
        </w:rPr>
      </w:pPr>
      <w:r w:rsidRPr="00670AD1">
        <w:rPr>
          <w:rFonts w:ascii="Times New Roman" w:hAnsi="Times New Roman"/>
          <w:sz w:val="20"/>
          <w:szCs w:val="21"/>
        </w:rPr>
        <w:t xml:space="preserve">The subsequent challenge is to determine how to incorporate this mode within our specification. From our perspective, Mode 1, Mode 2, and Mode Full correspond to UE capability levels 2 (non-full rated PAs), UE capability level 3 (partially full rated PAs), and UE capability level 4 (all full rated PAs), respectively. The specification does not currently define the output power per PA or per Tx port. When ATG UL-MIMO operates in the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it is essential to specify the maximum output power for ATG UEs in the section "UE Maximum Output Power for UL MIMO".</w:t>
      </w:r>
    </w:p>
    <w:p w14:paraId="616A58DE" w14:textId="65B99DA0" w:rsidR="00373BE2" w:rsidRPr="000D22B7" w:rsidRDefault="000D22B7" w:rsidP="00C16B79">
      <w:pPr>
        <w:rPr>
          <w:rFonts w:ascii="Times New Roman" w:hAnsi="Times New Roman"/>
          <w:b/>
          <w:bCs/>
          <w:sz w:val="20"/>
          <w:szCs w:val="21"/>
        </w:rPr>
      </w:pPr>
      <w:r w:rsidRPr="000D22B7">
        <w:rPr>
          <w:rFonts w:ascii="Times New Roman" w:hAnsi="Times New Roman"/>
          <w:b/>
          <w:bCs/>
          <w:sz w:val="20"/>
          <w:szCs w:val="21"/>
        </w:rPr>
        <w:t xml:space="preserve">Proposal </w:t>
      </w:r>
      <w:r w:rsidRPr="000D22B7">
        <w:rPr>
          <w:rFonts w:ascii="Times New Roman" w:hAnsi="Times New Roman" w:hint="eastAsia"/>
          <w:b/>
          <w:bCs/>
          <w:sz w:val="20"/>
          <w:szCs w:val="21"/>
        </w:rPr>
        <w:t>2</w:t>
      </w:r>
      <w:r w:rsidRPr="000D22B7">
        <w:rPr>
          <w:rFonts w:ascii="Times New Roman" w:hAnsi="Times New Roman"/>
          <w:b/>
          <w:bCs/>
          <w:sz w:val="20"/>
          <w:szCs w:val="21"/>
        </w:rPr>
        <w:t xml:space="preserve">: </w:t>
      </w:r>
      <w:r w:rsidR="00670AD1" w:rsidRPr="00670AD1">
        <w:rPr>
          <w:rFonts w:ascii="Times New Roman" w:hAnsi="Times New Roman"/>
          <w:b/>
          <w:bCs/>
          <w:sz w:val="20"/>
          <w:szCs w:val="21"/>
        </w:rPr>
        <w:t>ATG UE maximum output power should be clarified in the section “UE Maximum Output Power for UL MIMO".</w:t>
      </w:r>
    </w:p>
    <w:p w14:paraId="2F55C9D4" w14:textId="39A89248" w:rsidR="00A16039" w:rsidRDefault="00A16039" w:rsidP="00A16039">
      <w:pPr>
        <w:widowControl/>
        <w:spacing w:after="180"/>
        <w:jc w:val="left"/>
        <w:rPr>
          <w:rFonts w:ascii="Arial" w:hAnsi="Arial" w:cs="Arial"/>
          <w:sz w:val="28"/>
          <w:szCs w:val="28"/>
        </w:rPr>
      </w:pPr>
      <w:r w:rsidRPr="00A16039">
        <w:rPr>
          <w:rFonts w:ascii="Arial" w:hAnsi="Arial" w:cs="Arial"/>
          <w:sz w:val="28"/>
          <w:szCs w:val="28"/>
        </w:rPr>
        <w:lastRenderedPageBreak/>
        <w:t>2.</w:t>
      </w:r>
      <w:r>
        <w:rPr>
          <w:rFonts w:ascii="Arial" w:hAnsi="Arial" w:cs="Arial" w:hint="eastAsia"/>
          <w:sz w:val="28"/>
          <w:szCs w:val="28"/>
        </w:rPr>
        <w:t>2</w:t>
      </w:r>
      <w:r w:rsidRPr="00A16039">
        <w:rPr>
          <w:rFonts w:ascii="Arial" w:hAnsi="Arial" w:cs="Arial"/>
          <w:sz w:val="28"/>
          <w:szCs w:val="28"/>
        </w:rPr>
        <w:t xml:space="preserve">. </w:t>
      </w:r>
      <w:r w:rsidR="00647FB7">
        <w:rPr>
          <w:rFonts w:ascii="Arial" w:hAnsi="Arial" w:cs="Arial" w:hint="eastAsia"/>
          <w:sz w:val="28"/>
          <w:szCs w:val="28"/>
        </w:rPr>
        <w:t>S</w:t>
      </w:r>
      <w:r w:rsidR="00647FB7" w:rsidRPr="00647FB7">
        <w:rPr>
          <w:rFonts w:ascii="Arial" w:hAnsi="Arial" w:cs="Arial"/>
          <w:sz w:val="28"/>
          <w:szCs w:val="28"/>
        </w:rPr>
        <w:t>ingle antenna port</w:t>
      </w:r>
      <w:r w:rsidR="006467FC">
        <w:rPr>
          <w:rFonts w:ascii="Arial" w:hAnsi="Arial" w:cs="Arial" w:hint="eastAsia"/>
          <w:sz w:val="28"/>
          <w:szCs w:val="28"/>
        </w:rPr>
        <w:t xml:space="preserve"> </w:t>
      </w:r>
      <w:r w:rsidR="00BA46EE">
        <w:rPr>
          <w:rFonts w:ascii="Arial" w:hAnsi="Arial" w:cs="Arial" w:hint="eastAsia"/>
          <w:sz w:val="28"/>
          <w:szCs w:val="28"/>
        </w:rPr>
        <w:t>r</w:t>
      </w:r>
      <w:r w:rsidR="006467FC" w:rsidRPr="006467FC">
        <w:rPr>
          <w:rFonts w:ascii="Arial" w:hAnsi="Arial" w:cs="Arial"/>
          <w:sz w:val="28"/>
          <w:szCs w:val="28"/>
        </w:rPr>
        <w:t>equirement</w:t>
      </w:r>
      <w:r w:rsidRPr="00A16039">
        <w:rPr>
          <w:rFonts w:ascii="Arial" w:hAnsi="Arial" w:cs="Arial"/>
          <w:sz w:val="28"/>
          <w:szCs w:val="28"/>
        </w:rPr>
        <w:t xml:space="preserve"> for UL-MIMO</w:t>
      </w:r>
    </w:p>
    <w:tbl>
      <w:tblPr>
        <w:tblStyle w:val="af3"/>
        <w:tblW w:w="0" w:type="auto"/>
        <w:tblLook w:val="04A0" w:firstRow="1" w:lastRow="0" w:firstColumn="1" w:lastColumn="0" w:noHBand="0" w:noVBand="1"/>
      </w:tblPr>
      <w:tblGrid>
        <w:gridCol w:w="9962"/>
      </w:tblGrid>
      <w:tr w:rsidR="006467FC" w14:paraId="4DBA3191" w14:textId="77777777" w:rsidTr="006467FC">
        <w:tc>
          <w:tcPr>
            <w:tcW w:w="9962" w:type="dxa"/>
          </w:tcPr>
          <w:p w14:paraId="0BDD2088" w14:textId="77777777" w:rsidR="00BA46EE" w:rsidRPr="00BA46EE" w:rsidRDefault="00BA46EE" w:rsidP="00BA46EE">
            <w:pPr>
              <w:rPr>
                <w:rFonts w:ascii="Times New Roman" w:hAnsi="Times New Roman"/>
                <w:b/>
                <w:color w:val="0070C0"/>
                <w:kern w:val="0"/>
                <w:sz w:val="20"/>
                <w:szCs w:val="20"/>
                <w:u w:val="single"/>
                <w:lang w:val="en-US" w:eastAsia="zh-CN"/>
              </w:rPr>
            </w:pPr>
            <w:r w:rsidRPr="00BA46EE">
              <w:rPr>
                <w:rFonts w:ascii="Times New Roman" w:hAnsi="Times New Roman"/>
                <w:b/>
                <w:color w:val="0070C0"/>
                <w:u w:val="single"/>
                <w:lang w:val="en-US" w:eastAsia="zh-CN"/>
              </w:rPr>
              <w:t>Issue 4-1: whether preclude the single antenna port related requirement</w:t>
            </w:r>
          </w:p>
          <w:p w14:paraId="3D35B808" w14:textId="77777777" w:rsidR="00BA46EE" w:rsidRPr="00BA46EE" w:rsidRDefault="00BA46EE" w:rsidP="00BA46EE">
            <w:pPr>
              <w:ind w:left="420" w:hanging="420"/>
              <w:rPr>
                <w:rFonts w:ascii="Times New Roman" w:hAnsi="Times New Roman"/>
                <w:szCs w:val="24"/>
                <w:lang w:eastAsia="zh-CN"/>
              </w:rPr>
            </w:pPr>
            <w:r w:rsidRPr="00BA46EE">
              <w:rPr>
                <w:rFonts w:ascii="Times New Roman" w:hAnsi="Times New Roman"/>
                <w:szCs w:val="24"/>
                <w:lang w:eastAsia="zh-CN"/>
              </w:rPr>
              <w:t>Agreement:</w:t>
            </w:r>
          </w:p>
          <w:p w14:paraId="115A3BF0" w14:textId="7472996A" w:rsidR="006467FC" w:rsidRPr="00BA46EE" w:rsidRDefault="00BA46EE" w:rsidP="00BA46EE">
            <w:pPr>
              <w:pStyle w:val="af6"/>
              <w:widowControl/>
              <w:numPr>
                <w:ilvl w:val="0"/>
                <w:numId w:val="2"/>
              </w:numPr>
              <w:overflowPunct w:val="0"/>
              <w:autoSpaceDE w:val="0"/>
              <w:autoSpaceDN w:val="0"/>
              <w:adjustRightInd w:val="0"/>
              <w:spacing w:after="120"/>
              <w:ind w:firstLineChars="0"/>
              <w:jc w:val="left"/>
              <w:rPr>
                <w:rFonts w:ascii="Times New Roman" w:eastAsiaTheme="minorEastAsia" w:hAnsi="Times New Roman"/>
                <w:szCs w:val="20"/>
                <w:lang w:eastAsia="zh-CN"/>
              </w:rPr>
            </w:pPr>
            <w:r w:rsidRPr="00BA46EE">
              <w:rPr>
                <w:rFonts w:ascii="Times New Roman" w:eastAsiaTheme="minorEastAsia" w:hAnsi="Times New Roman"/>
                <w:lang w:eastAsia="zh-CN"/>
              </w:rPr>
              <w:t>FFS</w:t>
            </w:r>
          </w:p>
        </w:tc>
      </w:tr>
    </w:tbl>
    <w:p w14:paraId="68C72F20" w14:textId="77777777" w:rsidR="006467FC" w:rsidRDefault="006467FC" w:rsidP="006467FC">
      <w:pPr>
        <w:rPr>
          <w:rFonts w:ascii="Times New Roman" w:hAnsi="Times New Roman"/>
          <w:sz w:val="20"/>
          <w:szCs w:val="21"/>
        </w:rPr>
      </w:pPr>
    </w:p>
    <w:p w14:paraId="6E8B283B" w14:textId="52E34DF1" w:rsidR="006467FC" w:rsidRDefault="00670AD1" w:rsidP="006467FC">
      <w:pPr>
        <w:rPr>
          <w:rFonts w:ascii="Times New Roman" w:hAnsi="Times New Roman"/>
          <w:sz w:val="20"/>
          <w:szCs w:val="21"/>
        </w:rPr>
      </w:pPr>
      <w:r w:rsidRPr="00670AD1">
        <w:rPr>
          <w:rFonts w:ascii="Times New Roman" w:hAnsi="Times New Roman"/>
          <w:sz w:val="20"/>
          <w:szCs w:val="21"/>
        </w:rPr>
        <w:t xml:space="preserve">In a similar situation regarding whether to support </w:t>
      </w:r>
      <w:proofErr w:type="spellStart"/>
      <w:r w:rsidRPr="00670AD1">
        <w:rPr>
          <w:rFonts w:ascii="Times New Roman" w:hAnsi="Times New Roman"/>
          <w:sz w:val="20"/>
          <w:szCs w:val="21"/>
        </w:rPr>
        <w:t>ULFPTx</w:t>
      </w:r>
      <w:proofErr w:type="spellEnd"/>
      <w:r w:rsidRPr="00670AD1">
        <w:rPr>
          <w:rFonts w:ascii="Times New Roman" w:hAnsi="Times New Roman"/>
          <w:sz w:val="20"/>
          <w:szCs w:val="21"/>
        </w:rPr>
        <w:t xml:space="preserve"> mode for UL-MIMO, we have not yet reached a consensus on supporting a single antenna port. Some companies believe that the benefits of implementing these capabilities are minimal and that they are not widely used in legacy UEs. However, in our view, these concerns should not be used as reasons to exclude these capabilities, as they can make the ATG use scenarios more flexible. Moreover, no additional special requirements need to be specified for ATG UEs, and the existing requirements for TN UEs can be reused.</w:t>
      </w:r>
    </w:p>
    <w:p w14:paraId="270E654A" w14:textId="2EC9C2C4" w:rsidR="00E56806" w:rsidRPr="00E56806" w:rsidRDefault="00E56806" w:rsidP="006467FC">
      <w:pPr>
        <w:rPr>
          <w:rFonts w:ascii="Times New Roman" w:hAnsi="Times New Roman"/>
          <w:b/>
          <w:bCs/>
          <w:sz w:val="20"/>
          <w:szCs w:val="21"/>
        </w:rPr>
      </w:pPr>
      <w:r w:rsidRPr="00E56806">
        <w:rPr>
          <w:rFonts w:ascii="Times New Roman" w:hAnsi="Times New Roman"/>
          <w:b/>
          <w:bCs/>
          <w:sz w:val="20"/>
          <w:szCs w:val="21"/>
        </w:rPr>
        <w:t xml:space="preserve">Proposal </w:t>
      </w:r>
      <w:r w:rsidR="000D22B7">
        <w:rPr>
          <w:rFonts w:ascii="Times New Roman" w:hAnsi="Times New Roman" w:hint="eastAsia"/>
          <w:b/>
          <w:bCs/>
          <w:sz w:val="20"/>
          <w:szCs w:val="21"/>
        </w:rPr>
        <w:t>3</w:t>
      </w:r>
      <w:r w:rsidRPr="00E56806">
        <w:rPr>
          <w:rFonts w:ascii="Times New Roman" w:hAnsi="Times New Roman"/>
          <w:b/>
          <w:bCs/>
          <w:sz w:val="20"/>
          <w:szCs w:val="21"/>
        </w:rPr>
        <w:t xml:space="preserve">: </w:t>
      </w:r>
      <w:r w:rsidR="00670AD1" w:rsidRPr="00670AD1">
        <w:rPr>
          <w:rFonts w:ascii="Times New Roman" w:hAnsi="Times New Roman"/>
          <w:b/>
          <w:bCs/>
          <w:sz w:val="20"/>
          <w:szCs w:val="21"/>
        </w:rPr>
        <w:t>Apply the single antenna port-related requirements for ATG UEs, and the legacy requirements for TN UEs could be reused.</w:t>
      </w: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0" w:name="_Hlk115470282"/>
      <w:r>
        <w:rPr>
          <w:rFonts w:ascii="Arial" w:eastAsiaTheme="minorEastAsia" w:hAnsi="Arial" w:cstheme="minorBidi"/>
          <w:sz w:val="32"/>
          <w:szCs w:val="36"/>
        </w:rPr>
        <w:t>3. Conclusions</w:t>
      </w:r>
    </w:p>
    <w:p w14:paraId="4C9E8599" w14:textId="188EBF17"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BB57FF" w:rsidRPr="00BB57FF">
        <w:rPr>
          <w:rFonts w:ascii="Times New Roman" w:hAnsi="Times New Roman"/>
          <w:sz w:val="20"/>
          <w:szCs w:val="20"/>
        </w:rPr>
        <w:t>UE RF requirements for ATG with UL-MIMO</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18DA7E6F" w14:textId="77777777" w:rsidR="000D22B7" w:rsidRDefault="000D22B7" w:rsidP="00AF53D8">
      <w:pPr>
        <w:widowControl/>
        <w:spacing w:after="180"/>
        <w:jc w:val="left"/>
        <w:rPr>
          <w:rFonts w:ascii="Times New Roman" w:hAnsi="Times New Roman"/>
          <w:b/>
          <w:sz w:val="20"/>
          <w:szCs w:val="20"/>
        </w:rPr>
      </w:pPr>
      <w:r w:rsidRPr="000D22B7">
        <w:rPr>
          <w:rFonts w:ascii="Times New Roman" w:hAnsi="Times New Roman"/>
          <w:b/>
          <w:sz w:val="20"/>
          <w:szCs w:val="20"/>
        </w:rPr>
        <w:t xml:space="preserve">Proposal 1: Support </w:t>
      </w:r>
      <w:proofErr w:type="spellStart"/>
      <w:r w:rsidRPr="000D22B7">
        <w:rPr>
          <w:rFonts w:ascii="Times New Roman" w:hAnsi="Times New Roman"/>
          <w:b/>
          <w:sz w:val="20"/>
          <w:szCs w:val="20"/>
        </w:rPr>
        <w:t>ULFPTx</w:t>
      </w:r>
      <w:proofErr w:type="spellEnd"/>
      <w:r w:rsidRPr="000D22B7">
        <w:rPr>
          <w:rFonts w:ascii="Times New Roman" w:hAnsi="Times New Roman"/>
          <w:b/>
          <w:sz w:val="20"/>
          <w:szCs w:val="20"/>
        </w:rPr>
        <w:t xml:space="preserve"> mode for ATG UL-MIMO.</w:t>
      </w:r>
    </w:p>
    <w:p w14:paraId="56BCF308" w14:textId="3F8CF2CC" w:rsidR="000D22B7" w:rsidRDefault="00670AD1" w:rsidP="00AF53D8">
      <w:pPr>
        <w:widowControl/>
        <w:spacing w:after="180"/>
        <w:jc w:val="left"/>
        <w:rPr>
          <w:rFonts w:ascii="Times New Roman" w:hAnsi="Times New Roman"/>
          <w:b/>
          <w:sz w:val="20"/>
          <w:szCs w:val="20"/>
        </w:rPr>
      </w:pPr>
      <w:r w:rsidRPr="00670AD1">
        <w:rPr>
          <w:rFonts w:ascii="Times New Roman" w:hAnsi="Times New Roman"/>
          <w:b/>
          <w:sz w:val="20"/>
          <w:szCs w:val="20"/>
        </w:rPr>
        <w:t>Proposal 2: ATG UE maximum output power should be clarified in the section “UE Maximum Output Power for UL MIMO".</w:t>
      </w:r>
    </w:p>
    <w:p w14:paraId="700EFDC7" w14:textId="697913BE" w:rsidR="003367C2" w:rsidRDefault="000D22B7" w:rsidP="00AF53D8">
      <w:pPr>
        <w:widowControl/>
        <w:spacing w:after="180"/>
        <w:jc w:val="left"/>
        <w:rPr>
          <w:rFonts w:ascii="Times New Roman" w:hAnsi="Times New Roman"/>
          <w:b/>
          <w:sz w:val="20"/>
          <w:szCs w:val="20"/>
        </w:rPr>
      </w:pPr>
      <w:r w:rsidRPr="000D22B7">
        <w:rPr>
          <w:rFonts w:ascii="Times New Roman" w:hAnsi="Times New Roman"/>
          <w:b/>
          <w:sz w:val="20"/>
          <w:szCs w:val="20"/>
        </w:rPr>
        <w:t xml:space="preserve">Proposal 3: </w:t>
      </w:r>
      <w:r w:rsidR="00670AD1" w:rsidRPr="00670AD1">
        <w:rPr>
          <w:rFonts w:ascii="Times New Roman" w:hAnsi="Times New Roman"/>
          <w:b/>
          <w:sz w:val="20"/>
          <w:szCs w:val="20"/>
        </w:rPr>
        <w:t>Apply the single antenna port-related requirements for ATG UEs, and the legacy requirements for TN UEs could be reused.</w:t>
      </w:r>
    </w:p>
    <w:bookmarkEnd w:id="0"/>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0DB2A37C"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346827" w:rsidRPr="00346827">
        <w:rPr>
          <w:rFonts w:ascii="Times New Roman" w:hAnsi="Times New Roman"/>
          <w:sz w:val="20"/>
          <w:szCs w:val="20"/>
        </w:rPr>
        <w:t>RP-24238</w:t>
      </w:r>
      <w:r w:rsidR="00620745">
        <w:rPr>
          <w:rFonts w:ascii="Times New Roman" w:hAnsi="Times New Roman" w:hint="eastAsia"/>
          <w:sz w:val="20"/>
          <w:szCs w:val="20"/>
        </w:rPr>
        <w:t>5</w:t>
      </w:r>
      <w:r w:rsidR="00346827" w:rsidRPr="00346827">
        <w:rPr>
          <w:rFonts w:ascii="Times New Roman" w:hAnsi="Times New Roman"/>
          <w:sz w:val="20"/>
          <w:szCs w:val="20"/>
        </w:rPr>
        <w:t>, Revised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15104" w14:textId="77777777" w:rsidR="009B78AE" w:rsidRDefault="009B78AE">
      <w:r>
        <w:separator/>
      </w:r>
    </w:p>
  </w:endnote>
  <w:endnote w:type="continuationSeparator" w:id="0">
    <w:p w14:paraId="785FE610" w14:textId="77777777" w:rsidR="009B78AE" w:rsidRDefault="009B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2B85" w14:textId="77777777" w:rsidR="009B78AE" w:rsidRDefault="009B78AE">
      <w:r>
        <w:separator/>
      </w:r>
    </w:p>
  </w:footnote>
  <w:footnote w:type="continuationSeparator" w:id="0">
    <w:p w14:paraId="1DCCA1EF" w14:textId="77777777" w:rsidR="009B78AE" w:rsidRDefault="009B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03E4907"/>
    <w:multiLevelType w:val="hybridMultilevel"/>
    <w:tmpl w:val="D450AED0"/>
    <w:lvl w:ilvl="0" w:tplc="A96E5BA6">
      <w:numFmt w:val="bullet"/>
      <w:lvlText w:val="-"/>
      <w:lvlJc w:val="left"/>
      <w:pPr>
        <w:ind w:left="800" w:hanging="440"/>
      </w:pPr>
      <w:rPr>
        <w:rFonts w:ascii="Arial" w:eastAsia="Malgun Gothic"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52200766">
    <w:abstractNumId w:val="1"/>
  </w:num>
  <w:num w:numId="2" w16cid:durableId="2041125946">
    <w:abstractNumId w:val="2"/>
  </w:num>
  <w:num w:numId="3" w16cid:durableId="1698965195">
    <w:abstractNumId w:val="3"/>
  </w:num>
  <w:num w:numId="4" w16cid:durableId="1057247202">
    <w:abstractNumId w:val="2"/>
  </w:num>
  <w:num w:numId="5" w16cid:durableId="1630821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30F"/>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C2B"/>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77891"/>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2B4"/>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2B7"/>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511"/>
    <w:rsid w:val="00197697"/>
    <w:rsid w:val="00197F64"/>
    <w:rsid w:val="001A08E2"/>
    <w:rsid w:val="001A22BD"/>
    <w:rsid w:val="001A3034"/>
    <w:rsid w:val="001A32E3"/>
    <w:rsid w:val="001A43E9"/>
    <w:rsid w:val="001A4EEC"/>
    <w:rsid w:val="001A59A4"/>
    <w:rsid w:val="001A63AE"/>
    <w:rsid w:val="001A6418"/>
    <w:rsid w:val="001A7540"/>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3CA6"/>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815"/>
    <w:rsid w:val="001F6320"/>
    <w:rsid w:val="001F6630"/>
    <w:rsid w:val="001F7F77"/>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5F10"/>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5F37"/>
    <w:rsid w:val="002B715D"/>
    <w:rsid w:val="002C098A"/>
    <w:rsid w:val="002C22A3"/>
    <w:rsid w:val="002C29FD"/>
    <w:rsid w:val="002C4583"/>
    <w:rsid w:val="002C4601"/>
    <w:rsid w:val="002C4E84"/>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7C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827"/>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3BE2"/>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992"/>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6418"/>
    <w:rsid w:val="003F7F29"/>
    <w:rsid w:val="00401353"/>
    <w:rsid w:val="004017E5"/>
    <w:rsid w:val="00403E79"/>
    <w:rsid w:val="0040406D"/>
    <w:rsid w:val="00405536"/>
    <w:rsid w:val="004100DE"/>
    <w:rsid w:val="00410B17"/>
    <w:rsid w:val="004111A1"/>
    <w:rsid w:val="004119D3"/>
    <w:rsid w:val="00411B75"/>
    <w:rsid w:val="00412FE5"/>
    <w:rsid w:val="00413198"/>
    <w:rsid w:val="004146B3"/>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3F"/>
    <w:rsid w:val="00434DD5"/>
    <w:rsid w:val="00434E36"/>
    <w:rsid w:val="004354E1"/>
    <w:rsid w:val="00436F5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86842"/>
    <w:rsid w:val="004903AD"/>
    <w:rsid w:val="00490804"/>
    <w:rsid w:val="004908A9"/>
    <w:rsid w:val="00490D96"/>
    <w:rsid w:val="004922D4"/>
    <w:rsid w:val="0049231C"/>
    <w:rsid w:val="0049240C"/>
    <w:rsid w:val="00493D76"/>
    <w:rsid w:val="00494AB2"/>
    <w:rsid w:val="00494B61"/>
    <w:rsid w:val="00495120"/>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43F"/>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C6FF5"/>
    <w:rsid w:val="004D1EF3"/>
    <w:rsid w:val="004D36E6"/>
    <w:rsid w:val="004D3E30"/>
    <w:rsid w:val="004D4695"/>
    <w:rsid w:val="004D5F7E"/>
    <w:rsid w:val="004D6171"/>
    <w:rsid w:val="004D6FD2"/>
    <w:rsid w:val="004D7559"/>
    <w:rsid w:val="004D75E2"/>
    <w:rsid w:val="004E09AB"/>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3195"/>
    <w:rsid w:val="004F5464"/>
    <w:rsid w:val="004F5F34"/>
    <w:rsid w:val="004F5F6B"/>
    <w:rsid w:val="0050041C"/>
    <w:rsid w:val="005008DD"/>
    <w:rsid w:val="00500DD8"/>
    <w:rsid w:val="00501EF9"/>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4BC2"/>
    <w:rsid w:val="0052508C"/>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0EDB"/>
    <w:rsid w:val="005E1867"/>
    <w:rsid w:val="005E1B6C"/>
    <w:rsid w:val="005E318A"/>
    <w:rsid w:val="005E37F0"/>
    <w:rsid w:val="005E39EA"/>
    <w:rsid w:val="005E3D4B"/>
    <w:rsid w:val="005E521D"/>
    <w:rsid w:val="005E52A7"/>
    <w:rsid w:val="005E5317"/>
    <w:rsid w:val="005E5B3B"/>
    <w:rsid w:val="005E5F43"/>
    <w:rsid w:val="005E633F"/>
    <w:rsid w:val="005E7100"/>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509A"/>
    <w:rsid w:val="00616292"/>
    <w:rsid w:val="006162A3"/>
    <w:rsid w:val="006179F5"/>
    <w:rsid w:val="0062074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4913"/>
    <w:rsid w:val="00645994"/>
    <w:rsid w:val="0064608F"/>
    <w:rsid w:val="006467FC"/>
    <w:rsid w:val="0064688B"/>
    <w:rsid w:val="0064770F"/>
    <w:rsid w:val="00647FB7"/>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0AD1"/>
    <w:rsid w:val="00672364"/>
    <w:rsid w:val="0067312A"/>
    <w:rsid w:val="006758FA"/>
    <w:rsid w:val="0067601A"/>
    <w:rsid w:val="00676E11"/>
    <w:rsid w:val="006771F0"/>
    <w:rsid w:val="0067721F"/>
    <w:rsid w:val="006776D4"/>
    <w:rsid w:val="00677828"/>
    <w:rsid w:val="006813C6"/>
    <w:rsid w:val="006819D7"/>
    <w:rsid w:val="00682788"/>
    <w:rsid w:val="006828CC"/>
    <w:rsid w:val="0068317C"/>
    <w:rsid w:val="00684ADA"/>
    <w:rsid w:val="00685378"/>
    <w:rsid w:val="00685C56"/>
    <w:rsid w:val="00685C81"/>
    <w:rsid w:val="006860E9"/>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4B0"/>
    <w:rsid w:val="006F1C31"/>
    <w:rsid w:val="006F2E59"/>
    <w:rsid w:val="006F385A"/>
    <w:rsid w:val="006F410A"/>
    <w:rsid w:val="006F436C"/>
    <w:rsid w:val="006F49E6"/>
    <w:rsid w:val="006F4FDF"/>
    <w:rsid w:val="006F551A"/>
    <w:rsid w:val="007021D8"/>
    <w:rsid w:val="00702A9F"/>
    <w:rsid w:val="007032BB"/>
    <w:rsid w:val="00704004"/>
    <w:rsid w:val="007048D3"/>
    <w:rsid w:val="00705AC8"/>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2BBD"/>
    <w:rsid w:val="00743202"/>
    <w:rsid w:val="00743F77"/>
    <w:rsid w:val="0074547A"/>
    <w:rsid w:val="0074649D"/>
    <w:rsid w:val="00747F19"/>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569"/>
    <w:rsid w:val="007628E3"/>
    <w:rsid w:val="00762F9F"/>
    <w:rsid w:val="007644DD"/>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77A10"/>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3B7A"/>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14A"/>
    <w:rsid w:val="007F4FE8"/>
    <w:rsid w:val="007F50AD"/>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6EAE"/>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26A2B"/>
    <w:rsid w:val="0083022A"/>
    <w:rsid w:val="00830A5F"/>
    <w:rsid w:val="008319F7"/>
    <w:rsid w:val="0083337E"/>
    <w:rsid w:val="0083339E"/>
    <w:rsid w:val="00833531"/>
    <w:rsid w:val="00834A55"/>
    <w:rsid w:val="00834B97"/>
    <w:rsid w:val="008355B0"/>
    <w:rsid w:val="008361B2"/>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66A57"/>
    <w:rsid w:val="00870A6E"/>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9A2"/>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6387"/>
    <w:rsid w:val="00907127"/>
    <w:rsid w:val="009077D2"/>
    <w:rsid w:val="00910214"/>
    <w:rsid w:val="0091086C"/>
    <w:rsid w:val="009111AB"/>
    <w:rsid w:val="00911319"/>
    <w:rsid w:val="00912A90"/>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3EA6"/>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DF"/>
    <w:rsid w:val="009832CE"/>
    <w:rsid w:val="009841F0"/>
    <w:rsid w:val="00984875"/>
    <w:rsid w:val="00984DB5"/>
    <w:rsid w:val="0098611E"/>
    <w:rsid w:val="009870E1"/>
    <w:rsid w:val="00987D82"/>
    <w:rsid w:val="00987E61"/>
    <w:rsid w:val="00990867"/>
    <w:rsid w:val="00991F86"/>
    <w:rsid w:val="009933E2"/>
    <w:rsid w:val="009945F0"/>
    <w:rsid w:val="00994D0C"/>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6D"/>
    <w:rsid w:val="009B650A"/>
    <w:rsid w:val="009B7765"/>
    <w:rsid w:val="009B78AE"/>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0C9"/>
    <w:rsid w:val="009D6114"/>
    <w:rsid w:val="009D7794"/>
    <w:rsid w:val="009D7E18"/>
    <w:rsid w:val="009E0162"/>
    <w:rsid w:val="009E0C00"/>
    <w:rsid w:val="009E25C2"/>
    <w:rsid w:val="009E31BE"/>
    <w:rsid w:val="009E36A8"/>
    <w:rsid w:val="009E42B6"/>
    <w:rsid w:val="009E5B07"/>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44C0"/>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039"/>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601F"/>
    <w:rsid w:val="00A47464"/>
    <w:rsid w:val="00A5007F"/>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E11"/>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5CE0"/>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22A5"/>
    <w:rsid w:val="00AF402D"/>
    <w:rsid w:val="00AF4202"/>
    <w:rsid w:val="00AF53D8"/>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0722A"/>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643B"/>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6BCF"/>
    <w:rsid w:val="00B67798"/>
    <w:rsid w:val="00B70686"/>
    <w:rsid w:val="00B70F53"/>
    <w:rsid w:val="00B7156D"/>
    <w:rsid w:val="00B71639"/>
    <w:rsid w:val="00B7311D"/>
    <w:rsid w:val="00B73BD3"/>
    <w:rsid w:val="00B767B3"/>
    <w:rsid w:val="00B77E7E"/>
    <w:rsid w:val="00B77F05"/>
    <w:rsid w:val="00B8012C"/>
    <w:rsid w:val="00B80BF7"/>
    <w:rsid w:val="00B814FC"/>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6C8"/>
    <w:rsid w:val="00BA46EE"/>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57F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893"/>
    <w:rsid w:val="00C119E8"/>
    <w:rsid w:val="00C12328"/>
    <w:rsid w:val="00C14D53"/>
    <w:rsid w:val="00C15B2F"/>
    <w:rsid w:val="00C15C21"/>
    <w:rsid w:val="00C15D66"/>
    <w:rsid w:val="00C16AEC"/>
    <w:rsid w:val="00C16B79"/>
    <w:rsid w:val="00C17984"/>
    <w:rsid w:val="00C20161"/>
    <w:rsid w:val="00C2034A"/>
    <w:rsid w:val="00C203E9"/>
    <w:rsid w:val="00C21451"/>
    <w:rsid w:val="00C21853"/>
    <w:rsid w:val="00C24D7D"/>
    <w:rsid w:val="00C24DA1"/>
    <w:rsid w:val="00C253AC"/>
    <w:rsid w:val="00C25C6D"/>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3F4"/>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5E68"/>
    <w:rsid w:val="00D06EE4"/>
    <w:rsid w:val="00D075DB"/>
    <w:rsid w:val="00D07939"/>
    <w:rsid w:val="00D10683"/>
    <w:rsid w:val="00D1116E"/>
    <w:rsid w:val="00D11FDB"/>
    <w:rsid w:val="00D12F9D"/>
    <w:rsid w:val="00D13116"/>
    <w:rsid w:val="00D139FA"/>
    <w:rsid w:val="00D145F2"/>
    <w:rsid w:val="00D14658"/>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86"/>
    <w:rsid w:val="00D438E1"/>
    <w:rsid w:val="00D43B8D"/>
    <w:rsid w:val="00D445C8"/>
    <w:rsid w:val="00D44E79"/>
    <w:rsid w:val="00D4614A"/>
    <w:rsid w:val="00D47084"/>
    <w:rsid w:val="00D474C1"/>
    <w:rsid w:val="00D500B1"/>
    <w:rsid w:val="00D51712"/>
    <w:rsid w:val="00D519B9"/>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89A"/>
    <w:rsid w:val="00DD1A79"/>
    <w:rsid w:val="00DD26EE"/>
    <w:rsid w:val="00DD2705"/>
    <w:rsid w:val="00DD28AB"/>
    <w:rsid w:val="00DD2E3C"/>
    <w:rsid w:val="00DD3191"/>
    <w:rsid w:val="00DD327E"/>
    <w:rsid w:val="00DD34B4"/>
    <w:rsid w:val="00DD34BD"/>
    <w:rsid w:val="00DD3E94"/>
    <w:rsid w:val="00DD44C1"/>
    <w:rsid w:val="00DD5F84"/>
    <w:rsid w:val="00DE014F"/>
    <w:rsid w:val="00DE03BD"/>
    <w:rsid w:val="00DE0658"/>
    <w:rsid w:val="00DE1062"/>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0A4E"/>
    <w:rsid w:val="00DF117F"/>
    <w:rsid w:val="00DF1742"/>
    <w:rsid w:val="00DF2226"/>
    <w:rsid w:val="00DF23F3"/>
    <w:rsid w:val="00DF2520"/>
    <w:rsid w:val="00DF2DF0"/>
    <w:rsid w:val="00DF3952"/>
    <w:rsid w:val="00DF3DEE"/>
    <w:rsid w:val="00DF40A2"/>
    <w:rsid w:val="00DF5ADF"/>
    <w:rsid w:val="00DF6BCF"/>
    <w:rsid w:val="00E0038F"/>
    <w:rsid w:val="00E00658"/>
    <w:rsid w:val="00E00BA8"/>
    <w:rsid w:val="00E00F09"/>
    <w:rsid w:val="00E00FDB"/>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06"/>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2EF5"/>
    <w:rsid w:val="00EA3549"/>
    <w:rsid w:val="00EA3580"/>
    <w:rsid w:val="00EA399C"/>
    <w:rsid w:val="00EA4DBD"/>
    <w:rsid w:val="00EA6E84"/>
    <w:rsid w:val="00EA78E6"/>
    <w:rsid w:val="00EB0DAC"/>
    <w:rsid w:val="00EB1BF8"/>
    <w:rsid w:val="00EB2CEE"/>
    <w:rsid w:val="00EB4B40"/>
    <w:rsid w:val="00EB5E58"/>
    <w:rsid w:val="00EB60B3"/>
    <w:rsid w:val="00EB7C8F"/>
    <w:rsid w:val="00EC1F64"/>
    <w:rsid w:val="00EC2B1A"/>
    <w:rsid w:val="00EC4D82"/>
    <w:rsid w:val="00EC505D"/>
    <w:rsid w:val="00EC508A"/>
    <w:rsid w:val="00EC50F1"/>
    <w:rsid w:val="00EC5B92"/>
    <w:rsid w:val="00EC736A"/>
    <w:rsid w:val="00EC7654"/>
    <w:rsid w:val="00EC7734"/>
    <w:rsid w:val="00ED07F6"/>
    <w:rsid w:val="00ED15DC"/>
    <w:rsid w:val="00ED1C75"/>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1F4B"/>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80E"/>
    <w:rsid w:val="00F549B5"/>
    <w:rsid w:val="00F562F6"/>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41FF"/>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A84"/>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1D28"/>
    <w:rsid w:val="00FB2018"/>
    <w:rsid w:val="00FB2D0D"/>
    <w:rsid w:val="00FB4417"/>
    <w:rsid w:val="00FB680F"/>
    <w:rsid w:val="00FB6C7C"/>
    <w:rsid w:val="00FB6E08"/>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B48"/>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0AD"/>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paragraph" w:styleId="afa">
    <w:name w:val="Body Text"/>
    <w:basedOn w:val="a"/>
    <w:link w:val="afb"/>
    <w:qFormat/>
    <w:rsid w:val="001F7F77"/>
    <w:pPr>
      <w:widowControl/>
      <w:spacing w:after="120"/>
      <w:jc w:val="left"/>
    </w:pPr>
    <w:rPr>
      <w:rFonts w:ascii="Times New Roman" w:eastAsia="Malgun Gothic" w:hAnsi="Times New Roman"/>
      <w:kern w:val="0"/>
      <w:sz w:val="20"/>
      <w:szCs w:val="20"/>
      <w:lang w:val="en-GB" w:eastAsia="en-US"/>
    </w:rPr>
  </w:style>
  <w:style w:type="character" w:customStyle="1" w:styleId="afb">
    <w:name w:val="正文文本 字符"/>
    <w:basedOn w:val="a0"/>
    <w:link w:val="afa"/>
    <w:rsid w:val="001F7F77"/>
    <w:rPr>
      <w:rFonts w:eastAsia="Malgun Gothic"/>
      <w:lang w:val="en-GB" w:eastAsia="en-US"/>
    </w:rPr>
  </w:style>
  <w:style w:type="character" w:customStyle="1" w:styleId="THChar">
    <w:name w:val="TH Char"/>
    <w:link w:val="TH"/>
    <w:qFormat/>
    <w:rsid w:val="001F7F77"/>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869101528">
      <w:bodyDiv w:val="1"/>
      <w:marLeft w:val="0"/>
      <w:marRight w:val="0"/>
      <w:marTop w:val="0"/>
      <w:marBottom w:val="0"/>
      <w:divBdr>
        <w:top w:val="none" w:sz="0" w:space="0" w:color="auto"/>
        <w:left w:val="none" w:sz="0" w:space="0" w:color="auto"/>
        <w:bottom w:val="none" w:sz="0" w:space="0" w:color="auto"/>
        <w:right w:val="none" w:sz="0" w:space="0" w:color="auto"/>
      </w:divBdr>
    </w:div>
    <w:div w:id="1195967904">
      <w:bodyDiv w:val="1"/>
      <w:marLeft w:val="0"/>
      <w:marRight w:val="0"/>
      <w:marTop w:val="0"/>
      <w:marBottom w:val="0"/>
      <w:divBdr>
        <w:top w:val="none" w:sz="0" w:space="0" w:color="auto"/>
        <w:left w:val="none" w:sz="0" w:space="0" w:color="auto"/>
        <w:bottom w:val="none" w:sz="0" w:space="0" w:color="auto"/>
        <w:right w:val="none" w:sz="0" w:space="0" w:color="auto"/>
      </w:divBdr>
    </w:div>
    <w:div w:id="1709061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2</Pages>
  <Words>488</Words>
  <Characters>2788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49</cp:revision>
  <dcterms:created xsi:type="dcterms:W3CDTF">2022-04-25T02:55:00Z</dcterms:created>
  <dcterms:modified xsi:type="dcterms:W3CDTF">2025-02-07T08:57:00Z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