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3AB6F233"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771F8F">
        <w:rPr>
          <w:rFonts w:cs="Arial"/>
          <w:sz w:val="24"/>
          <w:szCs w:val="24"/>
          <w:lang w:eastAsia="zh-CN"/>
        </w:rPr>
        <w:t>4</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50</w:t>
      </w:r>
      <w:r w:rsidR="005E1368">
        <w:rPr>
          <w:rFonts w:cs="Arial"/>
          <w:sz w:val="24"/>
          <w:szCs w:val="24"/>
          <w:lang w:eastAsia="zh-CN"/>
        </w:rPr>
        <w:t>06</w:t>
      </w:r>
      <w:r w:rsidR="003B73B5">
        <w:rPr>
          <w:rFonts w:cs="Arial"/>
          <w:sz w:val="24"/>
          <w:szCs w:val="24"/>
          <w:lang w:eastAsia="zh-CN"/>
        </w:rPr>
        <w:t>48</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6FE3A60A" w:rsidR="004E3E93" w:rsidRPr="003B73B5" w:rsidRDefault="004E3E93" w:rsidP="003B73B5">
      <w:pPr>
        <w:rPr>
          <w:rFonts w:ascii="Arial" w:hAnsi="Arial" w:cs="Arial"/>
          <w:sz w:val="16"/>
          <w:szCs w:val="16"/>
        </w:rPr>
      </w:pPr>
      <w:r w:rsidRPr="006D409C">
        <w:rPr>
          <w:rFonts w:ascii="Arial" w:hAnsi="Arial" w:cs="Arial"/>
          <w:b/>
        </w:rPr>
        <w:t>Agenda Item:</w:t>
      </w:r>
      <w:r w:rsidRPr="006D409C">
        <w:rPr>
          <w:rFonts w:ascii="Arial" w:hAnsi="Arial" w:cs="Arial"/>
          <w:b/>
        </w:rPr>
        <w:tab/>
      </w:r>
      <w:r w:rsidR="003B73B5">
        <w:rPr>
          <w:rFonts w:ascii="Arial" w:hAnsi="Arial" w:cs="Arial"/>
          <w:b/>
        </w:rPr>
        <w:tab/>
      </w:r>
      <w:r w:rsidR="003B73B5">
        <w:rPr>
          <w:rFonts w:ascii="Arial" w:hAnsi="Arial" w:cs="Arial"/>
          <w:b/>
        </w:rPr>
        <w:tab/>
      </w:r>
      <w:r w:rsidR="003B73B5" w:rsidRPr="003B73B5">
        <w:rPr>
          <w:rFonts w:ascii="Arial" w:hAnsi="Arial" w:cs="Arial"/>
          <w:b/>
        </w:rPr>
        <w:t>7.10.2.</w:t>
      </w:r>
      <w:r w:rsidR="003D5CCE">
        <w:rPr>
          <w:rFonts w:ascii="Arial" w:hAnsi="Arial" w:cs="Arial"/>
          <w:b/>
        </w:rPr>
        <w:t>3</w:t>
      </w:r>
      <w:r w:rsidR="003B73B5" w:rsidRPr="003B73B5">
        <w:rPr>
          <w:rFonts w:ascii="Arial" w:hAnsi="Arial" w:cs="Arial"/>
          <w:b/>
        </w:rPr>
        <w:t>1</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rPr>
        <w:t>Xiaomi</w:t>
      </w:r>
    </w:p>
    <w:p w14:paraId="177266E6" w14:textId="38738566" w:rsidR="00356B01" w:rsidRPr="005E1368" w:rsidRDefault="00356B01" w:rsidP="005E1368">
      <w:pPr>
        <w:rPr>
          <w:rFonts w:ascii="Arial" w:hAnsi="Arial" w:cs="Arial"/>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3B73B5">
        <w:rPr>
          <w:rFonts w:ascii="Arial" w:hAnsi="Arial" w:cs="Arial"/>
          <w:b/>
        </w:rPr>
        <w:t xml:space="preserve">RF requirements for </w:t>
      </w:r>
      <w:r w:rsidR="003D5CCE">
        <w:rPr>
          <w:rFonts w:ascii="Arial" w:hAnsi="Arial" w:cs="Arial"/>
          <w:b/>
        </w:rPr>
        <w:t>IoT-NTN</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6EE844F9" w:rsidR="009B37B2" w:rsidRDefault="00825D14" w:rsidP="00F05C38">
      <w:pPr>
        <w:pStyle w:val="1"/>
        <w:numPr>
          <w:ilvl w:val="0"/>
          <w:numId w:val="4"/>
        </w:numPr>
        <w:rPr>
          <w:lang w:eastAsia="ja-JP"/>
        </w:rPr>
      </w:pPr>
      <w:r>
        <w:rPr>
          <w:rFonts w:hint="eastAsia"/>
          <w:lang w:eastAsia="ja-JP"/>
        </w:rPr>
        <w:t>Introduction</w:t>
      </w:r>
    </w:p>
    <w:p w14:paraId="5FAAE437" w14:textId="73113470" w:rsidR="003B73B5" w:rsidRDefault="003B73B5" w:rsidP="003B73B5">
      <w:pPr>
        <w:rPr>
          <w:lang w:val="sv-SE"/>
        </w:rPr>
      </w:pPr>
      <w:r>
        <w:rPr>
          <w:rFonts w:hint="eastAsia"/>
          <w:lang w:val="sv-SE"/>
        </w:rPr>
        <w:t>R</w:t>
      </w:r>
      <w:r>
        <w:rPr>
          <w:lang w:val="sv-SE"/>
        </w:rPr>
        <w:t>el-19 NTN agreed to introduce HPUE for NR-NTN</w:t>
      </w:r>
      <w:r w:rsidR="003D5CCE">
        <w:rPr>
          <w:lang w:val="sv-SE"/>
        </w:rPr>
        <w:t xml:space="preserve">/Iot-NTN operation: </w:t>
      </w:r>
    </w:p>
    <w:tbl>
      <w:tblPr>
        <w:tblStyle w:val="afd"/>
        <w:tblW w:w="0" w:type="auto"/>
        <w:tblLook w:val="04A0" w:firstRow="1" w:lastRow="0" w:firstColumn="1" w:lastColumn="0" w:noHBand="0" w:noVBand="1"/>
      </w:tblPr>
      <w:tblGrid>
        <w:gridCol w:w="9631"/>
      </w:tblGrid>
      <w:tr w:rsidR="004A311B" w14:paraId="5380D0C1" w14:textId="77777777" w:rsidTr="004A311B">
        <w:tc>
          <w:tcPr>
            <w:tcW w:w="9631" w:type="dxa"/>
          </w:tcPr>
          <w:p w14:paraId="1F1F3CF5" w14:textId="77777777" w:rsidR="004A311B" w:rsidRDefault="004A311B" w:rsidP="004A311B">
            <w:r>
              <w:rPr>
                <w:rFonts w:hint="eastAsia"/>
                <w:b/>
              </w:rPr>
              <w:t>High power UE (HPUE) for NTN</w:t>
            </w:r>
          </w:p>
          <w:p w14:paraId="0C724D43" w14:textId="77777777" w:rsidR="004A311B" w:rsidRDefault="004A311B" w:rsidP="004A311B">
            <w:pPr>
              <w:pStyle w:val="aff6"/>
              <w:numPr>
                <w:ilvl w:val="0"/>
                <w:numId w:val="28"/>
              </w:numPr>
              <w:overflowPunct/>
              <w:autoSpaceDE/>
              <w:autoSpaceDN/>
              <w:adjustRightInd/>
              <w:ind w:firstLineChars="0"/>
              <w:textAlignment w:val="auto"/>
            </w:pPr>
            <w:r>
              <w:t>Conduct the coexistence analysis based on TR 38.863 for the above example bands and corresponding power classes</w:t>
            </w:r>
          </w:p>
          <w:p w14:paraId="180ACE0C" w14:textId="77777777" w:rsidR="004A311B" w:rsidRDefault="004A311B" w:rsidP="004A311B">
            <w:pPr>
              <w:pStyle w:val="aff6"/>
              <w:numPr>
                <w:ilvl w:val="1"/>
                <w:numId w:val="28"/>
              </w:numPr>
              <w:overflowPunct/>
              <w:autoSpaceDE/>
              <w:autoSpaceDN/>
              <w:adjustRightInd/>
              <w:ind w:firstLineChars="0"/>
              <w:textAlignment w:val="auto"/>
            </w:pPr>
            <w:r>
              <w:t>Evaluate the impact on the uplink performance of TN (Terrestrial network)</w:t>
            </w:r>
          </w:p>
          <w:p w14:paraId="718F5981" w14:textId="77777777" w:rsidR="004A311B" w:rsidRDefault="004A311B" w:rsidP="004A311B">
            <w:pPr>
              <w:pStyle w:val="aff6"/>
              <w:numPr>
                <w:ilvl w:val="2"/>
                <w:numId w:val="28"/>
              </w:numPr>
              <w:overflowPunct/>
              <w:autoSpaceDE/>
              <w:autoSpaceDN/>
              <w:adjustRightInd/>
              <w:ind w:firstLineChars="0"/>
              <w:textAlignment w:val="auto"/>
            </w:pPr>
            <w:r>
              <w:t>Example bands include bands n256 and 256, n255 and 255</w:t>
            </w:r>
          </w:p>
          <w:p w14:paraId="23699E14" w14:textId="77777777" w:rsidR="004A311B" w:rsidRDefault="004A311B" w:rsidP="004A311B">
            <w:pPr>
              <w:pStyle w:val="aff6"/>
              <w:numPr>
                <w:ilvl w:val="2"/>
                <w:numId w:val="28"/>
              </w:numPr>
              <w:overflowPunct/>
              <w:autoSpaceDE/>
              <w:autoSpaceDN/>
              <w:adjustRightInd/>
              <w:ind w:firstLineChars="0"/>
              <w:textAlignment w:val="auto"/>
            </w:pPr>
            <w:r>
              <w:t>PC2, PC1.5 (for NR-NTN only) and PC1 will be evaluated for ACLR and ACS</w:t>
            </w:r>
          </w:p>
          <w:p w14:paraId="25E2349E" w14:textId="77777777" w:rsidR="004A311B" w:rsidRDefault="004A311B" w:rsidP="004A311B">
            <w:pPr>
              <w:pStyle w:val="aff6"/>
              <w:numPr>
                <w:ilvl w:val="2"/>
                <w:numId w:val="28"/>
              </w:numPr>
              <w:overflowPunct/>
              <w:autoSpaceDE/>
              <w:autoSpaceDN/>
              <w:adjustRightInd/>
              <w:ind w:firstLineChars="0"/>
              <w:textAlignment w:val="auto"/>
            </w:pPr>
            <w:r>
              <w:t>For NR-NTN and IoT-NTN: coexistence studies shall be carried out under the same conditions, including geographical separation between NTN UE and Terrestrial Networks (TN), as the co-existence studies in Rel-17 and Rel-18</w:t>
            </w:r>
          </w:p>
          <w:p w14:paraId="72095295" w14:textId="77777777" w:rsidR="004A311B" w:rsidRDefault="004A311B" w:rsidP="004A311B">
            <w:pPr>
              <w:pStyle w:val="aff6"/>
              <w:numPr>
                <w:ilvl w:val="0"/>
                <w:numId w:val="28"/>
              </w:numPr>
              <w:overflowPunct/>
              <w:autoSpaceDE/>
              <w:autoSpaceDN/>
              <w:adjustRightInd/>
              <w:ind w:firstLineChars="0"/>
              <w:textAlignment w:val="auto"/>
            </w:pPr>
            <w:r>
              <w:t>Specify high power UE (HPUE) for NR-NTN (Non-Terrestrial Networks) and IoT-NTN (NB-IoT and eMTC based NTN) in FR1-NTN bands and the corresponding LTE NTN bands for the single uplink (UL) carrier scenario</w:t>
            </w:r>
          </w:p>
          <w:p w14:paraId="6AB21F61" w14:textId="77777777" w:rsidR="004A311B" w:rsidRDefault="004A311B" w:rsidP="004A311B">
            <w:pPr>
              <w:pStyle w:val="aff6"/>
              <w:numPr>
                <w:ilvl w:val="1"/>
                <w:numId w:val="28"/>
              </w:numPr>
              <w:overflowPunct/>
              <w:autoSpaceDE/>
              <w:autoSpaceDN/>
              <w:adjustRightInd/>
              <w:ind w:firstLineChars="0"/>
              <w:textAlignment w:val="auto"/>
            </w:pPr>
            <w:r>
              <w:t>Support UE with power class 2 (PC2, 26 dBm) that applies to both handheld and non-handheld based on the co-existence study.</w:t>
            </w:r>
          </w:p>
          <w:p w14:paraId="4E6AB2D1" w14:textId="77777777" w:rsidR="004A311B" w:rsidRDefault="004A311B" w:rsidP="004A311B">
            <w:pPr>
              <w:pStyle w:val="aff6"/>
              <w:numPr>
                <w:ilvl w:val="1"/>
                <w:numId w:val="28"/>
              </w:numPr>
              <w:overflowPunct/>
              <w:autoSpaceDE/>
              <w:autoSpaceDN/>
              <w:adjustRightInd/>
              <w:ind w:firstLineChars="0"/>
              <w:textAlignment w:val="auto"/>
            </w:pPr>
            <w:r>
              <w:t>Support other power classes based on the co-existence and feasibility study</w:t>
            </w:r>
          </w:p>
          <w:p w14:paraId="6E5AC8F3" w14:textId="77777777" w:rsidR="004A311B" w:rsidRDefault="004A311B" w:rsidP="004A311B">
            <w:pPr>
              <w:pStyle w:val="aff6"/>
              <w:numPr>
                <w:ilvl w:val="2"/>
                <w:numId w:val="28"/>
              </w:numPr>
              <w:overflowPunct/>
              <w:autoSpaceDE/>
              <w:autoSpaceDN/>
              <w:adjustRightInd/>
              <w:ind w:firstLineChars="0"/>
              <w:textAlignment w:val="auto"/>
            </w:pPr>
            <w:r>
              <w:t>Non-hand held UE is prioritized</w:t>
            </w:r>
          </w:p>
          <w:p w14:paraId="2BDC07FE" w14:textId="77777777" w:rsidR="004A311B" w:rsidRDefault="004A311B" w:rsidP="004A311B">
            <w:pPr>
              <w:pStyle w:val="aff6"/>
              <w:numPr>
                <w:ilvl w:val="1"/>
                <w:numId w:val="28"/>
              </w:numPr>
              <w:overflowPunct/>
              <w:autoSpaceDE/>
              <w:autoSpaceDN/>
              <w:adjustRightInd/>
              <w:ind w:firstLineChars="0"/>
              <w:textAlignment w:val="auto"/>
            </w:pPr>
            <w:r>
              <w:t>Specify RF requirements for all considered power classes for NR-NTN and IoT-NTN in FR1-NTN bands and the corresponding LTE NTN bands</w:t>
            </w:r>
          </w:p>
          <w:p w14:paraId="332B5C89" w14:textId="77777777" w:rsidR="004A311B" w:rsidRDefault="004A311B" w:rsidP="004A311B">
            <w:pPr>
              <w:pStyle w:val="aff6"/>
              <w:numPr>
                <w:ilvl w:val="2"/>
                <w:numId w:val="28"/>
              </w:numPr>
              <w:overflowPunct/>
              <w:autoSpaceDE/>
              <w:autoSpaceDN/>
              <w:adjustRightInd/>
              <w:ind w:firstLineChars="0"/>
              <w:textAlignment w:val="auto"/>
            </w:pPr>
            <w:r>
              <w:t>Necessary Tx requirements, at least including</w:t>
            </w:r>
          </w:p>
          <w:p w14:paraId="2189D5A1" w14:textId="77777777" w:rsidR="004A311B" w:rsidRDefault="004A311B" w:rsidP="004A311B">
            <w:pPr>
              <w:pStyle w:val="aff6"/>
              <w:numPr>
                <w:ilvl w:val="3"/>
                <w:numId w:val="28"/>
              </w:numPr>
              <w:overflowPunct/>
              <w:autoSpaceDE/>
              <w:autoSpaceDN/>
              <w:adjustRightInd/>
              <w:ind w:firstLineChars="0"/>
              <w:textAlignment w:val="auto"/>
            </w:pPr>
            <w:r>
              <w:t>Investigate and if necessary, specify the solution to address potential SAR (Specific Absorption Rate restriction) requirements for handheld UE</w:t>
            </w:r>
          </w:p>
          <w:p w14:paraId="3FD53D82" w14:textId="77777777" w:rsidR="004A311B" w:rsidRDefault="004A311B" w:rsidP="004A311B">
            <w:pPr>
              <w:pStyle w:val="aff6"/>
              <w:numPr>
                <w:ilvl w:val="3"/>
                <w:numId w:val="28"/>
              </w:numPr>
              <w:overflowPunct/>
              <w:autoSpaceDE/>
              <w:autoSpaceDN/>
              <w:adjustRightInd/>
              <w:ind w:firstLineChars="0"/>
              <w:textAlignment w:val="auto"/>
            </w:pPr>
            <w:r>
              <w:t>Specify MPR and A-MPR for the example bands considering the regulation for the corresponding bands, if necessary</w:t>
            </w:r>
          </w:p>
          <w:p w14:paraId="72A56AA8" w14:textId="77777777" w:rsidR="004A311B" w:rsidRDefault="004A311B" w:rsidP="004A311B">
            <w:pPr>
              <w:pStyle w:val="aff6"/>
              <w:numPr>
                <w:ilvl w:val="2"/>
                <w:numId w:val="28"/>
              </w:numPr>
              <w:overflowPunct/>
              <w:autoSpaceDE/>
              <w:autoSpaceDN/>
              <w:adjustRightInd/>
              <w:ind w:firstLineChars="0"/>
              <w:textAlignment w:val="auto"/>
            </w:pPr>
            <w:r>
              <w:t>Necessary Rx requirements, at least including</w:t>
            </w:r>
          </w:p>
          <w:p w14:paraId="4EF9A558" w14:textId="77777777" w:rsidR="004A311B" w:rsidRDefault="004A311B" w:rsidP="004A311B">
            <w:pPr>
              <w:pStyle w:val="aff6"/>
              <w:numPr>
                <w:ilvl w:val="3"/>
                <w:numId w:val="28"/>
              </w:numPr>
              <w:overflowPunct/>
              <w:autoSpaceDE/>
              <w:autoSpaceDN/>
              <w:adjustRightInd/>
              <w:ind w:firstLineChars="0"/>
              <w:textAlignment w:val="auto"/>
            </w:pPr>
            <w:r>
              <w:t>Specify the RSD requirements on the example bands, if necessary</w:t>
            </w:r>
          </w:p>
          <w:p w14:paraId="29238A63" w14:textId="627EA7A1" w:rsidR="004A311B" w:rsidRPr="004A311B" w:rsidRDefault="004A311B" w:rsidP="004A311B">
            <w:pPr>
              <w:pStyle w:val="aff6"/>
              <w:numPr>
                <w:ilvl w:val="0"/>
                <w:numId w:val="28"/>
              </w:numPr>
              <w:overflowPunct/>
              <w:autoSpaceDE/>
              <w:autoSpaceDN/>
              <w:adjustRightInd/>
              <w:ind w:firstLineChars="0"/>
              <w:textAlignment w:val="auto"/>
            </w:pPr>
            <w:r>
              <w:t>Specify the necessary signaling to support the above objectives</w:t>
            </w:r>
          </w:p>
        </w:tc>
      </w:tr>
    </w:tbl>
    <w:p w14:paraId="497F395E" w14:textId="77777777" w:rsidR="004A311B" w:rsidRDefault="004A311B" w:rsidP="003B73B5">
      <w:pPr>
        <w:rPr>
          <w:lang w:val="sv-SE"/>
        </w:rPr>
      </w:pPr>
    </w:p>
    <w:p w14:paraId="424456AF" w14:textId="1456A4DB" w:rsidR="004E33B5" w:rsidRPr="005E1368" w:rsidRDefault="004E33B5" w:rsidP="005E1368">
      <w:pPr>
        <w:rPr>
          <w:lang w:val="sv-SE"/>
        </w:rPr>
      </w:pPr>
      <w:r>
        <w:rPr>
          <w:rFonts w:hint="eastAsia"/>
          <w:lang w:val="sv-SE"/>
        </w:rPr>
        <w:t>I</w:t>
      </w:r>
      <w:r>
        <w:rPr>
          <w:lang w:val="sv-SE"/>
        </w:rPr>
        <w:t>n this contribution, views on remaining open issues were provi</w:t>
      </w:r>
      <w:r w:rsidRPr="003B73B5">
        <w:rPr>
          <w:szCs w:val="21"/>
          <w:lang w:val="sv-SE"/>
        </w:rPr>
        <w:t xml:space="preserve">ded. </w:t>
      </w:r>
    </w:p>
    <w:p w14:paraId="5E28CDC0" w14:textId="23DFABE7" w:rsidR="00771728" w:rsidRDefault="0062292E" w:rsidP="00F05C38">
      <w:pPr>
        <w:pStyle w:val="1"/>
        <w:numPr>
          <w:ilvl w:val="0"/>
          <w:numId w:val="4"/>
        </w:numPr>
        <w:rPr>
          <w:lang w:val="en-GB" w:eastAsia="ja-JP"/>
        </w:rPr>
      </w:pPr>
      <w:r>
        <w:rPr>
          <w:lang w:val="en-GB" w:eastAsia="ja-JP"/>
        </w:rPr>
        <w:lastRenderedPageBreak/>
        <w:t>Discussion</w:t>
      </w:r>
    </w:p>
    <w:p w14:paraId="56D28393" w14:textId="3526690A" w:rsidR="00C74205" w:rsidRDefault="00C74205" w:rsidP="00C74205">
      <w:pPr>
        <w:rPr>
          <w:b/>
          <w:bCs/>
        </w:rPr>
      </w:pPr>
      <w:r w:rsidRPr="00C74205">
        <w:rPr>
          <w:rFonts w:hint="eastAsia"/>
          <w:b/>
          <w:bCs/>
        </w:rPr>
        <w:t>A</w:t>
      </w:r>
      <w:r w:rsidRPr="00C74205">
        <w:rPr>
          <w:b/>
          <w:bCs/>
        </w:rPr>
        <w:t>CLR requirements</w:t>
      </w:r>
    </w:p>
    <w:tbl>
      <w:tblPr>
        <w:tblStyle w:val="afd"/>
        <w:tblW w:w="0" w:type="auto"/>
        <w:tblLook w:val="04A0" w:firstRow="1" w:lastRow="0" w:firstColumn="1" w:lastColumn="0" w:noHBand="0" w:noVBand="1"/>
      </w:tblPr>
      <w:tblGrid>
        <w:gridCol w:w="9631"/>
      </w:tblGrid>
      <w:tr w:rsidR="003E3AAD" w14:paraId="075671DA" w14:textId="77777777" w:rsidTr="003E3AAD">
        <w:tc>
          <w:tcPr>
            <w:tcW w:w="9631" w:type="dxa"/>
          </w:tcPr>
          <w:p w14:paraId="3A714E1A" w14:textId="77777777" w:rsidR="003E3AAD" w:rsidRDefault="003E3AAD" w:rsidP="003E3AAD">
            <w:pPr>
              <w:jc w:val="both"/>
              <w:rPr>
                <w:rFonts w:eastAsia="宋体"/>
                <w:b/>
                <w:u w:val="single"/>
                <w:lang w:eastAsia="ko-KR"/>
              </w:rPr>
            </w:pPr>
            <w:r>
              <w:rPr>
                <w:b/>
                <w:u w:val="single"/>
                <w:lang w:eastAsia="ko-KR"/>
              </w:rPr>
              <w:t>Issue 1-1</w:t>
            </w:r>
            <w:r>
              <w:rPr>
                <w:b/>
                <w:u w:val="single"/>
                <w:lang w:eastAsia="zh-CN"/>
              </w:rPr>
              <w:t>-2</w:t>
            </w:r>
            <w:r>
              <w:rPr>
                <w:b/>
                <w:u w:val="single"/>
                <w:lang w:eastAsia="ko-KR"/>
              </w:rPr>
              <w:t>: PC1/2 ACLR should not below PC3 requirements, based on the assumption that PC3 requirement can be relaxed if necessary.</w:t>
            </w:r>
          </w:p>
          <w:p w14:paraId="27CE05B3" w14:textId="77777777" w:rsidR="003E3AAD" w:rsidRDefault="003E3AAD" w:rsidP="003E3AAD">
            <w:pPr>
              <w:pStyle w:val="aff6"/>
              <w:numPr>
                <w:ilvl w:val="0"/>
                <w:numId w:val="36"/>
              </w:numPr>
              <w:overflowPunct/>
              <w:autoSpaceDE/>
              <w:adjustRightInd/>
              <w:spacing w:after="120" w:line="240" w:lineRule="auto"/>
              <w:ind w:left="720" w:firstLineChars="0"/>
              <w:jc w:val="both"/>
              <w:textAlignment w:val="auto"/>
              <w:rPr>
                <w:rFonts w:eastAsia="宋体"/>
                <w:szCs w:val="24"/>
                <w:lang w:eastAsia="zh-CN"/>
              </w:rPr>
            </w:pPr>
            <w:r>
              <w:rPr>
                <w:rFonts w:eastAsia="宋体"/>
                <w:szCs w:val="24"/>
                <w:lang w:eastAsia="zh-CN"/>
              </w:rPr>
              <w:t>Proposals</w:t>
            </w:r>
          </w:p>
          <w:p w14:paraId="25BD7E18" w14:textId="77777777" w:rsidR="003E3AAD" w:rsidRDefault="003E3AAD" w:rsidP="003E3AAD">
            <w:pPr>
              <w:pStyle w:val="aff6"/>
              <w:numPr>
                <w:ilvl w:val="1"/>
                <w:numId w:val="36"/>
              </w:numPr>
              <w:overflowPunct/>
              <w:autoSpaceDE/>
              <w:adjustRightInd/>
              <w:spacing w:after="120" w:line="240" w:lineRule="auto"/>
              <w:ind w:left="1440" w:firstLineChars="0" w:hanging="360"/>
              <w:jc w:val="both"/>
              <w:textAlignment w:val="auto"/>
              <w:rPr>
                <w:i/>
                <w:sz w:val="18"/>
                <w:szCs w:val="18"/>
              </w:rPr>
            </w:pPr>
            <w:r>
              <w:rPr>
                <w:rFonts w:eastAsia="宋体"/>
                <w:szCs w:val="24"/>
                <w:lang w:eastAsia="zh-CN"/>
              </w:rPr>
              <w:t>Option 1: Yes.</w:t>
            </w:r>
          </w:p>
          <w:p w14:paraId="719B1EEE" w14:textId="77777777" w:rsidR="003E3AAD" w:rsidRDefault="003E3AAD" w:rsidP="003E3AAD">
            <w:pPr>
              <w:pStyle w:val="aff6"/>
              <w:numPr>
                <w:ilvl w:val="1"/>
                <w:numId w:val="36"/>
              </w:numPr>
              <w:overflowPunct/>
              <w:autoSpaceDE/>
              <w:adjustRightInd/>
              <w:spacing w:after="120" w:line="240" w:lineRule="auto"/>
              <w:ind w:left="1440" w:firstLineChars="0" w:hanging="360"/>
              <w:jc w:val="both"/>
              <w:textAlignment w:val="auto"/>
              <w:rPr>
                <w:rFonts w:eastAsiaTheme="minorEastAsia"/>
                <w:i/>
                <w:sz w:val="18"/>
                <w:szCs w:val="18"/>
                <w:lang w:eastAsia="zh-CN"/>
              </w:rPr>
            </w:pPr>
            <w:r>
              <w:rPr>
                <w:rFonts w:eastAsia="宋体"/>
                <w:szCs w:val="24"/>
                <w:lang w:eastAsia="zh-CN"/>
              </w:rPr>
              <w:t>Option 2: No</w:t>
            </w:r>
          </w:p>
          <w:p w14:paraId="66FE83D9" w14:textId="77777777" w:rsidR="003E3AAD" w:rsidRDefault="003E3AAD" w:rsidP="003E3AAD">
            <w:pPr>
              <w:pStyle w:val="aff6"/>
              <w:numPr>
                <w:ilvl w:val="1"/>
                <w:numId w:val="36"/>
              </w:numPr>
              <w:overflowPunct/>
              <w:autoSpaceDE/>
              <w:adjustRightInd/>
              <w:spacing w:after="120" w:line="240" w:lineRule="auto"/>
              <w:ind w:left="1440" w:firstLineChars="0" w:hanging="360"/>
              <w:jc w:val="both"/>
              <w:textAlignment w:val="auto"/>
              <w:rPr>
                <w:rFonts w:eastAsia="宋体"/>
                <w:szCs w:val="24"/>
                <w:lang w:eastAsia="zh-CN"/>
              </w:rPr>
            </w:pPr>
            <w:r>
              <w:rPr>
                <w:rFonts w:eastAsia="宋体"/>
                <w:szCs w:val="24"/>
                <w:lang w:eastAsia="zh-CN"/>
              </w:rPr>
              <w:t>Option 3: Others</w:t>
            </w:r>
          </w:p>
          <w:p w14:paraId="4D15118B" w14:textId="77777777" w:rsidR="003E3AAD" w:rsidRDefault="003E3AAD" w:rsidP="003E3AAD">
            <w:pPr>
              <w:jc w:val="both"/>
              <w:rPr>
                <w:rFonts w:eastAsia="宋体"/>
                <w:iCs/>
                <w:lang w:eastAsia="zh-CN"/>
              </w:rPr>
            </w:pPr>
            <w:r>
              <w:rPr>
                <w:iCs/>
                <w:lang w:eastAsia="zh-CN"/>
              </w:rPr>
              <w:t xml:space="preserve">Agreement: </w:t>
            </w:r>
          </w:p>
          <w:p w14:paraId="23B8E5D9" w14:textId="2F987544" w:rsidR="003E3AAD" w:rsidRPr="003E3AAD" w:rsidRDefault="003E3AAD" w:rsidP="003E3AAD">
            <w:pPr>
              <w:pStyle w:val="aff6"/>
              <w:numPr>
                <w:ilvl w:val="0"/>
                <w:numId w:val="37"/>
              </w:numPr>
              <w:spacing w:line="240" w:lineRule="auto"/>
              <w:ind w:firstLineChars="0"/>
              <w:textAlignment w:val="auto"/>
              <w:rPr>
                <w:iCs/>
                <w:lang w:eastAsia="zh-CN"/>
              </w:rPr>
            </w:pPr>
            <w:r>
              <w:rPr>
                <w:rFonts w:eastAsiaTheme="minorEastAsia"/>
                <w:iCs/>
                <w:lang w:eastAsia="zh-CN"/>
              </w:rPr>
              <w:t>HPUE ACLR should not be relaxed than that for PC3 for NB-IoT NTN.</w:t>
            </w:r>
          </w:p>
        </w:tc>
      </w:tr>
    </w:tbl>
    <w:p w14:paraId="3C2E901F" w14:textId="77777777" w:rsidR="003E3AAD" w:rsidRPr="003E3AAD" w:rsidRDefault="003E3AAD" w:rsidP="00C74205">
      <w:pPr>
        <w:rPr>
          <w:rFonts w:hint="eastAsia"/>
          <w:b/>
          <w:bCs/>
        </w:rPr>
      </w:pPr>
    </w:p>
    <w:p w14:paraId="46A73B34" w14:textId="056F8C02" w:rsidR="00C74205" w:rsidRDefault="00C74205" w:rsidP="00C74205">
      <w:r>
        <w:t>I</w:t>
      </w:r>
      <w:r>
        <w:rPr>
          <w:rFonts w:hint="eastAsia"/>
        </w:rPr>
        <w:t>n</w:t>
      </w:r>
      <w:r>
        <w:t xml:space="preserve"> </w:t>
      </w:r>
      <w:r>
        <w:rPr>
          <w:rFonts w:hint="eastAsia"/>
        </w:rPr>
        <w:t>last</w:t>
      </w:r>
      <w:r>
        <w:t xml:space="preserve"> </w:t>
      </w:r>
      <w:r>
        <w:rPr>
          <w:rFonts w:hint="eastAsia"/>
        </w:rPr>
        <w:t>RAN</w:t>
      </w:r>
      <w:r>
        <w:t xml:space="preserve">4 </w:t>
      </w:r>
      <w:r>
        <w:rPr>
          <w:rFonts w:hint="eastAsia"/>
        </w:rPr>
        <w:t>meeting</w:t>
      </w:r>
      <w:r>
        <w:t>, initial conclusion</w:t>
      </w:r>
      <w:r w:rsidR="00335E88">
        <w:t xml:space="preserve"> was</w:t>
      </w:r>
      <w:r>
        <w:t xml:space="preserve"> reached for co-existence study as following:</w:t>
      </w:r>
    </w:p>
    <w:tbl>
      <w:tblPr>
        <w:tblStyle w:val="afd"/>
        <w:tblW w:w="0" w:type="auto"/>
        <w:tblLook w:val="04A0" w:firstRow="1" w:lastRow="0" w:firstColumn="1" w:lastColumn="0" w:noHBand="0" w:noVBand="1"/>
      </w:tblPr>
      <w:tblGrid>
        <w:gridCol w:w="9631"/>
      </w:tblGrid>
      <w:tr w:rsidR="00C74205" w14:paraId="5172FD2A" w14:textId="77777777" w:rsidTr="00C74205">
        <w:tc>
          <w:tcPr>
            <w:tcW w:w="9631" w:type="dxa"/>
          </w:tcPr>
          <w:p w14:paraId="0A1AEE61" w14:textId="77777777" w:rsidR="00C74205" w:rsidRDefault="00C74205" w:rsidP="00C74205">
            <w:pPr>
              <w:rPr>
                <w:b/>
                <w:u w:val="single"/>
                <w:lang w:eastAsia="ko-KR"/>
              </w:rPr>
            </w:pPr>
            <w:r>
              <w:rPr>
                <w:b/>
                <w:u w:val="single"/>
                <w:lang w:eastAsia="ko-KR"/>
              </w:rPr>
              <w:t xml:space="preserve">Issue 1-8 to Issue 1-10: </w:t>
            </w:r>
            <w:r>
              <w:rPr>
                <w:b/>
                <w:u w:val="single"/>
              </w:rPr>
              <w:t>R</w:t>
            </w:r>
            <w:r>
              <w:rPr>
                <w:b/>
                <w:u w:val="single"/>
                <w:lang w:eastAsia="ko-KR"/>
              </w:rPr>
              <w:t>equired ACIR/ACLR for from co-ex study</w:t>
            </w:r>
          </w:p>
          <w:p w14:paraId="4637B0D7" w14:textId="77777777" w:rsidR="00C74205" w:rsidRPr="00C74205" w:rsidRDefault="00C74205" w:rsidP="00C74205">
            <w:pPr>
              <w:rPr>
                <w:rFonts w:cstheme="minorHAnsi"/>
                <w:b/>
                <w:bCs/>
                <w:iCs/>
              </w:rPr>
            </w:pPr>
            <w:r w:rsidRPr="00C74205">
              <w:rPr>
                <w:rFonts w:cstheme="minorHAnsi"/>
                <w:b/>
                <w:bCs/>
                <w:iCs/>
              </w:rPr>
              <w:t>Agreement:</w:t>
            </w:r>
          </w:p>
          <w:p w14:paraId="61880B62" w14:textId="77777777" w:rsidR="00C74205" w:rsidRPr="00C74205" w:rsidRDefault="00C74205" w:rsidP="00C74205">
            <w:pPr>
              <w:pStyle w:val="afa"/>
              <w:rPr>
                <w:rFonts w:eastAsia="宋体" w:cstheme="minorHAnsi"/>
                <w:sz w:val="20"/>
                <w:szCs w:val="20"/>
              </w:rPr>
            </w:pPr>
            <w:r w:rsidRPr="00C74205">
              <w:rPr>
                <w:rFonts w:eastAsia="宋体" w:cstheme="minorHAnsi"/>
                <w:sz w:val="20"/>
                <w:szCs w:val="20"/>
              </w:rPr>
              <w:t>Based on the results collected till RAN4#113, observations as following for the required ACLR from co-existence study evaluation perspective:</w:t>
            </w:r>
          </w:p>
          <w:p w14:paraId="184004C0" w14:textId="77777777" w:rsidR="003D5CCE" w:rsidRPr="003D5CCE" w:rsidRDefault="003D5CCE" w:rsidP="003D5CCE">
            <w:pPr>
              <w:spacing w:after="120"/>
              <w:rPr>
                <w:rFonts w:eastAsia="宋体"/>
                <w:sz w:val="18"/>
                <w:szCs w:val="18"/>
              </w:rPr>
            </w:pPr>
            <w:r w:rsidRPr="003D5CCE">
              <w:rPr>
                <w:rFonts w:eastAsia="宋体"/>
                <w:sz w:val="18"/>
                <w:szCs w:val="18"/>
              </w:rPr>
              <w:t xml:space="preserve">For IoT-NTN PC2: </w:t>
            </w:r>
          </w:p>
          <w:p w14:paraId="6B02EF79" w14:textId="77777777" w:rsidR="003D5CCE" w:rsidRPr="003D5CCE" w:rsidRDefault="003D5CCE" w:rsidP="003D5CCE">
            <w:pPr>
              <w:pStyle w:val="aff6"/>
              <w:widowControl w:val="0"/>
              <w:numPr>
                <w:ilvl w:val="0"/>
                <w:numId w:val="35"/>
              </w:numPr>
              <w:overflowPunct/>
              <w:autoSpaceDE/>
              <w:autoSpaceDN/>
              <w:adjustRightInd/>
              <w:spacing w:after="120" w:line="240" w:lineRule="auto"/>
              <w:ind w:firstLineChars="0"/>
              <w:textAlignment w:val="auto"/>
              <w:rPr>
                <w:rFonts w:eastAsia="宋体"/>
                <w:sz w:val="18"/>
                <w:szCs w:val="18"/>
              </w:rPr>
            </w:pPr>
            <w:r w:rsidRPr="003D5CCE">
              <w:rPr>
                <w:rFonts w:eastAsia="宋体"/>
                <w:sz w:val="18"/>
                <w:szCs w:val="18"/>
              </w:rPr>
              <w:t>Less than 21.1 dB with 1.5km isolation distance assumed;</w:t>
            </w:r>
          </w:p>
          <w:p w14:paraId="6AA9D7DC" w14:textId="77777777" w:rsidR="003D5CCE" w:rsidRPr="003D5CCE" w:rsidRDefault="003D5CCE" w:rsidP="003D5CCE">
            <w:pPr>
              <w:pStyle w:val="aff6"/>
              <w:widowControl w:val="0"/>
              <w:numPr>
                <w:ilvl w:val="0"/>
                <w:numId w:val="35"/>
              </w:numPr>
              <w:overflowPunct/>
              <w:autoSpaceDE/>
              <w:autoSpaceDN/>
              <w:adjustRightInd/>
              <w:spacing w:after="120" w:line="240" w:lineRule="auto"/>
              <w:ind w:firstLineChars="0"/>
              <w:textAlignment w:val="auto"/>
              <w:rPr>
                <w:rFonts w:eastAsia="宋体"/>
                <w:sz w:val="18"/>
                <w:szCs w:val="18"/>
              </w:rPr>
            </w:pPr>
            <w:r w:rsidRPr="003D5CCE">
              <w:rPr>
                <w:rFonts w:eastAsia="宋体"/>
                <w:sz w:val="18"/>
                <w:szCs w:val="18"/>
              </w:rPr>
              <w:t>Less than [20.3] dB with 0km isolation distance assumed.</w:t>
            </w:r>
          </w:p>
          <w:p w14:paraId="10CB0A23" w14:textId="77777777" w:rsidR="003D5CCE" w:rsidRPr="003D5CCE" w:rsidRDefault="003D5CCE" w:rsidP="003D5CCE">
            <w:pPr>
              <w:pStyle w:val="aff6"/>
              <w:widowControl w:val="0"/>
              <w:numPr>
                <w:ilvl w:val="1"/>
                <w:numId w:val="35"/>
              </w:numPr>
              <w:overflowPunct/>
              <w:autoSpaceDE/>
              <w:autoSpaceDN/>
              <w:adjustRightInd/>
              <w:spacing w:after="120" w:line="240" w:lineRule="auto"/>
              <w:ind w:left="1656" w:firstLineChars="0" w:hanging="360"/>
              <w:textAlignment w:val="auto"/>
              <w:rPr>
                <w:rFonts w:eastAsia="宋体"/>
                <w:sz w:val="18"/>
                <w:szCs w:val="18"/>
              </w:rPr>
            </w:pPr>
            <w:r w:rsidRPr="003D5CCE">
              <w:rPr>
                <w:rFonts w:eastAsia="宋体"/>
                <w:sz w:val="18"/>
                <w:szCs w:val="18"/>
              </w:rPr>
              <w:t>Interested companies are encouraged to provide results on this case</w:t>
            </w:r>
          </w:p>
          <w:p w14:paraId="585093D1" w14:textId="77777777" w:rsidR="003D5CCE" w:rsidRPr="003D5CCE" w:rsidRDefault="003D5CCE" w:rsidP="003D5CCE">
            <w:pPr>
              <w:pStyle w:val="B1"/>
              <w:ind w:left="0" w:firstLine="0"/>
              <w:rPr>
                <w:rFonts w:eastAsiaTheme="minorEastAsia"/>
                <w:sz w:val="18"/>
                <w:szCs w:val="18"/>
              </w:rPr>
            </w:pPr>
          </w:p>
          <w:p w14:paraId="26438E1F" w14:textId="77777777" w:rsidR="003D5CCE" w:rsidRPr="003D5CCE" w:rsidRDefault="003D5CCE" w:rsidP="003D5CCE">
            <w:pPr>
              <w:spacing w:after="120"/>
              <w:rPr>
                <w:rFonts w:eastAsia="宋体"/>
                <w:sz w:val="18"/>
                <w:szCs w:val="18"/>
              </w:rPr>
            </w:pPr>
            <w:r w:rsidRPr="003D5CCE">
              <w:rPr>
                <w:rFonts w:eastAsia="宋体"/>
                <w:sz w:val="18"/>
                <w:szCs w:val="18"/>
              </w:rPr>
              <w:t xml:space="preserve">For IoT-NTN PC1: </w:t>
            </w:r>
          </w:p>
          <w:p w14:paraId="08B002E6" w14:textId="77777777" w:rsidR="003D5CCE" w:rsidRPr="003D5CCE" w:rsidRDefault="003D5CCE" w:rsidP="003D5CCE">
            <w:pPr>
              <w:pStyle w:val="aff6"/>
              <w:widowControl w:val="0"/>
              <w:numPr>
                <w:ilvl w:val="0"/>
                <w:numId w:val="35"/>
              </w:numPr>
              <w:overflowPunct/>
              <w:autoSpaceDE/>
              <w:autoSpaceDN/>
              <w:adjustRightInd/>
              <w:spacing w:after="120" w:line="240" w:lineRule="auto"/>
              <w:ind w:firstLineChars="0"/>
              <w:textAlignment w:val="auto"/>
              <w:rPr>
                <w:rFonts w:eastAsia="宋体"/>
                <w:sz w:val="18"/>
                <w:szCs w:val="18"/>
              </w:rPr>
            </w:pPr>
            <w:r w:rsidRPr="003D5CCE">
              <w:rPr>
                <w:rFonts w:eastAsia="宋体"/>
                <w:sz w:val="18"/>
                <w:szCs w:val="18"/>
              </w:rPr>
              <w:t>Less than 21.9 dB with 1.5km isolation distance assumed;</w:t>
            </w:r>
          </w:p>
          <w:p w14:paraId="636BD78B" w14:textId="77777777" w:rsidR="003D5CCE" w:rsidRPr="003D5CCE" w:rsidRDefault="003D5CCE" w:rsidP="003D5CCE">
            <w:pPr>
              <w:pStyle w:val="aff6"/>
              <w:widowControl w:val="0"/>
              <w:numPr>
                <w:ilvl w:val="0"/>
                <w:numId w:val="35"/>
              </w:numPr>
              <w:overflowPunct/>
              <w:autoSpaceDE/>
              <w:autoSpaceDN/>
              <w:adjustRightInd/>
              <w:spacing w:after="120" w:line="240" w:lineRule="auto"/>
              <w:ind w:firstLineChars="0"/>
              <w:textAlignment w:val="auto"/>
              <w:rPr>
                <w:rFonts w:eastAsia="宋体"/>
                <w:sz w:val="18"/>
                <w:szCs w:val="18"/>
              </w:rPr>
            </w:pPr>
            <w:r w:rsidRPr="003D5CCE">
              <w:rPr>
                <w:rFonts w:eastAsia="宋体"/>
                <w:sz w:val="18"/>
                <w:szCs w:val="18"/>
              </w:rPr>
              <w:t>Less than [24.2] dB with 0km isolation distance assumed.</w:t>
            </w:r>
          </w:p>
          <w:p w14:paraId="2147902E" w14:textId="1924AE88" w:rsidR="00C74205" w:rsidRPr="003D5CCE" w:rsidRDefault="003D5CCE" w:rsidP="003D5CCE">
            <w:pPr>
              <w:pStyle w:val="aff6"/>
              <w:widowControl w:val="0"/>
              <w:numPr>
                <w:ilvl w:val="1"/>
                <w:numId w:val="35"/>
              </w:numPr>
              <w:overflowPunct/>
              <w:autoSpaceDE/>
              <w:autoSpaceDN/>
              <w:adjustRightInd/>
              <w:spacing w:after="120" w:line="240" w:lineRule="auto"/>
              <w:ind w:left="1656" w:firstLineChars="0" w:hanging="360"/>
              <w:textAlignment w:val="auto"/>
              <w:rPr>
                <w:rFonts w:eastAsia="宋体"/>
                <w:szCs w:val="24"/>
              </w:rPr>
            </w:pPr>
            <w:r w:rsidRPr="003D5CCE">
              <w:rPr>
                <w:rFonts w:eastAsia="宋体"/>
                <w:sz w:val="18"/>
                <w:szCs w:val="18"/>
              </w:rPr>
              <w:t>Interested companies are encouraged to provide results on this case</w:t>
            </w:r>
          </w:p>
        </w:tc>
      </w:tr>
    </w:tbl>
    <w:p w14:paraId="5E572B3C" w14:textId="77777777" w:rsidR="003E3AAD" w:rsidRDefault="003E3AAD" w:rsidP="00C74205"/>
    <w:p w14:paraId="3DC48129" w14:textId="5122730A" w:rsidR="00C74205" w:rsidRDefault="00C74205" w:rsidP="00C74205">
      <w:r>
        <w:rPr>
          <w:rFonts w:hint="eastAsia"/>
        </w:rPr>
        <w:t>O</w:t>
      </w:r>
      <w:r>
        <w:t>n isolation distance, we prefer to align with previous assumption the deployment scenario and restriction shall be c</w:t>
      </w:r>
      <w:r w:rsidRPr="00C74205">
        <w:t>onsistency</w:t>
      </w:r>
      <w:r>
        <w:t xml:space="preserve"> independent to device power classes which belongs to UE capability.</w:t>
      </w:r>
    </w:p>
    <w:p w14:paraId="5726DBED" w14:textId="57C1194B" w:rsidR="00C74205" w:rsidRDefault="00F67874" w:rsidP="00C74205">
      <w:r>
        <w:t xml:space="preserve">On NTN operation, the critical issue is coverage due to long distance between satellite over the space to terminal. With reasonable ACLR, it will bring benefits to improve uplink coverage with less MPR and or A-MPR. </w:t>
      </w:r>
    </w:p>
    <w:p w14:paraId="33071351" w14:textId="67760D98" w:rsidR="00F67874" w:rsidRDefault="00F67874" w:rsidP="00C74205">
      <w:r>
        <w:t>Based on above consideration, we suggest to specify following ACLR values</w:t>
      </w:r>
      <w:r>
        <w:rPr>
          <w:rFonts w:hint="eastAsia"/>
        </w:rPr>
        <w:t>:</w:t>
      </w:r>
    </w:p>
    <w:p w14:paraId="53B20A34" w14:textId="05283AB4" w:rsidR="00F67874" w:rsidRPr="00F67874" w:rsidRDefault="00F67874" w:rsidP="00C74205">
      <w:pPr>
        <w:rPr>
          <w:b/>
          <w:bCs/>
        </w:rPr>
      </w:pPr>
      <w:r w:rsidRPr="00F67874">
        <w:rPr>
          <w:rFonts w:hint="eastAsia"/>
          <w:b/>
          <w:bCs/>
        </w:rPr>
        <w:t>P</w:t>
      </w:r>
      <w:r w:rsidRPr="00F67874">
        <w:rPr>
          <w:b/>
          <w:bCs/>
        </w:rPr>
        <w:t xml:space="preserve">roposal 1: Specify </w:t>
      </w:r>
      <w:r w:rsidR="003D5CCE">
        <w:rPr>
          <w:b/>
          <w:bCs/>
        </w:rPr>
        <w:t xml:space="preserve">IoT </w:t>
      </w:r>
      <w:r w:rsidR="003E3AAD">
        <w:rPr>
          <w:b/>
          <w:bCs/>
        </w:rPr>
        <w:t>-N</w:t>
      </w:r>
      <w:r w:rsidR="003D5CCE">
        <w:rPr>
          <w:b/>
          <w:bCs/>
        </w:rPr>
        <w:t>TN HPUE ACLR as following</w:t>
      </w:r>
      <w:r w:rsidR="003E3AAD">
        <w:rPr>
          <w:b/>
          <w:bCs/>
        </w:rPr>
        <w:t xml:space="preserve"> (relaxing PC3 requirements if necessary)</w:t>
      </w:r>
    </w:p>
    <w:p w14:paraId="25001F97" w14:textId="37D92D1F"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C2: 2</w:t>
      </w:r>
      <w:r w:rsidR="003E3AAD">
        <w:rPr>
          <w:rFonts w:eastAsiaTheme="minorEastAsia"/>
          <w:lang w:eastAsia="zh-CN"/>
        </w:rPr>
        <w:t>3</w:t>
      </w:r>
      <w:r w:rsidR="00210EA5">
        <w:rPr>
          <w:rFonts w:eastAsiaTheme="minorEastAsia"/>
          <w:lang w:eastAsia="zh-CN"/>
        </w:rPr>
        <w:t xml:space="preserve"> dBc</w:t>
      </w:r>
    </w:p>
    <w:p w14:paraId="55D90A83" w14:textId="48237BBC"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C1: 2</w:t>
      </w:r>
      <w:r w:rsidR="003E3AAD">
        <w:rPr>
          <w:rFonts w:eastAsiaTheme="minorEastAsia"/>
          <w:lang w:eastAsia="zh-CN"/>
        </w:rPr>
        <w:t>3</w:t>
      </w:r>
      <w:r w:rsidR="00210EA5">
        <w:rPr>
          <w:rFonts w:eastAsiaTheme="minorEastAsia"/>
          <w:lang w:eastAsia="zh-CN"/>
        </w:rPr>
        <w:t xml:space="preserve"> dBc</w:t>
      </w:r>
    </w:p>
    <w:tbl>
      <w:tblPr>
        <w:tblStyle w:val="afd"/>
        <w:tblW w:w="0" w:type="auto"/>
        <w:tblLook w:val="04A0" w:firstRow="1" w:lastRow="0" w:firstColumn="1" w:lastColumn="0" w:noHBand="0" w:noVBand="1"/>
      </w:tblPr>
      <w:tblGrid>
        <w:gridCol w:w="9631"/>
      </w:tblGrid>
      <w:tr w:rsidR="003E3AAD" w14:paraId="443AF05A" w14:textId="77777777" w:rsidTr="003E3AAD">
        <w:tc>
          <w:tcPr>
            <w:tcW w:w="9631" w:type="dxa"/>
          </w:tcPr>
          <w:p w14:paraId="50085D1E" w14:textId="77777777" w:rsidR="003E3AAD" w:rsidRDefault="003E3AAD" w:rsidP="003E3AAD">
            <w:pPr>
              <w:rPr>
                <w:rFonts w:eastAsia="宋体"/>
                <w:b/>
                <w:u w:val="single"/>
                <w:lang w:eastAsia="ko-KR"/>
              </w:rPr>
            </w:pPr>
            <w:r>
              <w:rPr>
                <w:b/>
                <w:u w:val="single"/>
                <w:lang w:eastAsia="ko-KR"/>
              </w:rPr>
              <w:t>Issue 1-1</w:t>
            </w:r>
            <w:r>
              <w:rPr>
                <w:b/>
                <w:u w:val="single"/>
                <w:lang w:eastAsia="zh-CN"/>
              </w:rPr>
              <w:t>-4</w:t>
            </w:r>
            <w:r>
              <w:rPr>
                <w:b/>
                <w:u w:val="single"/>
                <w:lang w:eastAsia="ko-KR"/>
              </w:rPr>
              <w:t>: SEM relaxation for the case UE CBW is much narrower compared to BS CBW</w:t>
            </w:r>
          </w:p>
          <w:p w14:paraId="6BE91F0A" w14:textId="77777777" w:rsidR="003E3AAD" w:rsidRDefault="003E3AAD" w:rsidP="003E3AAD">
            <w:pPr>
              <w:pStyle w:val="aff6"/>
              <w:numPr>
                <w:ilvl w:val="0"/>
                <w:numId w:val="36"/>
              </w:numPr>
              <w:overflowPunct/>
              <w:autoSpaceDE/>
              <w:adjustRightInd/>
              <w:spacing w:after="120" w:line="240" w:lineRule="auto"/>
              <w:ind w:left="720" w:firstLineChars="0"/>
              <w:textAlignment w:val="auto"/>
              <w:rPr>
                <w:rFonts w:eastAsia="宋体"/>
                <w:szCs w:val="24"/>
                <w:lang w:eastAsia="zh-CN"/>
              </w:rPr>
            </w:pPr>
            <w:r>
              <w:rPr>
                <w:rFonts w:eastAsia="宋体"/>
                <w:szCs w:val="24"/>
                <w:lang w:eastAsia="zh-CN"/>
              </w:rPr>
              <w:t>Proposals</w:t>
            </w:r>
          </w:p>
          <w:p w14:paraId="6958A5FC" w14:textId="77777777" w:rsidR="003E3AAD" w:rsidRDefault="003E3AAD" w:rsidP="003E3AAD">
            <w:pPr>
              <w:pStyle w:val="aff6"/>
              <w:numPr>
                <w:ilvl w:val="1"/>
                <w:numId w:val="36"/>
              </w:numPr>
              <w:overflowPunct/>
              <w:autoSpaceDE/>
              <w:adjustRightInd/>
              <w:spacing w:after="120" w:line="240" w:lineRule="auto"/>
              <w:ind w:left="1440" w:firstLineChars="0" w:hanging="360"/>
              <w:textAlignment w:val="auto"/>
              <w:rPr>
                <w:rFonts w:eastAsia="宋体"/>
                <w:szCs w:val="24"/>
                <w:lang w:eastAsia="zh-CN"/>
              </w:rPr>
            </w:pPr>
            <w:r>
              <w:rPr>
                <w:rFonts w:eastAsia="宋体"/>
                <w:szCs w:val="24"/>
                <w:lang w:eastAsia="zh-CN"/>
              </w:rPr>
              <w:lastRenderedPageBreak/>
              <w:t>When UE PC2 ACLR is decided, regarding SEM for IoT-NTN HPUE, if no specific concern, consider relaxing UE SEM requirements within SAN CBW but still meet ITU SEM regulatory requirements.</w:t>
            </w:r>
          </w:p>
          <w:p w14:paraId="08E4AF5C" w14:textId="77777777" w:rsidR="003E3AAD" w:rsidRDefault="003E3AAD" w:rsidP="003E3AAD">
            <w:pPr>
              <w:pStyle w:val="aff6"/>
              <w:numPr>
                <w:ilvl w:val="0"/>
                <w:numId w:val="36"/>
              </w:numPr>
              <w:overflowPunct/>
              <w:autoSpaceDE/>
              <w:adjustRightInd/>
              <w:spacing w:after="120" w:line="240" w:lineRule="auto"/>
              <w:ind w:left="720" w:firstLineChars="0"/>
              <w:textAlignment w:val="auto"/>
              <w:rPr>
                <w:rFonts w:eastAsia="宋体"/>
                <w:szCs w:val="24"/>
                <w:lang w:eastAsia="zh-CN"/>
              </w:rPr>
            </w:pPr>
            <w:r>
              <w:rPr>
                <w:rFonts w:eastAsia="宋体"/>
                <w:szCs w:val="24"/>
                <w:lang w:eastAsia="zh-CN"/>
              </w:rPr>
              <w:t xml:space="preserve">WF </w:t>
            </w:r>
          </w:p>
          <w:p w14:paraId="0833BF34" w14:textId="0DFC10A2" w:rsidR="003E3AAD" w:rsidRPr="003E3AAD" w:rsidRDefault="003E3AAD" w:rsidP="003E3AAD">
            <w:pPr>
              <w:pStyle w:val="aff6"/>
              <w:numPr>
                <w:ilvl w:val="1"/>
                <w:numId w:val="36"/>
              </w:numPr>
              <w:overflowPunct/>
              <w:autoSpaceDE/>
              <w:adjustRightInd/>
              <w:spacing w:after="120" w:line="240" w:lineRule="auto"/>
              <w:ind w:left="1440" w:firstLineChars="0" w:hanging="360"/>
              <w:textAlignment w:val="auto"/>
              <w:rPr>
                <w:rFonts w:eastAsia="宋体"/>
                <w:szCs w:val="24"/>
                <w:lang w:eastAsia="zh-CN"/>
              </w:rPr>
            </w:pPr>
            <w:r>
              <w:rPr>
                <w:rFonts w:eastAsia="宋体"/>
                <w:szCs w:val="24"/>
                <w:lang w:eastAsia="zh-CN"/>
              </w:rPr>
              <w:t xml:space="preserve"> FFS whether MPR reduction technique currently discussed in Rel-19 can be considered here</w:t>
            </w:r>
          </w:p>
        </w:tc>
      </w:tr>
    </w:tbl>
    <w:p w14:paraId="0C1ED056" w14:textId="13556F54" w:rsidR="003E3AAD" w:rsidRDefault="003E3AAD" w:rsidP="004C069C">
      <w:r w:rsidRPr="003E3AAD">
        <w:rPr>
          <w:rFonts w:hint="eastAsia"/>
        </w:rPr>
        <w:lastRenderedPageBreak/>
        <w:t>I</w:t>
      </w:r>
      <w:r w:rsidRPr="003E3AAD">
        <w:t xml:space="preserve">n our view, it’s worth to study other candidate power domain enhancement e.g.  emission requirements in additional to boost the transmission power with advanced PA </w:t>
      </w:r>
      <w:r>
        <w:t xml:space="preserve">meanwhile we also realize there is a parallel discussion in Rel-19 UE RF WI for the power domain enhancement with emission requirements enhancement under TN operation including NR and IoT. </w:t>
      </w:r>
      <w:r w:rsidR="00335E88">
        <w:t xml:space="preserve"> Clearly, it’s out of scope of existing Rel-19 NTN WI, and we can wait for the conclusion in TN and consider to leverage relative work to NTN operation in later release.</w:t>
      </w:r>
    </w:p>
    <w:p w14:paraId="5A02ABC0" w14:textId="237DFB68" w:rsidR="00335E88" w:rsidRPr="00335E88" w:rsidRDefault="00335E88" w:rsidP="004C069C">
      <w:pPr>
        <w:rPr>
          <w:b/>
          <w:bCs/>
        </w:rPr>
      </w:pPr>
      <w:r w:rsidRPr="00335E88">
        <w:rPr>
          <w:rFonts w:hint="eastAsia"/>
          <w:b/>
          <w:bCs/>
        </w:rPr>
        <w:t>P</w:t>
      </w:r>
      <w:r w:rsidRPr="00335E88">
        <w:rPr>
          <w:b/>
          <w:bCs/>
        </w:rPr>
        <w:t xml:space="preserve">roposal 2: </w:t>
      </w:r>
      <w:r>
        <w:rPr>
          <w:b/>
          <w:bCs/>
        </w:rPr>
        <w:t xml:space="preserve">Not consider </w:t>
      </w:r>
      <w:r w:rsidRPr="00335E88">
        <w:rPr>
          <w:b/>
          <w:lang w:eastAsia="ko-KR"/>
        </w:rPr>
        <w:t>SEM relaxation for the case UE CBW is much narrower compared to BS CBW</w:t>
      </w:r>
      <w:r>
        <w:rPr>
          <w:b/>
          <w:lang w:eastAsia="ko-KR"/>
        </w:rPr>
        <w:t xml:space="preserve"> as it’s out of the existing WI scope and which can be further considered in future release pending on the conclusion from TN operation. </w:t>
      </w:r>
    </w:p>
    <w:p w14:paraId="3919F8A9" w14:textId="77777777" w:rsidR="00335E88" w:rsidRPr="003E3AAD" w:rsidRDefault="00335E88" w:rsidP="004C069C"/>
    <w:p w14:paraId="294CBA60" w14:textId="77777777" w:rsidR="003E3AAD" w:rsidRDefault="003E3AAD" w:rsidP="004C069C">
      <w:pPr>
        <w:rPr>
          <w:rFonts w:hint="eastAsia"/>
          <w:b/>
          <w:bCs/>
        </w:rPr>
      </w:pPr>
    </w:p>
    <w:p w14:paraId="0B84C096" w14:textId="20E75468" w:rsidR="004C069C" w:rsidRDefault="004C069C" w:rsidP="004C069C">
      <w:pPr>
        <w:rPr>
          <w:b/>
          <w:bCs/>
        </w:rPr>
      </w:pPr>
      <w:r w:rsidRPr="004C069C">
        <w:rPr>
          <w:b/>
          <w:bCs/>
        </w:rPr>
        <w:t xml:space="preserve">Target device types and device type assumption </w:t>
      </w:r>
    </w:p>
    <w:tbl>
      <w:tblPr>
        <w:tblStyle w:val="afd"/>
        <w:tblW w:w="0" w:type="auto"/>
        <w:tblLook w:val="04A0" w:firstRow="1" w:lastRow="0" w:firstColumn="1" w:lastColumn="0" w:noHBand="0" w:noVBand="1"/>
      </w:tblPr>
      <w:tblGrid>
        <w:gridCol w:w="9631"/>
      </w:tblGrid>
      <w:tr w:rsidR="00335E88" w14:paraId="4DE8938B" w14:textId="77777777" w:rsidTr="00335E88">
        <w:tc>
          <w:tcPr>
            <w:tcW w:w="9631" w:type="dxa"/>
          </w:tcPr>
          <w:p w14:paraId="222966E0" w14:textId="77777777" w:rsidR="00335E88" w:rsidRDefault="00335E88" w:rsidP="00335E88">
            <w:pPr>
              <w:rPr>
                <w:rFonts w:eastAsia="宋体"/>
                <w:b/>
                <w:u w:val="single"/>
                <w:lang w:eastAsia="ko-KR"/>
              </w:rPr>
            </w:pPr>
            <w:r>
              <w:rPr>
                <w:b/>
                <w:u w:val="single"/>
                <w:lang w:eastAsia="ko-KR"/>
              </w:rPr>
              <w:t>Issue 1-2-1: Discuss the unsettled requirements applicability for Iot-NTN:</w:t>
            </w:r>
          </w:p>
          <w:p w14:paraId="295C51CE" w14:textId="77777777" w:rsidR="00335E88" w:rsidRDefault="00335E88" w:rsidP="00335E88">
            <w:pPr>
              <w:rPr>
                <w:lang w:eastAsia="zh-CN"/>
              </w:rPr>
            </w:pPr>
          </w:p>
          <w:p w14:paraId="55BB08AD" w14:textId="77777777" w:rsidR="00335E88" w:rsidRDefault="00335E88" w:rsidP="00335E88">
            <w:pPr>
              <w:pStyle w:val="aff6"/>
              <w:numPr>
                <w:ilvl w:val="0"/>
                <w:numId w:val="36"/>
              </w:numPr>
              <w:overflowPunct/>
              <w:autoSpaceDE/>
              <w:adjustRightInd/>
              <w:spacing w:after="120" w:line="240" w:lineRule="auto"/>
              <w:ind w:left="720" w:firstLineChars="0"/>
              <w:textAlignment w:val="auto"/>
              <w:rPr>
                <w:rFonts w:eastAsia="宋体"/>
                <w:szCs w:val="24"/>
                <w:lang w:eastAsia="zh-CN"/>
              </w:rPr>
            </w:pPr>
            <w:r>
              <w:rPr>
                <w:rFonts w:eastAsia="宋体"/>
                <w:szCs w:val="24"/>
                <w:lang w:eastAsia="zh-CN"/>
              </w:rPr>
              <w:t>Agreement (Ad Hoc):</w:t>
            </w:r>
          </w:p>
          <w:p w14:paraId="0348C193" w14:textId="77777777" w:rsidR="00335E88" w:rsidRDefault="00335E88" w:rsidP="00335E88">
            <w:pPr>
              <w:pStyle w:val="aff6"/>
              <w:numPr>
                <w:ilvl w:val="1"/>
                <w:numId w:val="36"/>
              </w:numPr>
              <w:overflowPunct/>
              <w:autoSpaceDE/>
              <w:adjustRightInd/>
              <w:spacing w:after="120" w:line="240" w:lineRule="auto"/>
              <w:ind w:left="1440" w:firstLineChars="0" w:hanging="360"/>
              <w:textAlignment w:val="auto"/>
              <w:rPr>
                <w:rFonts w:eastAsia="宋体"/>
                <w:szCs w:val="24"/>
                <w:lang w:eastAsia="zh-CN"/>
              </w:rPr>
            </w:pPr>
            <w:r>
              <w:rPr>
                <w:lang w:val="en-US" w:eastAsia="zh-CN"/>
              </w:rPr>
              <w:t>No 2Tx PC1/PC2 requirement will be specified for IoT NTN in Rel-19</w:t>
            </w:r>
            <w:r>
              <w:rPr>
                <w:rFonts w:eastAsia="宋体"/>
                <w:szCs w:val="24"/>
                <w:lang w:eastAsia="zh-CN"/>
              </w:rPr>
              <w:t>;</w:t>
            </w:r>
          </w:p>
          <w:p w14:paraId="1936C706" w14:textId="77777777" w:rsidR="00335E88" w:rsidRDefault="00335E88" w:rsidP="00335E88">
            <w:pPr>
              <w:pStyle w:val="aff6"/>
              <w:numPr>
                <w:ilvl w:val="1"/>
                <w:numId w:val="36"/>
              </w:numPr>
              <w:overflowPunct/>
              <w:autoSpaceDE/>
              <w:adjustRightInd/>
              <w:spacing w:after="120" w:line="240" w:lineRule="auto"/>
              <w:ind w:left="1440" w:firstLineChars="0" w:hanging="360"/>
              <w:textAlignment w:val="auto"/>
              <w:rPr>
                <w:rFonts w:eastAsia="宋体"/>
                <w:szCs w:val="24"/>
                <w:lang w:eastAsia="zh-CN"/>
              </w:rPr>
            </w:pPr>
            <w:r>
              <w:rPr>
                <w:rFonts w:eastAsia="宋体"/>
                <w:szCs w:val="24"/>
                <w:lang w:eastAsia="zh-CN"/>
              </w:rPr>
              <w:t>Only consider non-handheld for PC1 1Tx eMTC based with full duplex Iot-NTN</w:t>
            </w:r>
          </w:p>
          <w:p w14:paraId="657DE182" w14:textId="77777777" w:rsidR="00335E88" w:rsidRDefault="00335E88" w:rsidP="00335E88">
            <w:pPr>
              <w:pStyle w:val="aff6"/>
              <w:numPr>
                <w:ilvl w:val="1"/>
                <w:numId w:val="36"/>
              </w:numPr>
              <w:overflowPunct/>
              <w:autoSpaceDE/>
              <w:adjustRightInd/>
              <w:spacing w:after="120" w:line="240" w:lineRule="auto"/>
              <w:ind w:left="1440" w:firstLineChars="0" w:hanging="360"/>
              <w:textAlignment w:val="auto"/>
              <w:rPr>
                <w:rFonts w:eastAsia="宋体"/>
                <w:szCs w:val="24"/>
                <w:lang w:eastAsia="zh-CN"/>
              </w:rPr>
            </w:pPr>
            <w:r>
              <w:rPr>
                <w:rFonts w:eastAsia="宋体"/>
                <w:szCs w:val="24"/>
                <w:lang w:eastAsia="zh-CN"/>
              </w:rPr>
              <w:t>FFS whether requirements should be defined for PC1 1Tx handheld UE for NB-Iot based Iot-NTN</w:t>
            </w:r>
          </w:p>
          <w:p w14:paraId="29412F24" w14:textId="77777777" w:rsidR="00335E88" w:rsidRDefault="00335E88" w:rsidP="00335E88">
            <w:pPr>
              <w:rPr>
                <w:rFonts w:eastAsia="宋体"/>
                <w:lang w:eastAsia="zh-CN"/>
              </w:rPr>
            </w:pPr>
          </w:p>
          <w:p w14:paraId="44BA35AB" w14:textId="77777777" w:rsidR="00335E88" w:rsidRDefault="00335E88" w:rsidP="00335E88">
            <w:pPr>
              <w:rPr>
                <w:lang w:eastAsia="zh-CN"/>
              </w:rPr>
            </w:pPr>
            <w:r>
              <w:rPr>
                <w:lang w:eastAsia="zh-CN"/>
              </w:rPr>
              <w:t>Updated Status: (For Information)</w:t>
            </w:r>
          </w:p>
          <w:p w14:paraId="36A9C6CD" w14:textId="77777777" w:rsidR="00335E88" w:rsidRDefault="00335E88" w:rsidP="00335E88">
            <w:pPr>
              <w:jc w:val="center"/>
              <w:rPr>
                <w:b/>
                <w:u w:val="single"/>
                <w:lang w:eastAsia="ko-KR"/>
              </w:rPr>
            </w:pPr>
            <w:r>
              <w:rPr>
                <w:b/>
                <w:bCs/>
                <w:lang w:eastAsia="zh-CN"/>
              </w:rPr>
              <w:t xml:space="preserve">Table: </w:t>
            </w:r>
            <w:r>
              <w:rPr>
                <w:lang w:eastAsia="zh-CN"/>
              </w:rPr>
              <w:t>Current status for requirements consideration and feasibility for Iot-NTN</w:t>
            </w:r>
          </w:p>
          <w:tbl>
            <w:tblPr>
              <w:tblStyle w:val="afd"/>
              <w:tblW w:w="0" w:type="auto"/>
              <w:jc w:val="center"/>
              <w:tblLook w:val="04A0" w:firstRow="1" w:lastRow="0" w:firstColumn="1" w:lastColumn="0" w:noHBand="0" w:noVBand="1"/>
            </w:tblPr>
            <w:tblGrid>
              <w:gridCol w:w="1843"/>
              <w:gridCol w:w="1559"/>
              <w:gridCol w:w="1802"/>
              <w:gridCol w:w="1838"/>
            </w:tblGrid>
            <w:tr w:rsidR="00335E88" w14:paraId="5621BDB4" w14:textId="77777777" w:rsidTr="00335E88">
              <w:trPr>
                <w:jc w:val="center"/>
              </w:trPr>
              <w:tc>
                <w:tcPr>
                  <w:tcW w:w="1843" w:type="dxa"/>
                  <w:tcBorders>
                    <w:top w:val="single" w:sz="4" w:space="0" w:color="auto"/>
                    <w:left w:val="single" w:sz="4" w:space="0" w:color="auto"/>
                    <w:bottom w:val="single" w:sz="4" w:space="0" w:color="auto"/>
                    <w:right w:val="single" w:sz="4" w:space="0" w:color="auto"/>
                  </w:tcBorders>
                </w:tcPr>
                <w:p w14:paraId="2A3C6C9B" w14:textId="77777777" w:rsidR="00335E88" w:rsidRDefault="00335E88" w:rsidP="00335E88">
                  <w:pPr>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B1F50BF" w14:textId="77777777" w:rsidR="00335E88" w:rsidRDefault="00335E88" w:rsidP="00335E88">
                  <w:pPr>
                    <w:rPr>
                      <w:rFonts w:eastAsia="宋体"/>
                      <w:lang w:eastAsia="zh-CN"/>
                    </w:rPr>
                  </w:pPr>
                  <w:r>
                    <w:rPr>
                      <w:rFonts w:eastAsia="宋体"/>
                      <w:lang w:eastAsia="zh-CN"/>
                    </w:rPr>
                    <w:t>Power Class</w:t>
                  </w:r>
                </w:p>
              </w:tc>
              <w:tc>
                <w:tcPr>
                  <w:tcW w:w="1802" w:type="dxa"/>
                  <w:tcBorders>
                    <w:top w:val="single" w:sz="4" w:space="0" w:color="auto"/>
                    <w:left w:val="single" w:sz="4" w:space="0" w:color="auto"/>
                    <w:bottom w:val="single" w:sz="4" w:space="0" w:color="auto"/>
                    <w:right w:val="single" w:sz="4" w:space="0" w:color="auto"/>
                  </w:tcBorders>
                  <w:hideMark/>
                </w:tcPr>
                <w:p w14:paraId="2B699272" w14:textId="77777777" w:rsidR="00335E88" w:rsidRDefault="00335E88" w:rsidP="00335E88">
                  <w:pPr>
                    <w:rPr>
                      <w:rFonts w:eastAsia="宋体"/>
                      <w:lang w:eastAsia="zh-CN"/>
                    </w:rPr>
                  </w:pPr>
                  <w:r>
                    <w:rPr>
                      <w:rFonts w:eastAsia="宋体"/>
                      <w:lang w:eastAsia="zh-CN"/>
                    </w:rPr>
                    <w:t>Antenna Numbers</w:t>
                  </w:r>
                </w:p>
              </w:tc>
              <w:tc>
                <w:tcPr>
                  <w:tcW w:w="1838" w:type="dxa"/>
                  <w:tcBorders>
                    <w:top w:val="single" w:sz="4" w:space="0" w:color="auto"/>
                    <w:left w:val="single" w:sz="4" w:space="0" w:color="auto"/>
                    <w:bottom w:val="single" w:sz="4" w:space="0" w:color="auto"/>
                    <w:right w:val="single" w:sz="4" w:space="0" w:color="auto"/>
                  </w:tcBorders>
                  <w:hideMark/>
                </w:tcPr>
                <w:p w14:paraId="0C23D7FD" w14:textId="77777777" w:rsidR="00335E88" w:rsidRDefault="00335E88" w:rsidP="00335E88">
                  <w:pPr>
                    <w:rPr>
                      <w:rFonts w:eastAsia="宋体"/>
                      <w:lang w:eastAsia="zh-CN"/>
                    </w:rPr>
                  </w:pPr>
                  <w:r>
                    <w:rPr>
                      <w:rFonts w:eastAsia="宋体"/>
                      <w:lang w:eastAsia="zh-CN"/>
                    </w:rPr>
                    <w:t>Handheld and/or non-handheld</w:t>
                  </w:r>
                </w:p>
              </w:tc>
            </w:tr>
            <w:tr w:rsidR="00335E88" w14:paraId="68A5CAE2" w14:textId="77777777" w:rsidTr="00335E88">
              <w:trPr>
                <w:trHeight w:val="146"/>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67779674" w14:textId="77777777" w:rsidR="00335E88" w:rsidRDefault="00335E88" w:rsidP="00335E88">
                  <w:pPr>
                    <w:rPr>
                      <w:rFonts w:eastAsia="宋体"/>
                      <w:lang w:eastAsia="zh-CN"/>
                    </w:rPr>
                  </w:pPr>
                  <w:r>
                    <w:rPr>
                      <w:rFonts w:eastAsia="宋体"/>
                      <w:lang w:eastAsia="zh-CN"/>
                    </w:rPr>
                    <w:t>NB-Iot based</w:t>
                  </w:r>
                </w:p>
              </w:tc>
              <w:tc>
                <w:tcPr>
                  <w:tcW w:w="1559" w:type="dxa"/>
                  <w:tcBorders>
                    <w:top w:val="single" w:sz="4" w:space="0" w:color="auto"/>
                    <w:left w:val="single" w:sz="4" w:space="0" w:color="auto"/>
                    <w:bottom w:val="single" w:sz="4" w:space="0" w:color="auto"/>
                    <w:right w:val="single" w:sz="4" w:space="0" w:color="auto"/>
                  </w:tcBorders>
                  <w:hideMark/>
                </w:tcPr>
                <w:p w14:paraId="71D3C7D7" w14:textId="77777777" w:rsidR="00335E88" w:rsidRDefault="00335E88" w:rsidP="00335E88">
                  <w:pPr>
                    <w:rPr>
                      <w:rFonts w:eastAsia="宋体"/>
                      <w:lang w:eastAsia="zh-CN"/>
                    </w:rPr>
                  </w:pPr>
                  <w:r>
                    <w:rPr>
                      <w:rFonts w:eastAsia="宋体"/>
                      <w:lang w:eastAsia="zh-CN"/>
                    </w:rPr>
                    <w:t>PC1</w:t>
                  </w:r>
                </w:p>
              </w:tc>
              <w:tc>
                <w:tcPr>
                  <w:tcW w:w="1802" w:type="dxa"/>
                  <w:tcBorders>
                    <w:top w:val="single" w:sz="4" w:space="0" w:color="auto"/>
                    <w:left w:val="single" w:sz="4" w:space="0" w:color="auto"/>
                    <w:bottom w:val="single" w:sz="4" w:space="0" w:color="auto"/>
                    <w:right w:val="single" w:sz="4" w:space="0" w:color="auto"/>
                  </w:tcBorders>
                  <w:hideMark/>
                </w:tcPr>
                <w:p w14:paraId="64A66BEE"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5F8767CB" w14:textId="77777777" w:rsidR="00335E88" w:rsidRDefault="00335E88" w:rsidP="00335E88">
                  <w:pPr>
                    <w:rPr>
                      <w:rFonts w:eastAsia="宋体"/>
                      <w:lang w:eastAsia="zh-CN"/>
                    </w:rPr>
                  </w:pPr>
                  <w:r>
                    <w:rPr>
                      <w:lang w:eastAsia="zh-CN"/>
                    </w:rPr>
                    <w:t>FFS</w:t>
                  </w:r>
                </w:p>
              </w:tc>
            </w:tr>
            <w:tr w:rsidR="00335E88" w14:paraId="4C98542F" w14:textId="77777777" w:rsidTr="00335E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52EC5" w14:textId="77777777" w:rsidR="00335E88" w:rsidRDefault="00335E88" w:rsidP="00335E88">
                  <w:pPr>
                    <w:spacing w:after="0"/>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3C02045" w14:textId="77777777" w:rsidR="00335E88" w:rsidRDefault="00335E88" w:rsidP="00335E88">
                  <w:pPr>
                    <w:rPr>
                      <w:rFonts w:eastAsia="宋体"/>
                      <w:lang w:eastAsia="zh-CN"/>
                    </w:rPr>
                  </w:pPr>
                  <w:r>
                    <w:rPr>
                      <w:rFonts w:eastAsia="宋体"/>
                      <w:lang w:eastAsia="zh-CN"/>
                    </w:rPr>
                    <w:t>PC2</w:t>
                  </w:r>
                </w:p>
              </w:tc>
              <w:tc>
                <w:tcPr>
                  <w:tcW w:w="1802" w:type="dxa"/>
                  <w:tcBorders>
                    <w:top w:val="single" w:sz="4" w:space="0" w:color="auto"/>
                    <w:left w:val="single" w:sz="4" w:space="0" w:color="auto"/>
                    <w:bottom w:val="single" w:sz="4" w:space="0" w:color="auto"/>
                    <w:right w:val="single" w:sz="4" w:space="0" w:color="auto"/>
                  </w:tcBorders>
                  <w:hideMark/>
                </w:tcPr>
                <w:p w14:paraId="6CA2D5B3"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3DED1DAD" w14:textId="77777777" w:rsidR="00335E88" w:rsidRDefault="00335E88" w:rsidP="00335E88">
                  <w:pPr>
                    <w:rPr>
                      <w:rFonts w:eastAsia="宋体"/>
                      <w:lang w:eastAsia="zh-CN"/>
                    </w:rPr>
                  </w:pPr>
                  <w:r>
                    <w:rPr>
                      <w:rFonts w:eastAsia="宋体"/>
                      <w:lang w:eastAsia="zh-CN"/>
                    </w:rPr>
                    <w:t>Both</w:t>
                  </w:r>
                </w:p>
              </w:tc>
            </w:tr>
            <w:tr w:rsidR="00335E88" w14:paraId="727AA953" w14:textId="77777777" w:rsidTr="00335E88">
              <w:trPr>
                <w:trHeight w:val="146"/>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0AE25CDA" w14:textId="77777777" w:rsidR="00335E88" w:rsidRDefault="00335E88" w:rsidP="00335E88">
                  <w:pPr>
                    <w:rPr>
                      <w:rFonts w:eastAsia="宋体"/>
                      <w:lang w:eastAsia="zh-CN"/>
                    </w:rPr>
                  </w:pPr>
                  <w:r>
                    <w:rPr>
                      <w:rFonts w:eastAsia="宋体"/>
                      <w:lang w:eastAsia="zh-CN"/>
                    </w:rPr>
                    <w:t>eMTC based with half duplex</w:t>
                  </w:r>
                </w:p>
              </w:tc>
              <w:tc>
                <w:tcPr>
                  <w:tcW w:w="1559" w:type="dxa"/>
                  <w:tcBorders>
                    <w:top w:val="single" w:sz="4" w:space="0" w:color="auto"/>
                    <w:left w:val="single" w:sz="4" w:space="0" w:color="auto"/>
                    <w:bottom w:val="single" w:sz="4" w:space="0" w:color="auto"/>
                    <w:right w:val="single" w:sz="4" w:space="0" w:color="auto"/>
                  </w:tcBorders>
                  <w:hideMark/>
                </w:tcPr>
                <w:p w14:paraId="2910DF81" w14:textId="77777777" w:rsidR="00335E88" w:rsidRDefault="00335E88" w:rsidP="00335E88">
                  <w:pPr>
                    <w:rPr>
                      <w:rFonts w:eastAsia="宋体"/>
                      <w:lang w:eastAsia="zh-CN"/>
                    </w:rPr>
                  </w:pPr>
                  <w:r>
                    <w:rPr>
                      <w:rFonts w:eastAsia="宋体"/>
                      <w:lang w:eastAsia="zh-CN"/>
                    </w:rPr>
                    <w:t>PC1</w:t>
                  </w:r>
                </w:p>
              </w:tc>
              <w:tc>
                <w:tcPr>
                  <w:tcW w:w="1802" w:type="dxa"/>
                  <w:tcBorders>
                    <w:top w:val="single" w:sz="4" w:space="0" w:color="auto"/>
                    <w:left w:val="single" w:sz="4" w:space="0" w:color="auto"/>
                    <w:bottom w:val="single" w:sz="4" w:space="0" w:color="auto"/>
                    <w:right w:val="single" w:sz="4" w:space="0" w:color="auto"/>
                  </w:tcBorders>
                  <w:hideMark/>
                </w:tcPr>
                <w:p w14:paraId="075B1635"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4C6FA786" w14:textId="77777777" w:rsidR="00335E88" w:rsidRDefault="00335E88" w:rsidP="00335E88">
                  <w:pPr>
                    <w:rPr>
                      <w:rFonts w:eastAsia="宋体"/>
                      <w:lang w:eastAsia="zh-CN"/>
                    </w:rPr>
                  </w:pPr>
                  <w:r>
                    <w:rPr>
                      <w:lang w:eastAsia="zh-CN"/>
                    </w:rPr>
                    <w:t>FFS</w:t>
                  </w:r>
                </w:p>
              </w:tc>
            </w:tr>
            <w:tr w:rsidR="00335E88" w14:paraId="2E953699" w14:textId="77777777" w:rsidTr="00335E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ED9B3" w14:textId="77777777" w:rsidR="00335E88" w:rsidRDefault="00335E88" w:rsidP="00335E88">
                  <w:pPr>
                    <w:spacing w:after="0"/>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2B28E4E" w14:textId="77777777" w:rsidR="00335E88" w:rsidRDefault="00335E88" w:rsidP="00335E88">
                  <w:pPr>
                    <w:rPr>
                      <w:rFonts w:eastAsia="宋体"/>
                      <w:lang w:eastAsia="zh-CN"/>
                    </w:rPr>
                  </w:pPr>
                  <w:r>
                    <w:rPr>
                      <w:rFonts w:eastAsia="宋体"/>
                      <w:lang w:eastAsia="zh-CN"/>
                    </w:rPr>
                    <w:t>PC2</w:t>
                  </w:r>
                </w:p>
              </w:tc>
              <w:tc>
                <w:tcPr>
                  <w:tcW w:w="1802" w:type="dxa"/>
                  <w:tcBorders>
                    <w:top w:val="single" w:sz="4" w:space="0" w:color="auto"/>
                    <w:left w:val="single" w:sz="4" w:space="0" w:color="auto"/>
                    <w:bottom w:val="single" w:sz="4" w:space="0" w:color="auto"/>
                    <w:right w:val="single" w:sz="4" w:space="0" w:color="auto"/>
                  </w:tcBorders>
                  <w:hideMark/>
                </w:tcPr>
                <w:p w14:paraId="570A1DDA"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3A281407" w14:textId="77777777" w:rsidR="00335E88" w:rsidRDefault="00335E88" w:rsidP="00335E88">
                  <w:pPr>
                    <w:rPr>
                      <w:rFonts w:eastAsia="宋体"/>
                      <w:lang w:eastAsia="zh-CN"/>
                    </w:rPr>
                  </w:pPr>
                  <w:r>
                    <w:rPr>
                      <w:rFonts w:eastAsia="宋体"/>
                      <w:lang w:eastAsia="zh-CN"/>
                    </w:rPr>
                    <w:t>Both</w:t>
                  </w:r>
                </w:p>
              </w:tc>
            </w:tr>
            <w:tr w:rsidR="00335E88" w14:paraId="524CC37B" w14:textId="77777777" w:rsidTr="00335E88">
              <w:trPr>
                <w:trHeight w:val="146"/>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2D5C4E32" w14:textId="77777777" w:rsidR="00335E88" w:rsidRDefault="00335E88" w:rsidP="00335E88">
                  <w:pPr>
                    <w:rPr>
                      <w:rFonts w:eastAsia="宋体"/>
                      <w:lang w:eastAsia="zh-CN"/>
                    </w:rPr>
                  </w:pPr>
                  <w:r>
                    <w:rPr>
                      <w:rFonts w:eastAsia="宋体"/>
                      <w:lang w:eastAsia="zh-CN"/>
                    </w:rPr>
                    <w:t>eMTC based with full duplex</w:t>
                  </w:r>
                </w:p>
              </w:tc>
              <w:tc>
                <w:tcPr>
                  <w:tcW w:w="1559" w:type="dxa"/>
                  <w:tcBorders>
                    <w:top w:val="single" w:sz="4" w:space="0" w:color="auto"/>
                    <w:left w:val="single" w:sz="4" w:space="0" w:color="auto"/>
                    <w:bottom w:val="single" w:sz="4" w:space="0" w:color="auto"/>
                    <w:right w:val="single" w:sz="4" w:space="0" w:color="auto"/>
                  </w:tcBorders>
                  <w:hideMark/>
                </w:tcPr>
                <w:p w14:paraId="493099FF" w14:textId="77777777" w:rsidR="00335E88" w:rsidRDefault="00335E88" w:rsidP="00335E88">
                  <w:pPr>
                    <w:rPr>
                      <w:rFonts w:eastAsia="宋体"/>
                      <w:lang w:eastAsia="zh-CN"/>
                    </w:rPr>
                  </w:pPr>
                  <w:r>
                    <w:rPr>
                      <w:rFonts w:eastAsia="宋体"/>
                      <w:lang w:eastAsia="zh-CN"/>
                    </w:rPr>
                    <w:t>PC1</w:t>
                  </w:r>
                </w:p>
              </w:tc>
              <w:tc>
                <w:tcPr>
                  <w:tcW w:w="1802" w:type="dxa"/>
                  <w:tcBorders>
                    <w:top w:val="single" w:sz="4" w:space="0" w:color="auto"/>
                    <w:left w:val="single" w:sz="4" w:space="0" w:color="auto"/>
                    <w:bottom w:val="single" w:sz="4" w:space="0" w:color="auto"/>
                    <w:right w:val="single" w:sz="4" w:space="0" w:color="auto"/>
                  </w:tcBorders>
                  <w:hideMark/>
                </w:tcPr>
                <w:p w14:paraId="6890B090"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11D277DB" w14:textId="77777777" w:rsidR="00335E88" w:rsidRDefault="00335E88" w:rsidP="00335E88">
                  <w:pPr>
                    <w:rPr>
                      <w:rFonts w:eastAsia="宋体"/>
                      <w:lang w:eastAsia="zh-CN"/>
                    </w:rPr>
                  </w:pPr>
                  <w:r>
                    <w:rPr>
                      <w:lang w:eastAsia="zh-CN"/>
                    </w:rPr>
                    <w:t>Non-handheld</w:t>
                  </w:r>
                </w:p>
              </w:tc>
            </w:tr>
            <w:tr w:rsidR="00335E88" w14:paraId="3CEE5F09" w14:textId="77777777" w:rsidTr="00335E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424FE" w14:textId="77777777" w:rsidR="00335E88" w:rsidRDefault="00335E88" w:rsidP="00335E88">
                  <w:pPr>
                    <w:spacing w:after="0"/>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23BFFE9" w14:textId="77777777" w:rsidR="00335E88" w:rsidRDefault="00335E88" w:rsidP="00335E88">
                  <w:pPr>
                    <w:rPr>
                      <w:rFonts w:eastAsia="宋体"/>
                      <w:lang w:eastAsia="zh-CN"/>
                    </w:rPr>
                  </w:pPr>
                  <w:r>
                    <w:rPr>
                      <w:rFonts w:eastAsia="宋体"/>
                      <w:lang w:eastAsia="zh-CN"/>
                    </w:rPr>
                    <w:t>PC2</w:t>
                  </w:r>
                </w:p>
              </w:tc>
              <w:tc>
                <w:tcPr>
                  <w:tcW w:w="1802" w:type="dxa"/>
                  <w:tcBorders>
                    <w:top w:val="single" w:sz="4" w:space="0" w:color="auto"/>
                    <w:left w:val="single" w:sz="4" w:space="0" w:color="auto"/>
                    <w:bottom w:val="single" w:sz="4" w:space="0" w:color="auto"/>
                    <w:right w:val="single" w:sz="4" w:space="0" w:color="auto"/>
                  </w:tcBorders>
                  <w:hideMark/>
                </w:tcPr>
                <w:p w14:paraId="32D56D1B"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40C76805" w14:textId="77777777" w:rsidR="00335E88" w:rsidRDefault="00335E88" w:rsidP="00335E88">
                  <w:pPr>
                    <w:rPr>
                      <w:rFonts w:eastAsia="宋体"/>
                      <w:lang w:eastAsia="zh-CN"/>
                    </w:rPr>
                  </w:pPr>
                  <w:r>
                    <w:rPr>
                      <w:rFonts w:eastAsia="宋体"/>
                      <w:lang w:eastAsia="zh-CN"/>
                    </w:rPr>
                    <w:t>Both</w:t>
                  </w:r>
                </w:p>
              </w:tc>
            </w:tr>
          </w:tbl>
          <w:p w14:paraId="0537EF6B" w14:textId="77777777" w:rsidR="00335E88" w:rsidRDefault="00335E88" w:rsidP="004C069C">
            <w:pPr>
              <w:rPr>
                <w:b/>
                <w:bCs/>
              </w:rPr>
            </w:pPr>
          </w:p>
        </w:tc>
      </w:tr>
    </w:tbl>
    <w:p w14:paraId="659DD319" w14:textId="77777777" w:rsidR="00335E88" w:rsidRDefault="00335E88" w:rsidP="004C069C">
      <w:pPr>
        <w:rPr>
          <w:b/>
          <w:bCs/>
        </w:rPr>
      </w:pPr>
    </w:p>
    <w:p w14:paraId="087BD66A" w14:textId="36562062" w:rsidR="004C069C" w:rsidRPr="004C069C" w:rsidRDefault="004C069C" w:rsidP="004C069C">
      <w:pPr>
        <w:rPr>
          <w:rFonts w:cstheme="minorHAnsi"/>
        </w:rPr>
      </w:pPr>
      <w:r w:rsidRPr="004C069C">
        <w:rPr>
          <w:rFonts w:cstheme="minorHAnsi"/>
        </w:rPr>
        <w:t>In general, we prefer to leverage existing TN network design on FDD bands as much as possible with following thinking:</w:t>
      </w:r>
    </w:p>
    <w:p w14:paraId="261C5450" w14:textId="21251D87"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Harmonize the common design between TN and NTN operation for echo-system </w:t>
      </w:r>
    </w:p>
    <w:p w14:paraId="27EA9A4A" w14:textId="566EE85E"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Shared RF chain between NTN and TN operation on similar frequency range for handheld device for cost and form factor limitations</w:t>
      </w:r>
    </w:p>
    <w:p w14:paraId="77D54792" w14:textId="74B013AB"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Reduce RAN4 workload on leverage the conclusion from TN to NTN </w:t>
      </w:r>
    </w:p>
    <w:p w14:paraId="203AE765" w14:textId="16EE139F" w:rsidR="00335E88" w:rsidRDefault="00335E88" w:rsidP="0071684C">
      <w:pPr>
        <w:rPr>
          <w:rFonts w:hint="eastAsia"/>
          <w:lang w:eastAsia="zh-CN"/>
        </w:rPr>
      </w:pPr>
      <w:r>
        <w:rPr>
          <w:rFonts w:hint="eastAsia"/>
          <w:lang w:eastAsia="zh-CN"/>
        </w:rPr>
        <w:lastRenderedPageBreak/>
        <w:t>S</w:t>
      </w:r>
      <w:r>
        <w:rPr>
          <w:lang w:eastAsia="zh-CN"/>
        </w:rPr>
        <w:t xml:space="preserve">ome companies proposed to consider GSM PA for supporting PC1. However, IoT devices </w:t>
      </w:r>
      <w:r>
        <w:rPr>
          <w:rFonts w:hint="eastAsia"/>
          <w:lang w:eastAsia="zh-CN"/>
        </w:rPr>
        <w:t>may</w:t>
      </w:r>
      <w:r>
        <w:rPr>
          <w:lang w:eastAsia="zh-CN"/>
        </w:rPr>
        <w:t xml:space="preserve"> </w:t>
      </w:r>
      <w:r>
        <w:rPr>
          <w:rFonts w:hint="eastAsia"/>
          <w:lang w:eastAsia="zh-CN"/>
        </w:rPr>
        <w:t>not</w:t>
      </w:r>
      <w:r>
        <w:rPr>
          <w:lang w:eastAsia="zh-CN"/>
        </w:rPr>
        <w:t xml:space="preserve"> </w:t>
      </w:r>
      <w:r>
        <w:rPr>
          <w:rFonts w:hint="eastAsia"/>
          <w:lang w:eastAsia="zh-CN"/>
        </w:rPr>
        <w:t>support</w:t>
      </w:r>
      <w:r>
        <w:rPr>
          <w:lang w:eastAsia="zh-CN"/>
        </w:rPr>
        <w:t xml:space="preserve"> </w:t>
      </w:r>
      <w:r>
        <w:rPr>
          <w:rFonts w:hint="eastAsia"/>
          <w:lang w:eastAsia="zh-CN"/>
        </w:rPr>
        <w:t>GSM</w:t>
      </w:r>
      <w:r>
        <w:rPr>
          <w:lang w:eastAsia="zh-CN"/>
        </w:rPr>
        <w:t xml:space="preserve"> </w:t>
      </w:r>
      <w:r>
        <w:rPr>
          <w:rFonts w:hint="eastAsia"/>
          <w:lang w:eastAsia="zh-CN"/>
        </w:rPr>
        <w:t>operation</w:t>
      </w:r>
      <w:r>
        <w:rPr>
          <w:lang w:eastAsia="zh-CN"/>
        </w:rPr>
        <w:t xml:space="preserve"> </w:t>
      </w:r>
      <w:r>
        <w:rPr>
          <w:rFonts w:hint="eastAsia"/>
          <w:lang w:eastAsia="zh-CN"/>
        </w:rPr>
        <w:t>a</w:t>
      </w:r>
      <w:r>
        <w:rPr>
          <w:lang w:eastAsia="zh-CN"/>
        </w:rPr>
        <w:t xml:space="preserve">nd using GSM PA with bring additional cost for IoT device types.  We suggest to focus on non-hand held device types on supporting PC1 on IoT NTN operation. </w:t>
      </w:r>
    </w:p>
    <w:p w14:paraId="081F5723" w14:textId="1E1EEED7" w:rsidR="00C74205" w:rsidRPr="00C74205" w:rsidRDefault="00C74205" w:rsidP="00335E88">
      <w:pPr>
        <w:rPr>
          <w:rFonts w:eastAsiaTheme="minorEastAsia"/>
          <w:lang w:eastAsia="zh-CN"/>
        </w:rPr>
      </w:pPr>
      <w:r w:rsidRPr="00C74205">
        <w:rPr>
          <w:rFonts w:hint="eastAsia"/>
          <w:b/>
          <w:bCs/>
        </w:rPr>
        <w:t>P</w:t>
      </w:r>
      <w:r w:rsidRPr="00C74205">
        <w:rPr>
          <w:b/>
          <w:bCs/>
        </w:rPr>
        <w:t xml:space="preserve">roposal </w:t>
      </w:r>
      <w:r w:rsidR="00335E88">
        <w:rPr>
          <w:b/>
          <w:bCs/>
        </w:rPr>
        <w:t>3</w:t>
      </w:r>
      <w:r w:rsidRPr="00C74205">
        <w:rPr>
          <w:b/>
          <w:bCs/>
        </w:rPr>
        <w:t xml:space="preserve">: </w:t>
      </w:r>
      <w:r w:rsidR="00335E88">
        <w:rPr>
          <w:b/>
          <w:bCs/>
        </w:rPr>
        <w:t>Only focus on non hand-held device type f</w:t>
      </w:r>
      <w:r w:rsidR="00335E88">
        <w:rPr>
          <w:rFonts w:hint="eastAsia"/>
          <w:b/>
          <w:bCs/>
          <w:lang w:eastAsia="zh-CN"/>
        </w:rPr>
        <w:t>or</w:t>
      </w:r>
      <w:r w:rsidR="00335E88">
        <w:rPr>
          <w:b/>
          <w:bCs/>
        </w:rPr>
        <w:t xml:space="preserve"> </w:t>
      </w:r>
      <w:r w:rsidR="00335E88">
        <w:rPr>
          <w:rFonts w:hint="eastAsia"/>
          <w:b/>
          <w:bCs/>
          <w:lang w:eastAsia="zh-CN"/>
        </w:rPr>
        <w:t>PC</w:t>
      </w:r>
      <w:r w:rsidR="00335E88">
        <w:rPr>
          <w:b/>
          <w:bCs/>
        </w:rPr>
        <w:t xml:space="preserve">1 </w:t>
      </w:r>
      <w:r w:rsidR="00335E88">
        <w:rPr>
          <w:rFonts w:hint="eastAsia"/>
          <w:b/>
          <w:bCs/>
          <w:lang w:eastAsia="zh-CN"/>
        </w:rPr>
        <w:t>IoT</w:t>
      </w:r>
      <w:r w:rsidR="00335E88">
        <w:rPr>
          <w:b/>
          <w:bCs/>
          <w:lang w:eastAsia="zh-CN"/>
        </w:rPr>
        <w:t xml:space="preserve"> </w:t>
      </w:r>
      <w:r w:rsidR="00335E88">
        <w:rPr>
          <w:rFonts w:hint="eastAsia"/>
          <w:b/>
          <w:bCs/>
          <w:lang w:eastAsia="zh-CN"/>
        </w:rPr>
        <w:t>NTN</w:t>
      </w:r>
      <w:r w:rsidR="00335E88">
        <w:rPr>
          <w:b/>
          <w:bCs/>
          <w:lang w:eastAsia="zh-CN"/>
        </w:rPr>
        <w:t xml:space="preserve"> </w:t>
      </w:r>
      <w:r w:rsidR="00335E88">
        <w:rPr>
          <w:rFonts w:hint="eastAsia"/>
          <w:b/>
          <w:bCs/>
          <w:lang w:eastAsia="zh-CN"/>
        </w:rPr>
        <w:t>including</w:t>
      </w:r>
      <w:r w:rsidR="00335E88">
        <w:rPr>
          <w:b/>
          <w:bCs/>
          <w:lang w:eastAsia="zh-CN"/>
        </w:rPr>
        <w:t xml:space="preserve"> NB-IoT, eMTC with half-duplex, and eMTC with full duplex in Rel-19</w:t>
      </w:r>
    </w:p>
    <w:p w14:paraId="2FE48129" w14:textId="567D2B01" w:rsidR="004D4AD9" w:rsidRDefault="000F259D" w:rsidP="0071684C">
      <w:pPr>
        <w:pStyle w:val="1"/>
        <w:numPr>
          <w:ilvl w:val="0"/>
          <w:numId w:val="4"/>
        </w:numPr>
        <w:rPr>
          <w:lang w:val="en-GB" w:eastAsia="ja-JP"/>
        </w:rPr>
      </w:pPr>
      <w:r w:rsidRPr="0071684C">
        <w:rPr>
          <w:rFonts w:hint="eastAsia"/>
          <w:lang w:val="en-GB" w:eastAsia="ja-JP"/>
        </w:rPr>
        <w:t>Conclusion</w:t>
      </w:r>
    </w:p>
    <w:p w14:paraId="774DF97F" w14:textId="470B9FA2" w:rsidR="00F67874" w:rsidRDefault="00F67874" w:rsidP="00F67874">
      <w:pPr>
        <w:rPr>
          <w:szCs w:val="21"/>
          <w:lang w:val="sv-SE"/>
        </w:rPr>
      </w:pPr>
      <w:r w:rsidRPr="00F67874">
        <w:rPr>
          <w:rFonts w:hint="eastAsia"/>
          <w:lang w:val="sv-SE"/>
        </w:rPr>
        <w:t>I</w:t>
      </w:r>
      <w:r w:rsidRPr="00F67874">
        <w:rPr>
          <w:lang w:val="sv-SE"/>
        </w:rPr>
        <w:t>n this contribution, views on remaining open issues were provi</w:t>
      </w:r>
      <w:r w:rsidRPr="00F67874">
        <w:rPr>
          <w:szCs w:val="21"/>
          <w:lang w:val="sv-SE"/>
        </w:rPr>
        <w:t xml:space="preserve">ded. </w:t>
      </w:r>
    </w:p>
    <w:p w14:paraId="786BB634" w14:textId="77777777" w:rsidR="00335E88" w:rsidRPr="00F67874" w:rsidRDefault="00335E88" w:rsidP="00335E88">
      <w:pPr>
        <w:rPr>
          <w:b/>
          <w:bCs/>
        </w:rPr>
      </w:pPr>
      <w:r w:rsidRPr="00F67874">
        <w:rPr>
          <w:rFonts w:hint="eastAsia"/>
          <w:b/>
          <w:bCs/>
        </w:rPr>
        <w:t>P</w:t>
      </w:r>
      <w:r w:rsidRPr="00F67874">
        <w:rPr>
          <w:b/>
          <w:bCs/>
        </w:rPr>
        <w:t xml:space="preserve">roposal 1: Specify </w:t>
      </w:r>
      <w:r>
        <w:rPr>
          <w:b/>
          <w:bCs/>
        </w:rPr>
        <w:t>IoT -NTN HPUE ACLR as following (relaxing PC3 requirements if necessary)</w:t>
      </w:r>
    </w:p>
    <w:p w14:paraId="5739DF5A" w14:textId="77777777" w:rsidR="00335E88" w:rsidRPr="00F67874" w:rsidRDefault="00335E88" w:rsidP="00335E88">
      <w:pPr>
        <w:pStyle w:val="aff6"/>
        <w:numPr>
          <w:ilvl w:val="0"/>
          <w:numId w:val="33"/>
        </w:numPr>
        <w:ind w:firstLineChars="0"/>
      </w:pPr>
      <w:r>
        <w:rPr>
          <w:rFonts w:eastAsiaTheme="minorEastAsia" w:hint="eastAsia"/>
          <w:lang w:eastAsia="zh-CN"/>
        </w:rPr>
        <w:t>P</w:t>
      </w:r>
      <w:r>
        <w:rPr>
          <w:rFonts w:eastAsiaTheme="minorEastAsia"/>
          <w:lang w:eastAsia="zh-CN"/>
        </w:rPr>
        <w:t>C2: 23 dBc</w:t>
      </w:r>
    </w:p>
    <w:p w14:paraId="623A6047" w14:textId="57761B85" w:rsidR="00335E88" w:rsidRPr="00335E88" w:rsidRDefault="00335E88" w:rsidP="00335E88">
      <w:pPr>
        <w:pStyle w:val="aff6"/>
        <w:numPr>
          <w:ilvl w:val="0"/>
          <w:numId w:val="33"/>
        </w:numPr>
        <w:ind w:firstLineChars="0"/>
      </w:pPr>
      <w:r>
        <w:rPr>
          <w:rFonts w:eastAsiaTheme="minorEastAsia" w:hint="eastAsia"/>
          <w:lang w:eastAsia="zh-CN"/>
        </w:rPr>
        <w:t>P</w:t>
      </w:r>
      <w:r>
        <w:rPr>
          <w:rFonts w:eastAsiaTheme="minorEastAsia"/>
          <w:lang w:eastAsia="zh-CN"/>
        </w:rPr>
        <w:t>C1: 23 dBc</w:t>
      </w:r>
    </w:p>
    <w:p w14:paraId="690AA3AB" w14:textId="78220370" w:rsidR="00335E88" w:rsidRPr="00335E88" w:rsidRDefault="00335E88" w:rsidP="00335E88">
      <w:pPr>
        <w:rPr>
          <w:b/>
          <w:bCs/>
        </w:rPr>
      </w:pPr>
      <w:r w:rsidRPr="00335E88">
        <w:rPr>
          <w:rFonts w:hint="eastAsia"/>
          <w:b/>
          <w:bCs/>
        </w:rPr>
        <w:t>P</w:t>
      </w:r>
      <w:r w:rsidRPr="00335E88">
        <w:rPr>
          <w:b/>
          <w:bCs/>
        </w:rPr>
        <w:t xml:space="preserve">roposal 2: Not consider </w:t>
      </w:r>
      <w:r w:rsidRPr="00335E88">
        <w:rPr>
          <w:b/>
          <w:lang w:eastAsia="ko-KR"/>
        </w:rPr>
        <w:t xml:space="preserve">SEM relaxation for the case UE CBW is much narrower compared to BS CBW as it’s out of the existing WI scope and which can be further considered in future release pending on the conclusion from TN operation. </w:t>
      </w:r>
    </w:p>
    <w:p w14:paraId="48B7389A" w14:textId="787D839C" w:rsidR="00335E88" w:rsidRPr="00335E88" w:rsidRDefault="00335E88" w:rsidP="00335E88">
      <w:pPr>
        <w:rPr>
          <w:rFonts w:eastAsiaTheme="minorEastAsia"/>
          <w:lang w:eastAsia="zh-CN"/>
        </w:rPr>
      </w:pPr>
      <w:r w:rsidRPr="00335E88">
        <w:rPr>
          <w:rFonts w:hint="eastAsia"/>
          <w:b/>
          <w:bCs/>
        </w:rPr>
        <w:t>P</w:t>
      </w:r>
      <w:r w:rsidRPr="00335E88">
        <w:rPr>
          <w:b/>
          <w:bCs/>
        </w:rPr>
        <w:t xml:space="preserve">roposal 3: Only focus on </w:t>
      </w:r>
      <w:r w:rsidRPr="00335E88">
        <w:rPr>
          <w:b/>
          <w:bCs/>
        </w:rPr>
        <w:t>non-hand-held</w:t>
      </w:r>
      <w:r w:rsidRPr="00335E88">
        <w:rPr>
          <w:b/>
          <w:bCs/>
        </w:rPr>
        <w:t xml:space="preserve"> device type f</w:t>
      </w:r>
      <w:r w:rsidRPr="00335E88">
        <w:rPr>
          <w:rFonts w:hint="eastAsia"/>
          <w:b/>
          <w:bCs/>
          <w:lang w:eastAsia="zh-CN"/>
        </w:rPr>
        <w:t>or</w:t>
      </w:r>
      <w:r w:rsidRPr="00335E88">
        <w:rPr>
          <w:b/>
          <w:bCs/>
        </w:rPr>
        <w:t xml:space="preserve"> </w:t>
      </w:r>
      <w:r w:rsidRPr="00335E88">
        <w:rPr>
          <w:rFonts w:hint="eastAsia"/>
          <w:b/>
          <w:bCs/>
          <w:lang w:eastAsia="zh-CN"/>
        </w:rPr>
        <w:t>PC</w:t>
      </w:r>
      <w:r w:rsidRPr="00335E88">
        <w:rPr>
          <w:b/>
          <w:bCs/>
        </w:rPr>
        <w:t xml:space="preserve">1 </w:t>
      </w:r>
      <w:r w:rsidRPr="00335E88">
        <w:rPr>
          <w:rFonts w:hint="eastAsia"/>
          <w:b/>
          <w:bCs/>
          <w:lang w:eastAsia="zh-CN"/>
        </w:rPr>
        <w:t>IoT</w:t>
      </w:r>
      <w:r w:rsidRPr="00335E88">
        <w:rPr>
          <w:b/>
          <w:bCs/>
          <w:lang w:eastAsia="zh-CN"/>
        </w:rPr>
        <w:t xml:space="preserve"> </w:t>
      </w:r>
      <w:r w:rsidRPr="00335E88">
        <w:rPr>
          <w:rFonts w:hint="eastAsia"/>
          <w:b/>
          <w:bCs/>
          <w:lang w:eastAsia="zh-CN"/>
        </w:rPr>
        <w:t>NTN</w:t>
      </w:r>
      <w:r w:rsidRPr="00335E88">
        <w:rPr>
          <w:b/>
          <w:bCs/>
          <w:lang w:eastAsia="zh-CN"/>
        </w:rPr>
        <w:t xml:space="preserve"> </w:t>
      </w:r>
      <w:r w:rsidRPr="00335E88">
        <w:rPr>
          <w:rFonts w:hint="eastAsia"/>
          <w:b/>
          <w:bCs/>
          <w:lang w:eastAsia="zh-CN"/>
        </w:rPr>
        <w:t>including</w:t>
      </w:r>
      <w:r w:rsidRPr="00335E88">
        <w:rPr>
          <w:b/>
          <w:bCs/>
          <w:lang w:eastAsia="zh-CN"/>
        </w:rPr>
        <w:t xml:space="preserve"> NB-IoT, eMTC with half-duplex, and eMTC with full duplex </w:t>
      </w:r>
      <w:r>
        <w:rPr>
          <w:b/>
          <w:bCs/>
          <w:lang w:eastAsia="zh-CN"/>
        </w:rPr>
        <w:t>in Rel-19.</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5935F7CC" w:rsidR="00D62546" w:rsidRPr="00B243A2" w:rsidRDefault="006E0CAF" w:rsidP="004F652D">
      <w:r>
        <w:t>[</w:t>
      </w:r>
      <w:r w:rsidR="005E1368">
        <w:t>1</w:t>
      </w:r>
      <w:r>
        <w:t>] R4-2</w:t>
      </w:r>
      <w:r w:rsidR="005E1368">
        <w:t>420</w:t>
      </w:r>
      <w:r w:rsidR="00F67874">
        <w:t xml:space="preserve">403, WF on NR NTN HPUE, Samsung </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53BF" w14:textId="77777777" w:rsidR="00FD7679" w:rsidRDefault="00FD7679" w:rsidP="00FC2656">
      <w:r>
        <w:separator/>
      </w:r>
    </w:p>
  </w:endnote>
  <w:endnote w:type="continuationSeparator" w:id="0">
    <w:p w14:paraId="514F17E1" w14:textId="77777777" w:rsidR="00FD7679" w:rsidRDefault="00FD7679"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30174" w14:textId="77777777" w:rsidR="00FD7679" w:rsidRDefault="00FD7679" w:rsidP="00FC2656">
      <w:r>
        <w:separator/>
      </w:r>
    </w:p>
  </w:footnote>
  <w:footnote w:type="continuationSeparator" w:id="0">
    <w:p w14:paraId="0B06A4CA" w14:textId="77777777" w:rsidR="00FD7679" w:rsidRDefault="00FD7679"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C87C41"/>
    <w:multiLevelType w:val="hybridMultilevel"/>
    <w:tmpl w:val="38CC7C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462021B"/>
    <w:multiLevelType w:val="hybridMultilevel"/>
    <w:tmpl w:val="6CE2850A"/>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24935665"/>
    <w:multiLevelType w:val="hybridMultilevel"/>
    <w:tmpl w:val="5B56640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DA22B1"/>
    <w:multiLevelType w:val="hybridMultilevel"/>
    <w:tmpl w:val="1CB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5"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621B5E"/>
    <w:multiLevelType w:val="hybridMultilevel"/>
    <w:tmpl w:val="402E875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BC64C1C"/>
    <w:multiLevelType w:val="hybridMultilevel"/>
    <w:tmpl w:val="2514B8D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E3636E"/>
    <w:multiLevelType w:val="hybridMultilevel"/>
    <w:tmpl w:val="6C8EE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0"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8"/>
  </w:num>
  <w:num w:numId="2">
    <w:abstractNumId w:val="27"/>
  </w:num>
  <w:num w:numId="3">
    <w:abstractNumId w:val="0"/>
  </w:num>
  <w:num w:numId="4">
    <w:abstractNumId w:val="23"/>
  </w:num>
  <w:num w:numId="5">
    <w:abstractNumId w:val="29"/>
  </w:num>
  <w:num w:numId="6">
    <w:abstractNumId w:val="12"/>
  </w:num>
  <w:num w:numId="7">
    <w:abstractNumId w:val="30"/>
  </w:num>
  <w:num w:numId="8">
    <w:abstractNumId w:val="17"/>
  </w:num>
  <w:num w:numId="9">
    <w:abstractNumId w:val="13"/>
  </w:num>
  <w:num w:numId="10">
    <w:abstractNumId w:val="15"/>
  </w:num>
  <w:num w:numId="11">
    <w:abstractNumId w:val="10"/>
  </w:num>
  <w:num w:numId="12">
    <w:abstractNumId w:val="31"/>
  </w:num>
  <w:num w:numId="13">
    <w:abstractNumId w:val="22"/>
  </w:num>
  <w:num w:numId="14">
    <w:abstractNumId w:val="26"/>
  </w:num>
  <w:num w:numId="15">
    <w:abstractNumId w:val="25"/>
  </w:num>
  <w:num w:numId="16">
    <w:abstractNumId w:val="7"/>
  </w:num>
  <w:num w:numId="17">
    <w:abstractNumId w:val="4"/>
  </w:num>
  <w:num w:numId="18">
    <w:abstractNumId w:val="5"/>
  </w:num>
  <w:num w:numId="19">
    <w:abstractNumId w:val="24"/>
  </w:num>
  <w:num w:numId="20">
    <w:abstractNumId w:val="25"/>
  </w:num>
  <w:num w:numId="21">
    <w:abstractNumId w:val="21"/>
  </w:num>
  <w:num w:numId="22">
    <w:abstractNumId w:val="11"/>
  </w:num>
  <w:num w:numId="23">
    <w:abstractNumId w:val="14"/>
  </w:num>
  <w:num w:numId="24">
    <w:abstractNumId w:val="25"/>
  </w:num>
  <w:num w:numId="25">
    <w:abstractNumId w:val="2"/>
  </w:num>
  <w:num w:numId="26">
    <w:abstractNumId w:val="28"/>
  </w:num>
  <w:num w:numId="27">
    <w:abstractNumId w:val="1"/>
  </w:num>
  <w:num w:numId="28">
    <w:abstractNumId w:val="0"/>
  </w:num>
  <w:num w:numId="29">
    <w:abstractNumId w:val="9"/>
  </w:num>
  <w:num w:numId="30">
    <w:abstractNumId w:val="20"/>
  </w:num>
  <w:num w:numId="31">
    <w:abstractNumId w:val="19"/>
  </w:num>
  <w:num w:numId="32">
    <w:abstractNumId w:val="3"/>
  </w:num>
  <w:num w:numId="33">
    <w:abstractNumId w:val="16"/>
  </w:num>
  <w:num w:numId="34">
    <w:abstractNumId w:val="8"/>
  </w:num>
  <w:num w:numId="35">
    <w:abstractNumId w:val="25"/>
  </w:num>
  <w:num w:numId="36">
    <w:abstractNumId w:val="25"/>
    <w:lvlOverride w:ilvl="0"/>
    <w:lvlOverride w:ilvl="1"/>
    <w:lvlOverride w:ilvl="2"/>
    <w:lvlOverride w:ilvl="3"/>
    <w:lvlOverride w:ilvl="4"/>
    <w:lvlOverride w:ilvl="5"/>
    <w:lvlOverride w:ilvl="6"/>
    <w:lvlOverride w:ilvl="7"/>
    <w:lvlOverride w:ilvl="8"/>
  </w:num>
  <w:num w:numId="37">
    <w:abstractNumId w:val="6"/>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0A91"/>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EA5"/>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5E88"/>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3B5"/>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5CCE"/>
    <w:rsid w:val="003D7719"/>
    <w:rsid w:val="003E1935"/>
    <w:rsid w:val="003E3AAD"/>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4B65"/>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11B"/>
    <w:rsid w:val="004A37AC"/>
    <w:rsid w:val="004A495F"/>
    <w:rsid w:val="004A7544"/>
    <w:rsid w:val="004B04C2"/>
    <w:rsid w:val="004B6B0F"/>
    <w:rsid w:val="004C069C"/>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86"/>
    <w:rsid w:val="004E56E0"/>
    <w:rsid w:val="004E6041"/>
    <w:rsid w:val="004E6900"/>
    <w:rsid w:val="004E7329"/>
    <w:rsid w:val="004E7E8D"/>
    <w:rsid w:val="004F0539"/>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4C"/>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205"/>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5635"/>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67874"/>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6344"/>
    <w:rsid w:val="00FD701C"/>
    <w:rsid w:val="00FD7679"/>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5E88"/>
    <w:pPr>
      <w:spacing w:after="180" w:line="240" w:lineRule="auto"/>
      <w:jc w:val="left"/>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line="259" w:lineRule="auto"/>
      <w:ind w:left="568" w:hanging="284"/>
      <w:jc w:val="both"/>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line="259" w:lineRule="auto"/>
      <w:jc w:val="both"/>
    </w:pPr>
    <w:rPr>
      <w:b/>
    </w:rPr>
  </w:style>
  <w:style w:type="paragraph" w:styleId="a8">
    <w:name w:val="Document Map"/>
    <w:basedOn w:val="a"/>
    <w:semiHidden/>
    <w:pPr>
      <w:widowControl w:val="0"/>
      <w:shd w:val="clear" w:color="auto" w:fill="000080"/>
      <w:spacing w:after="0"/>
      <w:jc w:val="both"/>
    </w:pPr>
    <w:rPr>
      <w:rFonts w:ascii="Tahoma" w:eastAsiaTheme="minorEastAsia" w:hAnsi="Tahoma" w:cstheme="minorBidi"/>
      <w:kern w:val="2"/>
      <w:sz w:val="21"/>
      <w:szCs w:val="22"/>
      <w:lang w:val="en-US" w:eastAsia="zh-CN"/>
    </w:rPr>
  </w:style>
  <w:style w:type="paragraph" w:styleId="a9">
    <w:name w:val="annotation text"/>
    <w:basedOn w:val="a"/>
    <w:link w:val="aa"/>
    <w:pPr>
      <w:spacing w:line="259" w:lineRule="auto"/>
      <w:jc w:val="both"/>
    </w:pPr>
  </w:style>
  <w:style w:type="paragraph" w:styleId="ab">
    <w:name w:val="Body Text"/>
    <w:basedOn w:val="a"/>
    <w:link w:val="ac"/>
    <w:qFormat/>
    <w:pPr>
      <w:spacing w:line="259" w:lineRule="auto"/>
      <w:jc w:val="both"/>
    </w:pPr>
  </w:style>
  <w:style w:type="paragraph" w:styleId="ad">
    <w:name w:val="Plain Text"/>
    <w:basedOn w:val="a"/>
    <w:link w:val="ae"/>
    <w:uiPriority w:val="99"/>
    <w:qFormat/>
    <w:pPr>
      <w:spacing w:line="259" w:lineRule="auto"/>
      <w:jc w:val="both"/>
    </w:pPr>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line="259" w:lineRule="auto"/>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spacing w:line="259" w:lineRule="auto"/>
      <w:jc w:val="both"/>
      <w:textAlignment w:val="baseline"/>
    </w:pPr>
    <w:rPr>
      <w:rFonts w:eastAsia="Yu Mincho"/>
    </w:rPr>
  </w:style>
  <w:style w:type="paragraph" w:styleId="af1">
    <w:name w:val="Balloon Text"/>
    <w:basedOn w:val="a"/>
    <w:link w:val="af2"/>
    <w:qFormat/>
    <w:pPr>
      <w:spacing w:after="0" w:line="259" w:lineRule="auto"/>
      <w:jc w:val="both"/>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widowControl w:val="0"/>
      <w:pBdr>
        <w:top w:val="single" w:sz="12" w:space="0" w:color="auto"/>
      </w:pBdr>
      <w:spacing w:before="360" w:after="240"/>
      <w:jc w:val="both"/>
    </w:pPr>
    <w:rPr>
      <w:rFonts w:asciiTheme="minorHAnsi" w:eastAsiaTheme="minorEastAsia" w:hAnsiTheme="minorHAnsi" w:cstheme="minorBidi"/>
      <w:b/>
      <w:i/>
      <w:kern w:val="2"/>
      <w:sz w:val="26"/>
      <w:szCs w:val="22"/>
      <w:lang w:val="en-US" w:eastAsia="zh-CN"/>
    </w:rPr>
  </w:style>
  <w:style w:type="paragraph" w:styleId="af8">
    <w:name w:val="footnote text"/>
    <w:basedOn w:val="a"/>
    <w:link w:val="af9"/>
    <w:semiHidden/>
    <w:qFormat/>
    <w:pPr>
      <w:keepLines/>
      <w:spacing w:after="0" w:line="259" w:lineRule="auto"/>
      <w:ind w:left="454" w:hanging="454"/>
      <w:jc w:val="both"/>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line="259" w:lineRule="auto"/>
      <w:jc w:val="both"/>
    </w:pPr>
    <w:rPr>
      <w:rFonts w:eastAsia="Arial Unicode MS"/>
      <w:sz w:val="24"/>
      <w:szCs w:val="24"/>
    </w:rPr>
  </w:style>
  <w:style w:type="paragraph" w:styleId="11">
    <w:name w:val="index 1"/>
    <w:basedOn w:val="a"/>
    <w:next w:val="a"/>
    <w:semiHidden/>
    <w:qFormat/>
    <w:pPr>
      <w:keepLines/>
      <w:spacing w:after="0" w:line="259" w:lineRule="auto"/>
      <w:jc w:val="both"/>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line="259" w:lineRule="auto"/>
      <w:jc w:val="both"/>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line="259" w:lineRule="auto"/>
      <w:ind w:left="1135" w:hanging="851"/>
      <w:jc w:val="both"/>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line="259" w:lineRule="auto"/>
      <w:jc w:val="both"/>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line="259" w:lineRule="auto"/>
      <w:ind w:left="1702" w:hanging="1418"/>
      <w:jc w:val="both"/>
    </w:pPr>
  </w:style>
  <w:style w:type="paragraph" w:customStyle="1" w:styleId="FP">
    <w:name w:val="FP"/>
    <w:basedOn w:val="a"/>
    <w:qFormat/>
    <w:pPr>
      <w:spacing w:after="0" w:line="259" w:lineRule="auto"/>
      <w:jc w:val="both"/>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line="259" w:lineRule="auto"/>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line="259" w:lineRule="auto"/>
      <w:ind w:left="851"/>
      <w:jc w:val="both"/>
    </w:pPr>
  </w:style>
  <w:style w:type="paragraph" w:customStyle="1" w:styleId="INDENT2">
    <w:name w:val="INDENT2"/>
    <w:basedOn w:val="a"/>
    <w:pPr>
      <w:spacing w:line="259" w:lineRule="auto"/>
      <w:ind w:left="1135" w:hanging="284"/>
      <w:jc w:val="both"/>
    </w:pPr>
  </w:style>
  <w:style w:type="paragraph" w:customStyle="1" w:styleId="INDENT3">
    <w:name w:val="INDENT3"/>
    <w:basedOn w:val="a"/>
    <w:pPr>
      <w:spacing w:line="259" w:lineRule="auto"/>
      <w:ind w:left="1701" w:hanging="567"/>
      <w:jc w:val="both"/>
    </w:p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a"/>
    <w:qFormat/>
    <w:pPr>
      <w:keepNext/>
      <w:keepLines/>
      <w:spacing w:line="259" w:lineRule="auto"/>
      <w:jc w:val="both"/>
    </w:pPr>
    <w:rPr>
      <w:b/>
    </w:rPr>
  </w:style>
  <w:style w:type="paragraph" w:customStyle="1" w:styleId="enumlev2">
    <w:name w:val="enumlev2"/>
    <w:basedOn w:val="a"/>
    <w:qFormat/>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a"/>
    <w:pPr>
      <w:keepNext/>
      <w:keepLines/>
      <w:spacing w:before="240" w:line="259" w:lineRule="auto"/>
      <w:ind w:left="1418"/>
      <w:jc w:val="both"/>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pPr>
      <w:spacing w:line="259" w:lineRule="auto"/>
      <w:jc w:val="both"/>
    </w:pP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line="259" w:lineRule="auto"/>
      <w:ind w:left="1134" w:hanging="1134"/>
      <w:jc w:val="both"/>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jc w:val="both"/>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line="259" w:lineRule="auto"/>
      <w:jc w:val="both"/>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pPr>
      <w:spacing w:before="100" w:beforeAutospacing="1" w:after="100" w:afterAutospacing="1" w:line="259" w:lineRule="auto"/>
      <w:jc w:val="both"/>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spacing w:line="259" w:lineRule="auto"/>
      <w:ind w:firstLineChars="200" w:firstLine="420"/>
      <w:jc w:val="both"/>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widowControl w:val="0"/>
      <w:spacing w:after="0" w:line="480" w:lineRule="auto"/>
      <w:jc w:val="both"/>
    </w:pPr>
    <w:rPr>
      <w:rFonts w:asciiTheme="minorHAnsi" w:eastAsiaTheme="minorEastAsia" w:hAnsiTheme="minorHAnsi" w:cstheme="minorBidi"/>
      <w:kern w:val="2"/>
      <w:sz w:val="21"/>
      <w:szCs w:val="22"/>
      <w:lang w:val="en-US" w:eastAsia="zh-CN"/>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ind w:firstLine="420"/>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716">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65119454">
      <w:bodyDiv w:val="1"/>
      <w:marLeft w:val="0"/>
      <w:marRight w:val="0"/>
      <w:marTop w:val="0"/>
      <w:marBottom w:val="0"/>
      <w:divBdr>
        <w:top w:val="none" w:sz="0" w:space="0" w:color="auto"/>
        <w:left w:val="none" w:sz="0" w:space="0" w:color="auto"/>
        <w:bottom w:val="none" w:sz="0" w:space="0" w:color="auto"/>
        <w:right w:val="none" w:sz="0" w:space="0" w:color="auto"/>
      </w:divBdr>
    </w:div>
    <w:div w:id="288047734">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1793403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7238020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8968337">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4822093">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50120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1859788">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1834</TotalTime>
  <Pages>4</Pages>
  <Words>1021</Words>
  <Characters>5825</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19</cp:revision>
  <cp:lastPrinted>2019-04-25T01:09:00Z</cp:lastPrinted>
  <dcterms:created xsi:type="dcterms:W3CDTF">2025-02-03T03:05:00Z</dcterms:created>
  <dcterms:modified xsi:type="dcterms:W3CDTF">2025-02-07T15:04:00Z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