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B08B3">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Title"/>
      <w:bookmarkEnd w:id="0"/>
      <w:bookmarkStart w:id="1" w:name="DocumentFor"/>
      <w:bookmarkEnd w:id="1"/>
      <w:bookmarkStart w:id="2" w:name="_Ref399006623"/>
      <w:bookmarkStart w:id="3" w:name="_Toc92513360"/>
      <w:r>
        <w:rPr>
          <w:rFonts w:ascii="Arial" w:hAnsi="Arial" w:eastAsia="宋体" w:cs="Arial"/>
          <w:b/>
          <w:kern w:val="0"/>
          <w:sz w:val="24"/>
          <w:szCs w:val="24"/>
          <w:lang w:val="en-US" w:eastAsia="zh-CN" w:bidi="ar-SA"/>
        </w:rPr>
        <w:t>3GPP TSG-RAN WG4 Meeting #114</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R4-2500632</w:t>
      </w:r>
      <w:bookmarkStart w:id="7" w:name="_GoBack"/>
      <w:bookmarkEnd w:id="7"/>
    </w:p>
    <w:p w14:paraId="04177367">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lang w:val="en-US" w:eastAsia="zh-CN" w:bidi="ar-SA"/>
        </w:rPr>
        <w:t>Athens</w:t>
      </w:r>
      <w:r>
        <w:rPr>
          <w:rFonts w:ascii="Arial" w:hAnsi="Arial" w:eastAsia="宋体" w:cs="Arial"/>
          <w:b/>
          <w:kern w:val="0"/>
          <w:sz w:val="24"/>
          <w:szCs w:val="24"/>
          <w:lang w:val="en-US" w:eastAsia="zh-CN" w:bidi="ar-SA"/>
        </w:rPr>
        <w:t>, GR, 17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21</w:t>
      </w:r>
      <w:r>
        <w:rPr>
          <w:rFonts w:ascii="Arial" w:hAnsi="Arial" w:eastAsia="宋体" w:cs="Arial"/>
          <w:b/>
          <w:kern w:val="0"/>
          <w:sz w:val="24"/>
          <w:szCs w:val="24"/>
          <w:vertAlign w:val="superscript"/>
          <w:lang w:val="en-US" w:eastAsia="zh-CN" w:bidi="ar-SA"/>
        </w:rPr>
        <w:t>st</w:t>
      </w:r>
      <w:r>
        <w:rPr>
          <w:rFonts w:ascii="Arial" w:hAnsi="Arial" w:eastAsia="宋体" w:cs="Arial"/>
          <w:b/>
          <w:kern w:val="0"/>
          <w:sz w:val="24"/>
          <w:szCs w:val="24"/>
          <w:lang w:val="en-US" w:eastAsia="zh-CN" w:bidi="ar-SA"/>
        </w:rPr>
        <w:t xml:space="preserve"> February, 2025</w:t>
      </w:r>
    </w:p>
    <w:p w14:paraId="38D405BD">
      <w:pPr>
        <w:overflowPunct w:val="0"/>
        <w:autoSpaceDE w:val="0"/>
        <w:autoSpaceDN w:val="0"/>
        <w:adjustRightInd w:val="0"/>
        <w:textAlignment w:val="baseline"/>
        <w:rPr>
          <w:rFonts w:ascii="Arial" w:hAnsi="Arial" w:eastAsia="宋体" w:cs="Times New Roman"/>
          <w:b/>
          <w:bCs/>
          <w:kern w:val="0"/>
          <w:sz w:val="24"/>
          <w:szCs w:val="21"/>
          <w:lang w:val="en-GB"/>
        </w:rPr>
      </w:pPr>
    </w:p>
    <w:p w14:paraId="13326A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A356EDD">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 xml:space="preserve">Discussion on </w:t>
      </w:r>
      <w:bookmarkStart w:id="4" w:name="OLE_LINK6"/>
      <w:r>
        <w:rPr>
          <w:rFonts w:hint="eastAsia" w:ascii="Arial" w:hAnsi="Arial" w:cs="Arial"/>
          <w:sz w:val="24"/>
          <w:szCs w:val="24"/>
        </w:rPr>
        <w:t>other RRM core requirements</w:t>
      </w:r>
      <w:bookmarkEnd w:id="4"/>
      <w:r>
        <w:rPr>
          <w:rFonts w:hint="eastAsia" w:ascii="Arial" w:hAnsi="Arial" w:cs="Arial"/>
          <w:sz w:val="24"/>
          <w:szCs w:val="24"/>
        </w:rPr>
        <w:t xml:space="preserve"> in NTN for NR Phase 3</w:t>
      </w:r>
    </w:p>
    <w:p w14:paraId="25BB0514">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9</w:t>
      </w:r>
      <w:r>
        <w:rPr>
          <w:rFonts w:hint="eastAsia" w:ascii="Arial" w:hAnsi="Arial" w:cs="Arial"/>
          <w:sz w:val="24"/>
          <w:szCs w:val="24"/>
        </w:rPr>
        <w:t>.4.</w:t>
      </w:r>
      <w:r>
        <w:rPr>
          <w:rFonts w:hint="eastAsia" w:ascii="Arial" w:hAnsi="Arial" w:cs="Arial"/>
          <w:sz w:val="24"/>
          <w:szCs w:val="24"/>
          <w:lang w:val="en-US" w:eastAsia="zh-CN"/>
        </w:rPr>
        <w:t>2</w:t>
      </w:r>
    </w:p>
    <w:p w14:paraId="62F268B3">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CE62903">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44"/>
          <w:szCs w:val="22"/>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BCEFBDE">
      <w:pPr>
        <w:spacing w:before="120" w:beforeLines="50" w:after="120" w:afterLines="50"/>
        <w:rPr>
          <w:rFonts w:hint="default" w:ascii="Times New Roman" w:hAnsi="Times New Roman" w:eastAsia="MS Mincho" w:cs="Times New Roman"/>
          <w:kern w:val="0"/>
          <w:sz w:val="21"/>
          <w:szCs w:val="21"/>
          <w:lang w:val="en-GB" w:eastAsia="ja-JP"/>
        </w:rPr>
      </w:pPr>
      <w:r>
        <w:rPr>
          <w:rFonts w:hint="default" w:ascii="Times New Roman" w:hAnsi="Times New Roman" w:eastAsia="MS Mincho" w:cs="Times New Roman"/>
          <w:kern w:val="0"/>
          <w:sz w:val="21"/>
          <w:szCs w:val="21"/>
          <w:lang w:val="en-GB" w:eastAsia="ja-JP"/>
        </w:rPr>
        <w:t>In the last RAN4#11</w:t>
      </w:r>
      <w:r>
        <w:rPr>
          <w:rFonts w:hint="eastAsia" w:ascii="Times New Roman" w:hAnsi="Times New Roman" w:eastAsia="宋体" w:cs="Times New Roman"/>
          <w:kern w:val="0"/>
          <w:sz w:val="21"/>
          <w:szCs w:val="21"/>
          <w:lang w:val="en-US" w:eastAsia="zh-CN"/>
        </w:rPr>
        <w:t>3</w:t>
      </w:r>
      <w:r>
        <w:rPr>
          <w:rFonts w:hint="default" w:ascii="Times New Roman" w:hAnsi="Times New Roman" w:eastAsia="MS Mincho" w:cs="Times New Roman"/>
          <w:kern w:val="0"/>
          <w:sz w:val="21"/>
          <w:szCs w:val="21"/>
          <w:lang w:val="en-GB" w:eastAsia="ja-JP"/>
        </w:rPr>
        <w:t xml:space="preserve"> meeting,</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discussion </w:t>
      </w:r>
      <w:r>
        <w:rPr>
          <w:rFonts w:hint="eastAsia" w:ascii="Times New Roman" w:hAnsi="Times New Roman" w:eastAsia="宋体" w:cs="Times New Roman"/>
          <w:kern w:val="0"/>
          <w:sz w:val="21"/>
          <w:szCs w:val="21"/>
          <w:lang w:val="en-US" w:eastAsia="zh-CN"/>
        </w:rPr>
        <w:t xml:space="preserve">on RRM requirements for Rel-19 NR NTN phase3 </w:t>
      </w:r>
      <w:r>
        <w:rPr>
          <w:rFonts w:hint="default" w:ascii="Times New Roman" w:hAnsi="Times New Roman" w:eastAsia="MS Mincho" w:cs="Times New Roman"/>
          <w:kern w:val="0"/>
          <w:sz w:val="21"/>
          <w:szCs w:val="21"/>
          <w:lang w:val="en-GB" w:eastAsia="ja-JP"/>
        </w:rPr>
        <w:t>occurred</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In this contribution, we would like to provide </w:t>
      </w:r>
      <w:r>
        <w:rPr>
          <w:rFonts w:hint="eastAsia" w:ascii="Times New Roman" w:hAnsi="Times New Roman" w:eastAsia="宋体" w:cs="Times New Roman"/>
          <w:kern w:val="0"/>
          <w:sz w:val="21"/>
          <w:szCs w:val="21"/>
          <w:lang w:val="en-US" w:eastAsia="zh-CN"/>
        </w:rPr>
        <w:t>our further</w:t>
      </w:r>
      <w:r>
        <w:rPr>
          <w:rFonts w:hint="default" w:ascii="Times New Roman" w:hAnsi="Times New Roman" w:eastAsia="MS Mincho" w:cs="Times New Roman"/>
          <w:kern w:val="0"/>
          <w:sz w:val="21"/>
          <w:szCs w:val="21"/>
          <w:lang w:val="en-GB" w:eastAsia="ja-JP"/>
        </w:rPr>
        <w:t xml:space="preserve"> discussion on other RRM core requirements in NTN for NR Phase 3 and provide our proposals.</w:t>
      </w:r>
    </w:p>
    <w:p w14:paraId="47332A25">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97A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987EC47">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kern w:val="0"/>
                <w:sz w:val="20"/>
                <w:szCs w:val="20"/>
                <w:u w:val="single"/>
                <w:lang w:val="en-GB" w:eastAsia="ko-KR"/>
              </w:rPr>
            </w:pPr>
            <w:r>
              <w:rPr>
                <w:rFonts w:hint="eastAsia" w:ascii="Times New Roman" w:hAnsi="Times New Roman" w:eastAsia="宋体" w:cs="Times New Roman"/>
                <w:b/>
                <w:kern w:val="0"/>
                <w:sz w:val="20"/>
                <w:szCs w:val="20"/>
                <w:u w:val="single"/>
                <w:lang w:val="en-GB" w:eastAsia="ko-KR"/>
              </w:rPr>
              <w:t>Issue 1-1: SSB periodicity enhancement</w:t>
            </w:r>
          </w:p>
          <w:p w14:paraId="22E80F08">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green"/>
                <w:lang w:val="en-GB" w:eastAsia="ko-KR"/>
              </w:rPr>
              <w:t>Agreement (online):</w:t>
            </w:r>
          </w:p>
          <w:p w14:paraId="6AE62A4E">
            <w:pPr>
              <w:keepNext w:val="0"/>
              <w:keepLines w:val="0"/>
              <w:widowControl/>
              <w:suppressLineNumbers w:val="0"/>
              <w:snapToGrid w:val="0"/>
              <w:spacing w:before="0" w:beforeAutospacing="0" w:after="120" w:afterAutospacing="0" w:line="276" w:lineRule="auto"/>
              <w:ind w:left="270" w:right="0" w:firstLine="14"/>
              <w:jc w:val="left"/>
              <w:rPr>
                <w:rFonts w:hint="eastAsia" w:ascii="Times New Roman" w:hAnsi="Times New Roman" w:eastAsia="Malgun Gothic" w:cs="Times New Roman"/>
                <w:kern w:val="0"/>
                <w:sz w:val="21"/>
                <w:szCs w:val="21"/>
                <w:lang w:val="en-GB" w:eastAsia="ko-KR"/>
              </w:rPr>
            </w:pPr>
            <w:r>
              <w:rPr>
                <w:rFonts w:hint="eastAsia" w:ascii="Times New Roman" w:hAnsi="Times New Roman" w:eastAsia="宋体" w:cs="Times New Roman"/>
                <w:bCs/>
                <w:kern w:val="0"/>
                <w:sz w:val="21"/>
                <w:szCs w:val="21"/>
                <w:lang w:val="en-GB" w:eastAsia="ja-JP"/>
              </w:rPr>
              <w:t xml:space="preserve">For </w:t>
            </w:r>
            <w:r>
              <w:rPr>
                <w:rFonts w:hint="eastAsia" w:ascii="Times New Roman" w:hAnsi="Times New Roman" w:eastAsia="Malgun Gothic" w:cs="Times New Roman"/>
                <w:kern w:val="0"/>
                <w:sz w:val="21"/>
                <w:szCs w:val="21"/>
                <w:lang w:val="en-GB" w:eastAsia="ko-KR"/>
              </w:rPr>
              <w:t>SSB periodicity up to 160ms:</w:t>
            </w:r>
          </w:p>
          <w:p w14:paraId="69DD4811">
            <w:pPr>
              <w:keepNext w:val="0"/>
              <w:keepLines w:val="0"/>
              <w:widowControl w:val="0"/>
              <w:numPr>
                <w:ilvl w:val="0"/>
                <w:numId w:val="4"/>
              </w:numPr>
              <w:suppressLineNumbers w:val="0"/>
              <w:overflowPunct/>
              <w:autoSpaceDE/>
              <w:autoSpaceDN/>
              <w:adjustRightInd/>
              <w:snapToGrid w:val="0"/>
              <w:spacing w:before="0" w:beforeAutospacing="0" w:after="120" w:afterAutospacing="0" w:line="240" w:lineRule="auto"/>
              <w:ind w:left="360" w:right="0" w:hanging="360" w:firstLineChars="0"/>
              <w:jc w:val="both"/>
              <w:textAlignment w:val="auto"/>
              <w:rPr>
                <w:rFonts w:hint="eastAsia" w:ascii="Times New Roman" w:hAnsi="Times New Roman" w:eastAsia="等线" w:cs="Times New Roman"/>
                <w:sz w:val="21"/>
                <w:szCs w:val="21"/>
                <w:lang w:val="en-GB" w:eastAsia="ja-JP" w:bidi="ar-SA"/>
              </w:rPr>
            </w:pPr>
            <w:r>
              <w:rPr>
                <w:rFonts w:hint="eastAsia" w:ascii="Times New Roman" w:hAnsi="Times New Roman" w:eastAsia="MS Mincho" w:cs="Times New Roman"/>
                <w:szCs w:val="21"/>
                <w:lang w:val="en-GB" w:eastAsia="ja-JP" w:bidi="ar-SA"/>
              </w:rPr>
              <w:t>No further discussion on the impact on initial access from the perspective of RRM requirement</w:t>
            </w:r>
          </w:p>
          <w:p w14:paraId="50F5DF9C">
            <w:pPr>
              <w:keepNext w:val="0"/>
              <w:keepLines w:val="0"/>
              <w:widowControl w:val="0"/>
              <w:numPr>
                <w:ilvl w:val="0"/>
                <w:numId w:val="4"/>
              </w:numPr>
              <w:suppressLineNumbers w:val="0"/>
              <w:overflowPunct/>
              <w:autoSpaceDE/>
              <w:autoSpaceDN/>
              <w:adjustRightInd/>
              <w:snapToGrid w:val="0"/>
              <w:spacing w:before="0" w:beforeAutospacing="0" w:after="120" w:afterAutospacing="0" w:line="240" w:lineRule="auto"/>
              <w:ind w:left="360"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Discuss whether to Modify the default values for SSB and SMTC periodicities for the following if the UE is not provided with SMTC configuration or measurement object on the corresponding frequency by NW</w:t>
            </w:r>
          </w:p>
          <w:p w14:paraId="330D5F9B">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RRC Re-establishment: TSMTC,i assumption</w:t>
            </w:r>
          </w:p>
          <w:p w14:paraId="780B6F52">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RRC connection release with redirection to NR: Trs assumption</w:t>
            </w:r>
          </w:p>
          <w:p w14:paraId="7A5061F6">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Handover, Conditional handover, RACH-less HO and satellite switch with re-sync: Trs assumption</w:t>
            </w:r>
          </w:p>
          <w:p w14:paraId="68205785">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Further discuss the details on how to update the requirement.</w:t>
            </w:r>
          </w:p>
          <w:p w14:paraId="0086A751">
            <w:pPr>
              <w:keepNext w:val="0"/>
              <w:keepLines w:val="0"/>
              <w:widowControl w:val="0"/>
              <w:numPr>
                <w:ilvl w:val="0"/>
                <w:numId w:val="4"/>
              </w:numPr>
              <w:suppressLineNumbers w:val="0"/>
              <w:overflowPunct/>
              <w:autoSpaceDE/>
              <w:autoSpaceDN/>
              <w:adjustRightInd/>
              <w:snapToGrid w:val="0"/>
              <w:spacing w:before="0" w:beforeAutospacing="0" w:after="120" w:afterAutospacing="0" w:line="240" w:lineRule="auto"/>
              <w:ind w:left="360" w:right="0" w:hanging="360" w:firstLineChars="0"/>
              <w:jc w:val="both"/>
              <w:textAlignment w:val="auto"/>
              <w:rPr>
                <w:rFonts w:hint="eastAsia" w:ascii="Times New Roman" w:hAnsi="Times New Roman" w:eastAsia="等线" w:cs="Times New Roman"/>
                <w:szCs w:val="21"/>
                <w:lang w:val="en-GB" w:eastAsia="ja-JP" w:bidi="ar-SA"/>
              </w:rPr>
            </w:pPr>
            <w:r>
              <w:rPr>
                <w:rFonts w:hint="eastAsia" w:ascii="Times New Roman" w:hAnsi="Times New Roman" w:eastAsia="MS Mincho" w:cs="Times New Roman"/>
                <w:szCs w:val="21"/>
                <w:lang w:val="en-GB" w:eastAsia="ja-JP" w:bidi="ar-SA"/>
              </w:rPr>
              <w:t>Further discuss the following for SSB periodicity &gt; 20ms:</w:t>
            </w:r>
          </w:p>
          <w:p w14:paraId="47D151F7">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Cell Reselection: for the SSB-periodicity of 160ms, whether the values for Tmeasure_NR_xxx_enh need to be updated for DRX Cycles equal to 0.32 s and other DRX cycles</w:t>
            </w:r>
          </w:p>
          <w:p w14:paraId="2D1E4BE7">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Paging interruption in RRC Idle/Inactive: whether/how to adjust the requirements when SSB periods =160 ms in NGSO scenarios</w:t>
            </w:r>
          </w:p>
          <w:p w14:paraId="3FFD80B2">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RRC re-establishment: RRC re-establishment requirements for Serving cell SSB Ês/Iot &lt; -8dB</w:t>
            </w:r>
          </w:p>
          <w:p w14:paraId="11866639">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eastAsia" w:ascii="Times New Roman" w:hAnsi="Times New Roman" w:eastAsia="Malgun Gothic" w:cs="Times New Roman"/>
                <w:szCs w:val="21"/>
                <w:lang w:val="en-GB" w:eastAsia="ko-KR" w:bidi="ar-SA"/>
              </w:rPr>
            </w:pPr>
            <w:r>
              <w:rPr>
                <w:rFonts w:hint="eastAsia" w:ascii="Times New Roman" w:hAnsi="Times New Roman" w:eastAsia="Malgun Gothic" w:cs="Times New Roman"/>
                <w:szCs w:val="21"/>
                <w:lang w:val="en-GB" w:eastAsia="ko-KR" w:bidi="ar-SA"/>
              </w:rPr>
              <w:t>Handover, Conditional handover, RACH-less HO and satellite switch with re-sync</w:t>
            </w:r>
          </w:p>
          <w:p w14:paraId="1781166D">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080" w:right="0" w:hanging="360" w:firstLineChars="0"/>
              <w:jc w:val="both"/>
              <w:textAlignment w:val="auto"/>
              <w:rPr>
                <w:rFonts w:hint="default" w:ascii="Times New Roman" w:hAnsi="Times New Roman" w:eastAsia="MS Mincho" w:cs="Times New Roman"/>
                <w:b/>
                <w:bCs/>
                <w:kern w:val="0"/>
                <w:sz w:val="20"/>
                <w:szCs w:val="20"/>
                <w:u w:val="single"/>
                <w:vertAlign w:val="baseline"/>
                <w:lang w:val="en-GB" w:eastAsia="ja-JP"/>
              </w:rPr>
            </w:pPr>
            <w:r>
              <w:rPr>
                <w:rFonts w:hint="eastAsia" w:ascii="Times New Roman" w:hAnsi="Times New Roman" w:eastAsia="Malgun Gothic" w:cs="Times New Roman"/>
                <w:szCs w:val="21"/>
                <w:lang w:val="en-GB" w:eastAsia="ko-KR" w:bidi="ar-SA"/>
              </w:rPr>
              <w:t>Further discuss whether and how to update the requirement</w:t>
            </w:r>
          </w:p>
        </w:tc>
      </w:tr>
    </w:tbl>
    <w:p w14:paraId="4AF4F0B9">
      <w:pPr>
        <w:spacing w:before="120" w:beforeLines="50" w:after="120" w:afterLines="50"/>
        <w:rPr>
          <w:rFonts w:hint="default" w:ascii="Times New Roman" w:hAnsi="Times New Roman" w:eastAsia="等线" w:cs="Times New Roman"/>
          <w:b/>
          <w:bCs/>
          <w:sz w:val="21"/>
          <w:szCs w:val="21"/>
          <w:lang w:val="en-US" w:eastAsia="zh-CN"/>
        </w:rPr>
      </w:pPr>
      <w:r>
        <w:rPr>
          <w:rFonts w:hint="eastAsia" w:ascii="Times New Roman" w:hAnsi="Times New Roman" w:eastAsia="等线" w:cs="Times New Roman"/>
          <w:sz w:val="21"/>
          <w:szCs w:val="21"/>
          <w:lang w:val="en-US" w:eastAsia="zh-CN"/>
        </w:rPr>
        <w:t xml:space="preserve">Based on the latest revised WID [], it has been agreed in RAN plenary that </w:t>
      </w:r>
      <w:r>
        <w:rPr>
          <w:rFonts w:hint="default" w:ascii="Times New Roman" w:hAnsi="Times New Roman" w:eastAsia="等线" w:cs="Times New Roman"/>
          <w:sz w:val="21"/>
          <w:szCs w:val="21"/>
          <w:lang w:val="en-US" w:eastAsia="zh-CN"/>
        </w:rPr>
        <w:t>“The maximum of the additional default value (apart from the existing 20ms value) is 160 ms”</w:t>
      </w:r>
      <w:r>
        <w:rPr>
          <w:rFonts w:hint="eastAsia" w:ascii="Times New Roman" w:hAnsi="Times New Roman" w:eastAsia="等线" w:cs="Times New Roman"/>
          <w:sz w:val="21"/>
          <w:szCs w:val="21"/>
          <w:lang w:val="en-US" w:eastAsia="zh-CN"/>
        </w:rPr>
        <w:t xml:space="preserve"> for SSB periodicity during initial access. So, RAN4 can focus on the the SSB periodicity up to 160ms case and discuss detailed impact as listed in the WF. </w:t>
      </w:r>
    </w:p>
    <w:p w14:paraId="5D5F63F5">
      <w:pPr>
        <w:numPr>
          <w:ilvl w:val="0"/>
          <w:numId w:val="5"/>
        </w:numPr>
        <w:spacing w:before="120" w:beforeLines="50" w:after="120" w:afterLines="50"/>
        <w:ind w:left="420" w:leftChars="0" w:hanging="420" w:firstLine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Cell re-selection:</w:t>
      </w:r>
    </w:p>
    <w:p w14:paraId="4CA3F855">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Current cell re-selection measurement requirements are defined based on DRX cycle, of which the smallest value is 320ms. Originally, the SSB periodicity can be configured to up to 160ms, and the current cell re-selection requirements work. So, we don</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 xml:space="preserve">t think there is any impact on the cell re-selection. </w:t>
      </w:r>
    </w:p>
    <w:p w14:paraId="7854634E">
      <w:pPr>
        <w:numPr>
          <w:ilvl w:val="0"/>
          <w:numId w:val="5"/>
        </w:numPr>
        <w:spacing w:before="120" w:beforeLines="50" w:after="120" w:afterLines="50"/>
        <w:ind w:left="420" w:leftChars="0" w:hanging="420" w:firstLineChars="0"/>
        <w:rPr>
          <w:rFonts w:hint="eastAsia" w:ascii="Times New Roman" w:hAnsi="Times New Roman" w:eastAsia="等线" w:cs="Times New Roman"/>
          <w:sz w:val="21"/>
          <w:szCs w:val="21"/>
          <w:lang w:val="en-US" w:eastAsia="zh-CN"/>
        </w:rPr>
      </w:pPr>
      <w:r>
        <w:rPr>
          <w:rFonts w:ascii="Times New Roman" w:hAnsi="Times New Roman" w:eastAsia="Malgun Gothic" w:cs="Times New Roman"/>
          <w:szCs w:val="21"/>
          <w:lang w:val="en-GB" w:eastAsia="ko-KR" w:bidi="ar-SA"/>
        </w:rPr>
        <w:t>Paging interruption in RRC Idle/Inactive</w:t>
      </w:r>
      <w:r>
        <w:rPr>
          <w:rFonts w:hint="eastAsia" w:ascii="Times New Roman" w:hAnsi="Times New Roman" w:eastAsia="等线" w:cs="Times New Roman"/>
          <w:sz w:val="21"/>
          <w:szCs w:val="21"/>
          <w:lang w:val="en-US" w:eastAsia="zh-CN"/>
        </w:rPr>
        <w:t>:</w:t>
      </w:r>
    </w:p>
    <w:p w14:paraId="72DE36F1">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Similar as the opinion on cell re-selection, we don</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t think there is any impact on the paging interruption requirements.</w:t>
      </w:r>
    </w:p>
    <w:p w14:paraId="26A635E0">
      <w:pPr>
        <w:numPr>
          <w:ilvl w:val="0"/>
          <w:numId w:val="5"/>
        </w:numPr>
        <w:spacing w:before="120" w:beforeLines="50" w:after="120" w:afterLines="50"/>
        <w:ind w:left="420" w:leftChars="0" w:hanging="420" w:firstLine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RRC Re-establishment and RRC Connection Release with Redirection: </w:t>
      </w:r>
    </w:p>
    <w:p w14:paraId="0FC49442">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The current requirements involve description of UE</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s assumption on SSB periodicity. As the default SSB periodicity can be up to 160ms, the related requirements need to be revisited. The straightforward way is to modify the UE</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s assumption on SSB periodicity to no larger than 160 ms.</w:t>
      </w:r>
    </w:p>
    <w:p w14:paraId="52C4F774">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RRC Re-establishment delay requirement, clarify that if the SMTC for the inter-frequency carrier is not configured, the UE may assume that the target SSB periodicity is no larger than 160 ms in NR-NTN downlink coverage enhancement scenario.</w:t>
      </w:r>
    </w:p>
    <w:p w14:paraId="0C7A70BB">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RRC Connection Release with Redirection requirement, clarify that the Trs assumption can be 160ms in NR-NTN downlink coverage enhancement scenario.</w:t>
      </w:r>
    </w:p>
    <w:p w14:paraId="6D854191">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Handover, Conditional handover, RACH-less HO and satellite switch with re-sync requirements, clarify that the Trs assumption can be 160ms in NR-NTN downlink coverage enhancement scenario.</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B8E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2D1FF2F">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bCs/>
                <w:kern w:val="0"/>
                <w:sz w:val="20"/>
                <w:szCs w:val="20"/>
                <w:u w:val="single"/>
                <w:lang w:val="en-US" w:eastAsia="zh-CN"/>
              </w:rPr>
            </w:pPr>
            <w:bookmarkStart w:id="5" w:name="OLE_LINK9"/>
            <w:r>
              <w:rPr>
                <w:rFonts w:hint="eastAsia" w:ascii="Times New Roman" w:hAnsi="Times New Roman" w:eastAsia="宋体" w:cs="Times New Roman"/>
                <w:b/>
                <w:kern w:val="0"/>
                <w:sz w:val="20"/>
                <w:szCs w:val="20"/>
                <w:u w:val="single"/>
                <w:lang w:val="en-GB" w:eastAsia="ko-KR"/>
              </w:rPr>
              <w:t>Issue 1-</w:t>
            </w:r>
            <w:r>
              <w:rPr>
                <w:rFonts w:hint="eastAsia" w:ascii="Times New Roman" w:hAnsi="Times New Roman" w:eastAsia="Malgun Gothic" w:cs="Times New Roman"/>
                <w:b/>
                <w:kern w:val="0"/>
                <w:sz w:val="20"/>
                <w:szCs w:val="20"/>
                <w:u w:val="single"/>
                <w:lang w:val="en-GB" w:eastAsia="ko-KR"/>
              </w:rPr>
              <w:t>3</w:t>
            </w:r>
            <w:r>
              <w:rPr>
                <w:rFonts w:hint="eastAsia" w:ascii="Times New Roman" w:hAnsi="Times New Roman" w:eastAsia="宋体" w:cs="Times New Roman"/>
                <w:b/>
                <w:kern w:val="0"/>
                <w:sz w:val="20"/>
                <w:szCs w:val="20"/>
                <w:u w:val="single"/>
                <w:lang w:val="en-GB" w:eastAsia="ko-KR"/>
              </w:rPr>
              <w:t xml:space="preserve">: </w:t>
            </w:r>
            <w:r>
              <w:rPr>
                <w:rFonts w:hint="eastAsia" w:ascii="Times New Roman" w:hAnsi="Times New Roman" w:eastAsia="宋体" w:cs="Times New Roman"/>
                <w:b/>
                <w:bCs/>
                <w:kern w:val="0"/>
                <w:sz w:val="20"/>
                <w:szCs w:val="20"/>
                <w:u w:val="single"/>
                <w:lang w:val="en-US" w:eastAsia="zh-CN"/>
              </w:rPr>
              <w:t>RRM impacts due to Satellite Beam Hopping (e.g. Cell DTX/DRX)</w:t>
            </w:r>
          </w:p>
          <w:p w14:paraId="574365D1">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kern w:val="0"/>
                <w:sz w:val="20"/>
                <w:szCs w:val="20"/>
                <w:highlight w:val="green"/>
                <w:lang w:val="en-GB" w:eastAsia="ko-KR"/>
              </w:rPr>
            </w:pPr>
            <w:r>
              <w:rPr>
                <w:rFonts w:hint="eastAsia" w:ascii="Times New Roman" w:hAnsi="Times New Roman" w:eastAsia="Malgun Gothic" w:cs="Times New Roman"/>
                <w:b/>
                <w:bCs/>
                <w:kern w:val="0"/>
                <w:sz w:val="20"/>
                <w:szCs w:val="20"/>
                <w:highlight w:val="green"/>
                <w:lang w:val="en-GB" w:eastAsia="ko-KR"/>
              </w:rPr>
              <w:t>Agreement:</w:t>
            </w:r>
          </w:p>
          <w:p w14:paraId="0FFDBE64">
            <w:pPr>
              <w:keepNext w:val="0"/>
              <w:keepLines w:val="0"/>
              <w:widowControl w:val="0"/>
              <w:numPr>
                <w:ilvl w:val="0"/>
                <w:numId w:val="4"/>
              </w:numPr>
              <w:suppressLineNumbers w:val="0"/>
              <w:overflowPunct/>
              <w:autoSpaceDE/>
              <w:autoSpaceDN/>
              <w:adjustRightInd/>
              <w:snapToGrid w:val="0"/>
              <w:spacing w:before="0" w:beforeAutospacing="0" w:after="120" w:afterAutospacing="0" w:line="240" w:lineRule="auto"/>
              <w:ind w:left="360" w:right="0" w:hanging="360" w:firstLineChars="0"/>
              <w:jc w:val="both"/>
              <w:textAlignment w:val="auto"/>
              <w:rPr>
                <w:rFonts w:hint="default" w:ascii="Times New Roman" w:hAnsi="Times New Roman" w:eastAsia="宋体" w:cs="Times New Roman"/>
                <w:b w:val="0"/>
                <w:bCs/>
                <w:kern w:val="0"/>
                <w:sz w:val="21"/>
                <w:szCs w:val="21"/>
                <w:vertAlign w:val="baseline"/>
                <w:lang w:val="en-US" w:eastAsia="zh-CN"/>
              </w:rPr>
            </w:pPr>
            <w:r>
              <w:rPr>
                <w:rFonts w:hint="eastAsia" w:ascii="Times New Roman" w:hAnsi="Times New Roman" w:eastAsia="MS Mincho" w:cs="Times New Roman"/>
                <w:szCs w:val="21"/>
                <w:lang w:val="en-GB" w:eastAsia="ja-JP" w:bidi="ar-SA"/>
              </w:rPr>
              <w:t>RAN4 to wait for more progress from RAN1/2 on the detailed solutions to adopt the concept of Rel-18 cell DTX/DRX based satellite beam hoping support before discussing whether and how to modify the relevant RRM requirements</w:t>
            </w:r>
            <w:r>
              <w:rPr>
                <w:rFonts w:hint="eastAsia" w:ascii="Times New Roman" w:hAnsi="Times New Roman" w:eastAsia="MS Mincho" w:cs="Times New Roman"/>
                <w:szCs w:val="21"/>
                <w:lang w:val="en-GB" w:eastAsia="ko-KR" w:bidi="ar-SA"/>
              </w:rPr>
              <w:t>.</w:t>
            </w:r>
          </w:p>
        </w:tc>
      </w:tr>
    </w:tbl>
    <w:p w14:paraId="50B49FB1">
      <w:pPr>
        <w:spacing w:before="120" w:beforeLines="50" w:after="120" w:afterLines="5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The scheme of satellite beam hopping is still under discussion in RAN1 and RAN2. Based on current progress, the cell DTX/DRX function is going to be introduced. </w:t>
      </w:r>
    </w:p>
    <w:p w14:paraId="7BFFC4D8">
      <w:pPr>
        <w:pStyle w:val="36"/>
        <w:pBdr>
          <w:top w:val="single" w:color="auto" w:sz="4" w:space="1"/>
          <w:left w:val="single" w:color="auto" w:sz="4" w:space="4"/>
          <w:bottom w:val="single" w:color="auto" w:sz="4" w:space="1"/>
          <w:right w:val="single" w:color="auto" w:sz="4" w:space="4"/>
        </w:pBdr>
        <w:tabs>
          <w:tab w:val="clear" w:pos="1622"/>
        </w:tabs>
        <w:ind w:left="420" w:leftChars="0" w:hanging="363" w:firstLineChars="0"/>
      </w:pPr>
      <w:r>
        <w:t>Agreements</w:t>
      </w:r>
      <w:r>
        <w:rPr>
          <w:rFonts w:hint="eastAsia" w:eastAsia="宋体"/>
          <w:lang w:val="en-US" w:eastAsia="zh-CN"/>
        </w:rPr>
        <w:t xml:space="preserve"> in RAN2#128</w:t>
      </w:r>
      <w:r>
        <w:t>:</w:t>
      </w:r>
    </w:p>
    <w:p w14:paraId="1E2F9166">
      <w:pPr>
        <w:pStyle w:val="36"/>
        <w:pBdr>
          <w:top w:val="single" w:color="auto" w:sz="4" w:space="1"/>
          <w:left w:val="single" w:color="auto" w:sz="4" w:space="4"/>
          <w:bottom w:val="single" w:color="auto" w:sz="4" w:space="1"/>
          <w:right w:val="single" w:color="auto" w:sz="4" w:space="4"/>
        </w:pBdr>
        <w:tabs>
          <w:tab w:val="clear" w:pos="1622"/>
        </w:tabs>
        <w:ind w:left="420" w:leftChars="0" w:hanging="363" w:firstLineChars="0"/>
      </w:pPr>
      <w:r>
        <w:t>1.</w:t>
      </w:r>
      <w:r>
        <w:tab/>
      </w:r>
      <w:r>
        <w:t>For cell level DTX for NTN DL coverage enhancement, RAN2 currently understands that there will be only two states: "cell DTX On period" and "Cell DTX Off period" (FFS if the UE behaviour will be different from the NES states or the same). FFS on Cell DRX states.</w:t>
      </w:r>
    </w:p>
    <w:p w14:paraId="69177BBC">
      <w:pPr>
        <w:spacing w:before="120" w:beforeLines="50" w:after="120" w:afterLines="5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We understand that the Cell DTX/DRX would have RRM impact. Currently, measurement requirements in both IDLE/INACTIVE mode and CONNECTED mode are basically based on SSB or DRX configuration. If </w:t>
      </w:r>
      <w:bookmarkStart w:id="6" w:name="OLE_LINK2"/>
      <w:r>
        <w:rPr>
          <w:rFonts w:hint="eastAsia" w:ascii="Times New Roman" w:hAnsi="Times New Roman" w:eastAsia="等线" w:cs="Times New Roman"/>
          <w:sz w:val="21"/>
          <w:szCs w:val="21"/>
          <w:lang w:val="en-US" w:eastAsia="zh-CN"/>
        </w:rPr>
        <w:t>cell DTX/DRX</w:t>
      </w:r>
      <w:bookmarkEnd w:id="6"/>
      <w:r>
        <w:rPr>
          <w:rFonts w:hint="eastAsia" w:ascii="Times New Roman" w:hAnsi="Times New Roman" w:eastAsia="等线" w:cs="Times New Roman"/>
          <w:sz w:val="21"/>
          <w:szCs w:val="21"/>
          <w:lang w:val="en-US" w:eastAsia="zh-CN"/>
        </w:rPr>
        <w:t xml:space="preserve"> like mechanism is used to indicate beam status, the cell DTX/DRX configuration shall also be considered in the measurement delay requirements. Also, we think that the satellite beam transition between different states may have impact on mobility requirements and the corresponding UE behavior should be further studied. However, since there is still no sufficient agreements reached so far, the RRM impact can be FFS.</w:t>
      </w:r>
    </w:p>
    <w:p w14:paraId="4DABCE03">
      <w:pPr>
        <w:spacing w:before="120" w:beforeLines="50" w:after="120" w:afterLines="50"/>
        <w:rPr>
          <w:rFonts w:hint="default" w:ascii="Times New Roman" w:hAnsi="Times New Roman" w:eastAsia="等线"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wait for more progress from RAN1/2 on the detailed solutions to adopt the concept of Rel-18 cell DTX/DRX based satellite beam hoping support before discussing whether and how to modify the relevant RRM requirements. </w:t>
      </w:r>
    </w:p>
    <w:bookmarkEnd w:id="5"/>
    <w:p w14:paraId="469C0202">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60573EFE">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RRC Re-establishment delay requirement, clarify that if the SMTC for the inter-frequency carrier is not configured, the UE may assume that the target SSB periodicity is no larger than 160 ms in NR-NTN downlink coverage enhancement scenario.</w:t>
      </w:r>
    </w:p>
    <w:p w14:paraId="40FF97BB">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RRC Connection Release with Redirection requirement, clarify that the Trs assumption can be 160ms in NR-NTN downlink coverage enhancement scenario.</w:t>
      </w:r>
    </w:p>
    <w:p w14:paraId="35C6BD13">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Handover, Conditional handover, RACH-less HO and satellite switch with re-sync requirements, clarify that the Trs assumption can be 160ms in NR-NTN downlink coverage enhancement scenario.</w:t>
      </w:r>
    </w:p>
    <w:p w14:paraId="2D3099C0">
      <w:pPr>
        <w:spacing w:before="120" w:beforeLines="50" w:after="120" w:afterLines="50"/>
        <w:rPr>
          <w:rFonts w:hint="default" w:ascii="Times New Roman" w:hAnsi="Times New Roman" w:eastAsia="等线"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wait for more progress from RAN1/2 on the detailed solutions to adopt the concept of Rel-18 cell DTX/DRX based satellite beam hoping support before discussing whether and how to modify the relevant RRM requirements. </w:t>
      </w:r>
    </w:p>
    <w:p w14:paraId="1E4EFEB8">
      <w:pPr>
        <w:pStyle w:val="56"/>
        <w:spacing w:line="288" w:lineRule="auto"/>
        <w:rPr>
          <w:rFonts w:eastAsia="宋体"/>
          <w:b/>
          <w:bCs/>
          <w:lang w:val="en-GB"/>
        </w:rPr>
      </w:pPr>
    </w:p>
    <w:p w14:paraId="280A812A">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5C84D88B">
      <w:pPr>
        <w:numPr>
          <w:ilvl w:val="0"/>
          <w:numId w:val="6"/>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R4-2420105, </w:t>
      </w:r>
      <w:r>
        <w:rPr>
          <w:rFonts w:hint="eastAsia" w:ascii="Times New Roman" w:hAnsi="Times New Roman" w:eastAsia="宋体" w:cs="Times New Roman"/>
          <w:kern w:val="0"/>
          <w:sz w:val="20"/>
          <w:szCs w:val="20"/>
          <w:lang w:val="en-GB"/>
        </w:rPr>
        <w:t>WF on RRM requirements for NR_NTN_Ph3_Part2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Qualcomm</w:t>
      </w:r>
    </w:p>
    <w:p w14:paraId="5A3D1D58">
      <w:pPr>
        <w:numPr>
          <w:ilvl w:val="0"/>
          <w:numId w:val="6"/>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RP</w:t>
      </w:r>
      <w:r>
        <w:rPr>
          <w:rFonts w:hint="eastAsia"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GB"/>
        </w:rPr>
        <w:t>243300</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Revised WID: Non-Terrestrial Networks (NTN) for</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NR Phase 3</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THALES, CATT</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B8B3E"/>
    <w:multiLevelType w:val="singleLevel"/>
    <w:tmpl w:val="FF2B8B3E"/>
    <w:lvl w:ilvl="0" w:tentative="0">
      <w:start w:val="1"/>
      <w:numFmt w:val="bullet"/>
      <w:lvlText w:val=""/>
      <w:lvlJc w:val="left"/>
      <w:pPr>
        <w:ind w:left="420" w:hanging="42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606BEBA"/>
    <w:multiLevelType w:val="singleLevel"/>
    <w:tmpl w:val="7606BEBA"/>
    <w:lvl w:ilvl="0" w:tentative="0">
      <w:start w:val="1"/>
      <w:numFmt w:val="decimal"/>
      <w:suff w:val="space"/>
      <w:lvlText w:val="[%1]"/>
      <w:lvlJc w:val="left"/>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A227A1"/>
    <w:rsid w:val="02D06700"/>
    <w:rsid w:val="03365100"/>
    <w:rsid w:val="03913E39"/>
    <w:rsid w:val="03B15391"/>
    <w:rsid w:val="040D42FA"/>
    <w:rsid w:val="04194A97"/>
    <w:rsid w:val="04945271"/>
    <w:rsid w:val="04A22E57"/>
    <w:rsid w:val="04E83035"/>
    <w:rsid w:val="0511629C"/>
    <w:rsid w:val="053425E6"/>
    <w:rsid w:val="053A445F"/>
    <w:rsid w:val="055374A2"/>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54304"/>
    <w:rsid w:val="07EF6488"/>
    <w:rsid w:val="07F26B0C"/>
    <w:rsid w:val="08142BE4"/>
    <w:rsid w:val="0834033F"/>
    <w:rsid w:val="085355EF"/>
    <w:rsid w:val="0864151C"/>
    <w:rsid w:val="086B654C"/>
    <w:rsid w:val="08A13C26"/>
    <w:rsid w:val="08C35BCC"/>
    <w:rsid w:val="08C571E9"/>
    <w:rsid w:val="08EB6C4F"/>
    <w:rsid w:val="08F43C68"/>
    <w:rsid w:val="092B4153"/>
    <w:rsid w:val="094674BE"/>
    <w:rsid w:val="0A002BCE"/>
    <w:rsid w:val="0A021F2E"/>
    <w:rsid w:val="0A0C7595"/>
    <w:rsid w:val="0A404F63"/>
    <w:rsid w:val="0A673EF3"/>
    <w:rsid w:val="0ABA0FCF"/>
    <w:rsid w:val="0ADD14FB"/>
    <w:rsid w:val="0B0A5659"/>
    <w:rsid w:val="0B1245E8"/>
    <w:rsid w:val="0B3F3282"/>
    <w:rsid w:val="0B454EBC"/>
    <w:rsid w:val="0B792C38"/>
    <w:rsid w:val="0B901D30"/>
    <w:rsid w:val="0C28011C"/>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347CC8"/>
    <w:rsid w:val="0F411287"/>
    <w:rsid w:val="0F4277E5"/>
    <w:rsid w:val="0F4D3059"/>
    <w:rsid w:val="0F59068B"/>
    <w:rsid w:val="0F8C0A60"/>
    <w:rsid w:val="0F917DE8"/>
    <w:rsid w:val="0F98794A"/>
    <w:rsid w:val="0FFE157A"/>
    <w:rsid w:val="0FFF1232"/>
    <w:rsid w:val="103A5CAF"/>
    <w:rsid w:val="105F7F23"/>
    <w:rsid w:val="10E072B6"/>
    <w:rsid w:val="10FC65BF"/>
    <w:rsid w:val="1102255C"/>
    <w:rsid w:val="1102722C"/>
    <w:rsid w:val="11765524"/>
    <w:rsid w:val="11BA012C"/>
    <w:rsid w:val="13983E78"/>
    <w:rsid w:val="13BB36C2"/>
    <w:rsid w:val="1420443E"/>
    <w:rsid w:val="14410B0B"/>
    <w:rsid w:val="144933C4"/>
    <w:rsid w:val="14670F3B"/>
    <w:rsid w:val="14A2292A"/>
    <w:rsid w:val="14C2372B"/>
    <w:rsid w:val="14C30A80"/>
    <w:rsid w:val="14CF5677"/>
    <w:rsid w:val="14F74BCE"/>
    <w:rsid w:val="150F6DF8"/>
    <w:rsid w:val="15781C4D"/>
    <w:rsid w:val="157E6A6B"/>
    <w:rsid w:val="15FA088E"/>
    <w:rsid w:val="15FA2BC8"/>
    <w:rsid w:val="16283474"/>
    <w:rsid w:val="1659551A"/>
    <w:rsid w:val="16BA5DAD"/>
    <w:rsid w:val="16EF3DAF"/>
    <w:rsid w:val="170A0BE8"/>
    <w:rsid w:val="173A5A2D"/>
    <w:rsid w:val="17417890"/>
    <w:rsid w:val="175F7CA1"/>
    <w:rsid w:val="18426FD0"/>
    <w:rsid w:val="18814EDA"/>
    <w:rsid w:val="18D21978"/>
    <w:rsid w:val="195530E3"/>
    <w:rsid w:val="19670F1B"/>
    <w:rsid w:val="199F2C6B"/>
    <w:rsid w:val="1A177C84"/>
    <w:rsid w:val="1A425A24"/>
    <w:rsid w:val="1A6515CA"/>
    <w:rsid w:val="1AA2738A"/>
    <w:rsid w:val="1AB72134"/>
    <w:rsid w:val="1AB8095B"/>
    <w:rsid w:val="1ADE10E3"/>
    <w:rsid w:val="1AF54531"/>
    <w:rsid w:val="1B0C144B"/>
    <w:rsid w:val="1B225C27"/>
    <w:rsid w:val="1B401473"/>
    <w:rsid w:val="1B701236"/>
    <w:rsid w:val="1B7A20B5"/>
    <w:rsid w:val="1B9E6579"/>
    <w:rsid w:val="1BCA6B98"/>
    <w:rsid w:val="1BE334DF"/>
    <w:rsid w:val="1BEB72C3"/>
    <w:rsid w:val="1C443FD4"/>
    <w:rsid w:val="1C533C31"/>
    <w:rsid w:val="1C6629EC"/>
    <w:rsid w:val="1D46765C"/>
    <w:rsid w:val="1D565286"/>
    <w:rsid w:val="1DCF66E8"/>
    <w:rsid w:val="1DF943F8"/>
    <w:rsid w:val="1E032835"/>
    <w:rsid w:val="1E0B5246"/>
    <w:rsid w:val="1E1660C5"/>
    <w:rsid w:val="1EB61656"/>
    <w:rsid w:val="1EBB7F97"/>
    <w:rsid w:val="1ED41491"/>
    <w:rsid w:val="1EE305C4"/>
    <w:rsid w:val="1EE91A2B"/>
    <w:rsid w:val="1F0210D8"/>
    <w:rsid w:val="1F176423"/>
    <w:rsid w:val="1F354C71"/>
    <w:rsid w:val="1F664E2A"/>
    <w:rsid w:val="1F7237CF"/>
    <w:rsid w:val="1F7C7D01"/>
    <w:rsid w:val="1FA26EEB"/>
    <w:rsid w:val="1FD1253B"/>
    <w:rsid w:val="1FD576A0"/>
    <w:rsid w:val="20555B3C"/>
    <w:rsid w:val="20A56D20"/>
    <w:rsid w:val="20C54D60"/>
    <w:rsid w:val="20D7393A"/>
    <w:rsid w:val="20DE15FA"/>
    <w:rsid w:val="21052421"/>
    <w:rsid w:val="21464CF5"/>
    <w:rsid w:val="21971062"/>
    <w:rsid w:val="21C127EB"/>
    <w:rsid w:val="21F26E49"/>
    <w:rsid w:val="22377704"/>
    <w:rsid w:val="22592A24"/>
    <w:rsid w:val="22794E74"/>
    <w:rsid w:val="22853819"/>
    <w:rsid w:val="22AC524A"/>
    <w:rsid w:val="22B937E1"/>
    <w:rsid w:val="22C24A6D"/>
    <w:rsid w:val="22C97BAA"/>
    <w:rsid w:val="22D14E7D"/>
    <w:rsid w:val="22FE2588"/>
    <w:rsid w:val="230D345A"/>
    <w:rsid w:val="231F3C6E"/>
    <w:rsid w:val="23243032"/>
    <w:rsid w:val="233C0AA7"/>
    <w:rsid w:val="23503E27"/>
    <w:rsid w:val="236C49D9"/>
    <w:rsid w:val="2398414F"/>
    <w:rsid w:val="239D76F7"/>
    <w:rsid w:val="23C051AF"/>
    <w:rsid w:val="23D45F8E"/>
    <w:rsid w:val="240D3AC6"/>
    <w:rsid w:val="240D3E70"/>
    <w:rsid w:val="241E3F25"/>
    <w:rsid w:val="24303C58"/>
    <w:rsid w:val="24575689"/>
    <w:rsid w:val="24596D0B"/>
    <w:rsid w:val="245E4322"/>
    <w:rsid w:val="24861ACA"/>
    <w:rsid w:val="24A2007A"/>
    <w:rsid w:val="24C30629"/>
    <w:rsid w:val="24DE453D"/>
    <w:rsid w:val="24F07BEB"/>
    <w:rsid w:val="24F41CD4"/>
    <w:rsid w:val="252D58FF"/>
    <w:rsid w:val="25B368EF"/>
    <w:rsid w:val="261A696E"/>
    <w:rsid w:val="267E0CAB"/>
    <w:rsid w:val="267E514F"/>
    <w:rsid w:val="267E6905"/>
    <w:rsid w:val="267F67D1"/>
    <w:rsid w:val="26C27851"/>
    <w:rsid w:val="2725381D"/>
    <w:rsid w:val="27271343"/>
    <w:rsid w:val="272730F1"/>
    <w:rsid w:val="278B7B24"/>
    <w:rsid w:val="27C46B92"/>
    <w:rsid w:val="27D84E93"/>
    <w:rsid w:val="27FF406E"/>
    <w:rsid w:val="280A144A"/>
    <w:rsid w:val="282201FE"/>
    <w:rsid w:val="28417D61"/>
    <w:rsid w:val="28506677"/>
    <w:rsid w:val="28564FB5"/>
    <w:rsid w:val="28952684"/>
    <w:rsid w:val="291853E7"/>
    <w:rsid w:val="2919115F"/>
    <w:rsid w:val="291E0523"/>
    <w:rsid w:val="2967011C"/>
    <w:rsid w:val="296F6B21"/>
    <w:rsid w:val="29702FAD"/>
    <w:rsid w:val="297206B2"/>
    <w:rsid w:val="29826D04"/>
    <w:rsid w:val="29AF078E"/>
    <w:rsid w:val="29CA4207"/>
    <w:rsid w:val="29D7493D"/>
    <w:rsid w:val="2A1025F9"/>
    <w:rsid w:val="2A286F0C"/>
    <w:rsid w:val="2AAC59F6"/>
    <w:rsid w:val="2ABB0FF3"/>
    <w:rsid w:val="2B006133"/>
    <w:rsid w:val="2B0157AE"/>
    <w:rsid w:val="2B17347C"/>
    <w:rsid w:val="2B27367F"/>
    <w:rsid w:val="2B2C6A15"/>
    <w:rsid w:val="2B415FA0"/>
    <w:rsid w:val="2B487ADA"/>
    <w:rsid w:val="2B8A00F2"/>
    <w:rsid w:val="2BB32A71"/>
    <w:rsid w:val="2BB95357"/>
    <w:rsid w:val="2BE710A1"/>
    <w:rsid w:val="2C307EA2"/>
    <w:rsid w:val="2C74691D"/>
    <w:rsid w:val="2CE534D3"/>
    <w:rsid w:val="2D572256"/>
    <w:rsid w:val="2D711283"/>
    <w:rsid w:val="2DC01BA9"/>
    <w:rsid w:val="2DC36921"/>
    <w:rsid w:val="2DCA7799"/>
    <w:rsid w:val="2DD107CA"/>
    <w:rsid w:val="2DD37B2E"/>
    <w:rsid w:val="2E4C739F"/>
    <w:rsid w:val="2E5A3DAC"/>
    <w:rsid w:val="2E7330BF"/>
    <w:rsid w:val="2E8261B4"/>
    <w:rsid w:val="2E8B21B7"/>
    <w:rsid w:val="2E8B5F96"/>
    <w:rsid w:val="2EDC0C65"/>
    <w:rsid w:val="2F1B2E6A"/>
    <w:rsid w:val="2F257B78"/>
    <w:rsid w:val="2F260139"/>
    <w:rsid w:val="2F2D0284"/>
    <w:rsid w:val="2F57653D"/>
    <w:rsid w:val="2F6C3452"/>
    <w:rsid w:val="2F7000C2"/>
    <w:rsid w:val="2F8379E0"/>
    <w:rsid w:val="2F950E14"/>
    <w:rsid w:val="2FA66A7B"/>
    <w:rsid w:val="2FAA1397"/>
    <w:rsid w:val="2FBC45F2"/>
    <w:rsid w:val="2FC21B1A"/>
    <w:rsid w:val="2FDA78F1"/>
    <w:rsid w:val="300F0BC6"/>
    <w:rsid w:val="306B6443"/>
    <w:rsid w:val="308D6684"/>
    <w:rsid w:val="30B4631B"/>
    <w:rsid w:val="30F54260"/>
    <w:rsid w:val="312835DC"/>
    <w:rsid w:val="312C7DA4"/>
    <w:rsid w:val="3199108F"/>
    <w:rsid w:val="31EA2BFF"/>
    <w:rsid w:val="32150FD3"/>
    <w:rsid w:val="321E57AE"/>
    <w:rsid w:val="322A7C06"/>
    <w:rsid w:val="3252386D"/>
    <w:rsid w:val="327613D0"/>
    <w:rsid w:val="327B6CC5"/>
    <w:rsid w:val="32C24615"/>
    <w:rsid w:val="32F171E0"/>
    <w:rsid w:val="32F64767"/>
    <w:rsid w:val="33135238"/>
    <w:rsid w:val="335F1862"/>
    <w:rsid w:val="336D27D3"/>
    <w:rsid w:val="339607A9"/>
    <w:rsid w:val="33B32D68"/>
    <w:rsid w:val="33B76D89"/>
    <w:rsid w:val="33CA653C"/>
    <w:rsid w:val="34164C19"/>
    <w:rsid w:val="3434509F"/>
    <w:rsid w:val="344003D4"/>
    <w:rsid w:val="344F3C87"/>
    <w:rsid w:val="347C1ADD"/>
    <w:rsid w:val="34853B4C"/>
    <w:rsid w:val="349B582C"/>
    <w:rsid w:val="35026F4B"/>
    <w:rsid w:val="35202C81"/>
    <w:rsid w:val="3563768A"/>
    <w:rsid w:val="356B0126"/>
    <w:rsid w:val="356B4AF0"/>
    <w:rsid w:val="35763E83"/>
    <w:rsid w:val="358C0C7A"/>
    <w:rsid w:val="35CD7559"/>
    <w:rsid w:val="35EB5C31"/>
    <w:rsid w:val="364041CF"/>
    <w:rsid w:val="36810E01"/>
    <w:rsid w:val="36D93CDC"/>
    <w:rsid w:val="36DF3AA7"/>
    <w:rsid w:val="36E92ED5"/>
    <w:rsid w:val="36F570EA"/>
    <w:rsid w:val="36FA26E2"/>
    <w:rsid w:val="370F10D1"/>
    <w:rsid w:val="3732773C"/>
    <w:rsid w:val="37476E97"/>
    <w:rsid w:val="377834F5"/>
    <w:rsid w:val="37B704C1"/>
    <w:rsid w:val="382471D8"/>
    <w:rsid w:val="38BF6164"/>
    <w:rsid w:val="38CD161E"/>
    <w:rsid w:val="38FA6FB1"/>
    <w:rsid w:val="391334A5"/>
    <w:rsid w:val="393C5B33"/>
    <w:rsid w:val="3951224F"/>
    <w:rsid w:val="39B27192"/>
    <w:rsid w:val="39B5032A"/>
    <w:rsid w:val="39E135D3"/>
    <w:rsid w:val="3A1219DE"/>
    <w:rsid w:val="3A1570EE"/>
    <w:rsid w:val="3A257964"/>
    <w:rsid w:val="3A746BF3"/>
    <w:rsid w:val="3ABD0B64"/>
    <w:rsid w:val="3B1A1C29"/>
    <w:rsid w:val="3B2C6AD0"/>
    <w:rsid w:val="3B8765B4"/>
    <w:rsid w:val="3BBF16F2"/>
    <w:rsid w:val="3BC1190E"/>
    <w:rsid w:val="3C073714"/>
    <w:rsid w:val="3C1974AA"/>
    <w:rsid w:val="3C5B03D9"/>
    <w:rsid w:val="3C6109FB"/>
    <w:rsid w:val="3CFD6258"/>
    <w:rsid w:val="3D0F2205"/>
    <w:rsid w:val="3D404AB5"/>
    <w:rsid w:val="3D482C92"/>
    <w:rsid w:val="3D540560"/>
    <w:rsid w:val="3D626340"/>
    <w:rsid w:val="3D6822D8"/>
    <w:rsid w:val="3D7F55A8"/>
    <w:rsid w:val="3D8F3346"/>
    <w:rsid w:val="3DE6565C"/>
    <w:rsid w:val="3E2241BA"/>
    <w:rsid w:val="3E412892"/>
    <w:rsid w:val="3E4D56DB"/>
    <w:rsid w:val="3E6F7B87"/>
    <w:rsid w:val="3E907376"/>
    <w:rsid w:val="3ED7645B"/>
    <w:rsid w:val="3ED86102"/>
    <w:rsid w:val="3EF913BF"/>
    <w:rsid w:val="3F007743"/>
    <w:rsid w:val="3F0B7E50"/>
    <w:rsid w:val="3F1538A4"/>
    <w:rsid w:val="3F7877A9"/>
    <w:rsid w:val="3FA550A3"/>
    <w:rsid w:val="3FE26F6C"/>
    <w:rsid w:val="3FE94F8F"/>
    <w:rsid w:val="401D4517"/>
    <w:rsid w:val="40326926"/>
    <w:rsid w:val="4046336F"/>
    <w:rsid w:val="4055509E"/>
    <w:rsid w:val="40650A63"/>
    <w:rsid w:val="406A1D8E"/>
    <w:rsid w:val="409C0597"/>
    <w:rsid w:val="409E221E"/>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A86E35"/>
    <w:rsid w:val="42C770F1"/>
    <w:rsid w:val="436A4639"/>
    <w:rsid w:val="439B3F9B"/>
    <w:rsid w:val="43B97970"/>
    <w:rsid w:val="43D33214"/>
    <w:rsid w:val="43D558A5"/>
    <w:rsid w:val="440E76BA"/>
    <w:rsid w:val="440F6F8F"/>
    <w:rsid w:val="4442271D"/>
    <w:rsid w:val="44911538"/>
    <w:rsid w:val="44A65137"/>
    <w:rsid w:val="44AF21C8"/>
    <w:rsid w:val="44E25ED9"/>
    <w:rsid w:val="45832219"/>
    <w:rsid w:val="45B80FBE"/>
    <w:rsid w:val="45C81AEB"/>
    <w:rsid w:val="45DF1F1C"/>
    <w:rsid w:val="460A43BB"/>
    <w:rsid w:val="463A4797"/>
    <w:rsid w:val="463E1CAD"/>
    <w:rsid w:val="46412B93"/>
    <w:rsid w:val="464C0B8F"/>
    <w:rsid w:val="468E6891"/>
    <w:rsid w:val="4693757A"/>
    <w:rsid w:val="46A04AA9"/>
    <w:rsid w:val="46DD15C6"/>
    <w:rsid w:val="47060B1D"/>
    <w:rsid w:val="473311E6"/>
    <w:rsid w:val="479F0DB4"/>
    <w:rsid w:val="47B0113A"/>
    <w:rsid w:val="47D30184"/>
    <w:rsid w:val="4814097E"/>
    <w:rsid w:val="48141018"/>
    <w:rsid w:val="48757D08"/>
    <w:rsid w:val="487853DA"/>
    <w:rsid w:val="48790E7B"/>
    <w:rsid w:val="48B3768C"/>
    <w:rsid w:val="49066BB2"/>
    <w:rsid w:val="49286CBB"/>
    <w:rsid w:val="49596459"/>
    <w:rsid w:val="49604537"/>
    <w:rsid w:val="498D2E30"/>
    <w:rsid w:val="49C34AA3"/>
    <w:rsid w:val="49D10E80"/>
    <w:rsid w:val="49EF4246"/>
    <w:rsid w:val="4A30453E"/>
    <w:rsid w:val="4A4A2ACF"/>
    <w:rsid w:val="4A9C1109"/>
    <w:rsid w:val="4AEE78FE"/>
    <w:rsid w:val="4B0E0E54"/>
    <w:rsid w:val="4B1B43AF"/>
    <w:rsid w:val="4BCD39B7"/>
    <w:rsid w:val="4BEB02E1"/>
    <w:rsid w:val="4BFE00D6"/>
    <w:rsid w:val="4C2D252F"/>
    <w:rsid w:val="4C40062D"/>
    <w:rsid w:val="4C6F1CFA"/>
    <w:rsid w:val="4C7C718B"/>
    <w:rsid w:val="4C950865"/>
    <w:rsid w:val="4CAC7A71"/>
    <w:rsid w:val="4CDD14DA"/>
    <w:rsid w:val="4D2A6BE7"/>
    <w:rsid w:val="4D2E492A"/>
    <w:rsid w:val="4D4203D5"/>
    <w:rsid w:val="4D48035B"/>
    <w:rsid w:val="4D4C2C93"/>
    <w:rsid w:val="4D6B3488"/>
    <w:rsid w:val="4D6E11CA"/>
    <w:rsid w:val="4D844549"/>
    <w:rsid w:val="4DF41807"/>
    <w:rsid w:val="4E1458CD"/>
    <w:rsid w:val="4E451F2B"/>
    <w:rsid w:val="4EA54FDB"/>
    <w:rsid w:val="4EAA4484"/>
    <w:rsid w:val="4EBD3AB8"/>
    <w:rsid w:val="4EC138D9"/>
    <w:rsid w:val="4EC67822"/>
    <w:rsid w:val="4F0911AA"/>
    <w:rsid w:val="4F0C47F7"/>
    <w:rsid w:val="4F2E6E63"/>
    <w:rsid w:val="4F3B332E"/>
    <w:rsid w:val="4F4E005F"/>
    <w:rsid w:val="4F6C798B"/>
    <w:rsid w:val="4F894099"/>
    <w:rsid w:val="4F8B3172"/>
    <w:rsid w:val="4FED36EF"/>
    <w:rsid w:val="4FF12BA5"/>
    <w:rsid w:val="4FF83CE5"/>
    <w:rsid w:val="50192F9D"/>
    <w:rsid w:val="509B2AE5"/>
    <w:rsid w:val="50A40D66"/>
    <w:rsid w:val="50A410CE"/>
    <w:rsid w:val="50FF5CC6"/>
    <w:rsid w:val="51055641"/>
    <w:rsid w:val="517329AF"/>
    <w:rsid w:val="5177331C"/>
    <w:rsid w:val="51977623"/>
    <w:rsid w:val="51992F95"/>
    <w:rsid w:val="51CE27D0"/>
    <w:rsid w:val="51DB4734"/>
    <w:rsid w:val="51EB2DE9"/>
    <w:rsid w:val="5240491E"/>
    <w:rsid w:val="524810E8"/>
    <w:rsid w:val="52971FC1"/>
    <w:rsid w:val="52A122EE"/>
    <w:rsid w:val="52B81B37"/>
    <w:rsid w:val="52C80068"/>
    <w:rsid w:val="52E96A4D"/>
    <w:rsid w:val="5310681A"/>
    <w:rsid w:val="53143F28"/>
    <w:rsid w:val="53551D8A"/>
    <w:rsid w:val="53567FA8"/>
    <w:rsid w:val="537A4340"/>
    <w:rsid w:val="53CF5FBF"/>
    <w:rsid w:val="53D252D2"/>
    <w:rsid w:val="53E45BE4"/>
    <w:rsid w:val="53EA75FE"/>
    <w:rsid w:val="53F57F4F"/>
    <w:rsid w:val="540D7877"/>
    <w:rsid w:val="5415414D"/>
    <w:rsid w:val="541D74A6"/>
    <w:rsid w:val="54256D18"/>
    <w:rsid w:val="54513D62"/>
    <w:rsid w:val="545A24A8"/>
    <w:rsid w:val="54777E11"/>
    <w:rsid w:val="552770F4"/>
    <w:rsid w:val="553D5D02"/>
    <w:rsid w:val="554364D7"/>
    <w:rsid w:val="55752DD3"/>
    <w:rsid w:val="557E6D65"/>
    <w:rsid w:val="559B68D4"/>
    <w:rsid w:val="55A541B8"/>
    <w:rsid w:val="567A6461"/>
    <w:rsid w:val="56935B78"/>
    <w:rsid w:val="56F049FE"/>
    <w:rsid w:val="56F206EB"/>
    <w:rsid w:val="570D5C67"/>
    <w:rsid w:val="57905DFE"/>
    <w:rsid w:val="57D07E03"/>
    <w:rsid w:val="57F31B4D"/>
    <w:rsid w:val="580E7831"/>
    <w:rsid w:val="586C44F0"/>
    <w:rsid w:val="589549C1"/>
    <w:rsid w:val="58A41F44"/>
    <w:rsid w:val="58E5406A"/>
    <w:rsid w:val="58FF18EE"/>
    <w:rsid w:val="590D1897"/>
    <w:rsid w:val="590F3861"/>
    <w:rsid w:val="59691E36"/>
    <w:rsid w:val="59796F2C"/>
    <w:rsid w:val="5988716F"/>
    <w:rsid w:val="599205A1"/>
    <w:rsid w:val="59961CEE"/>
    <w:rsid w:val="59C75EEA"/>
    <w:rsid w:val="59E7658C"/>
    <w:rsid w:val="5A0A4142"/>
    <w:rsid w:val="5A1949F4"/>
    <w:rsid w:val="5A2E5F69"/>
    <w:rsid w:val="5A382944"/>
    <w:rsid w:val="5A513A05"/>
    <w:rsid w:val="5A7D47FA"/>
    <w:rsid w:val="5A84202D"/>
    <w:rsid w:val="5A970AC8"/>
    <w:rsid w:val="5AB411F3"/>
    <w:rsid w:val="5AC32448"/>
    <w:rsid w:val="5AEA4E4D"/>
    <w:rsid w:val="5AF32C10"/>
    <w:rsid w:val="5B0311A3"/>
    <w:rsid w:val="5B3A26EB"/>
    <w:rsid w:val="5B9D1D5D"/>
    <w:rsid w:val="5BE34B31"/>
    <w:rsid w:val="5C0667B6"/>
    <w:rsid w:val="5C071976"/>
    <w:rsid w:val="5C51360F"/>
    <w:rsid w:val="5C9C18B0"/>
    <w:rsid w:val="5CFA0384"/>
    <w:rsid w:val="5D0631CD"/>
    <w:rsid w:val="5D282774"/>
    <w:rsid w:val="5D2E2574"/>
    <w:rsid w:val="5D550132"/>
    <w:rsid w:val="5D6A65F1"/>
    <w:rsid w:val="5DAB5B22"/>
    <w:rsid w:val="5DAF4ECD"/>
    <w:rsid w:val="5DB9023F"/>
    <w:rsid w:val="5DBC45AF"/>
    <w:rsid w:val="5DC276CB"/>
    <w:rsid w:val="5DC82230"/>
    <w:rsid w:val="5DD63AC6"/>
    <w:rsid w:val="5E0037FD"/>
    <w:rsid w:val="5E3C65CD"/>
    <w:rsid w:val="5E784568"/>
    <w:rsid w:val="5E7C4D34"/>
    <w:rsid w:val="5E960581"/>
    <w:rsid w:val="5FEA69EB"/>
    <w:rsid w:val="607641C6"/>
    <w:rsid w:val="609603C4"/>
    <w:rsid w:val="60A06A72"/>
    <w:rsid w:val="60AA20C1"/>
    <w:rsid w:val="60E2732E"/>
    <w:rsid w:val="60FD5EC0"/>
    <w:rsid w:val="610B7004"/>
    <w:rsid w:val="61572621"/>
    <w:rsid w:val="616878AC"/>
    <w:rsid w:val="616D0E78"/>
    <w:rsid w:val="616E494E"/>
    <w:rsid w:val="61736957"/>
    <w:rsid w:val="61FC5F0C"/>
    <w:rsid w:val="62314848"/>
    <w:rsid w:val="623F2914"/>
    <w:rsid w:val="62851A7B"/>
    <w:rsid w:val="62BC7E8A"/>
    <w:rsid w:val="63161C90"/>
    <w:rsid w:val="63247F09"/>
    <w:rsid w:val="636155AC"/>
    <w:rsid w:val="637E751D"/>
    <w:rsid w:val="638C00E4"/>
    <w:rsid w:val="638C3D00"/>
    <w:rsid w:val="63A31776"/>
    <w:rsid w:val="642145AD"/>
    <w:rsid w:val="64354398"/>
    <w:rsid w:val="64730B57"/>
    <w:rsid w:val="64A77A42"/>
    <w:rsid w:val="64D57D88"/>
    <w:rsid w:val="64D709C5"/>
    <w:rsid w:val="65036133"/>
    <w:rsid w:val="65362BDA"/>
    <w:rsid w:val="65AC068A"/>
    <w:rsid w:val="65EB11B2"/>
    <w:rsid w:val="669015B7"/>
    <w:rsid w:val="66A17AC3"/>
    <w:rsid w:val="66C043ED"/>
    <w:rsid w:val="66D772C4"/>
    <w:rsid w:val="66EE7979"/>
    <w:rsid w:val="66EF5AF8"/>
    <w:rsid w:val="670C7632"/>
    <w:rsid w:val="674A094A"/>
    <w:rsid w:val="6770036D"/>
    <w:rsid w:val="67B00EEE"/>
    <w:rsid w:val="67DB0DB2"/>
    <w:rsid w:val="67ED71FD"/>
    <w:rsid w:val="67FC76A6"/>
    <w:rsid w:val="68452AA3"/>
    <w:rsid w:val="68543E5E"/>
    <w:rsid w:val="685E5C6B"/>
    <w:rsid w:val="68703BF0"/>
    <w:rsid w:val="68826ACC"/>
    <w:rsid w:val="68863414"/>
    <w:rsid w:val="68D53CDB"/>
    <w:rsid w:val="691358AB"/>
    <w:rsid w:val="691737EF"/>
    <w:rsid w:val="69554A42"/>
    <w:rsid w:val="69643755"/>
    <w:rsid w:val="697D0373"/>
    <w:rsid w:val="69894F6A"/>
    <w:rsid w:val="698A0CE2"/>
    <w:rsid w:val="6994390F"/>
    <w:rsid w:val="699509B7"/>
    <w:rsid w:val="69FA7382"/>
    <w:rsid w:val="6A0F1D94"/>
    <w:rsid w:val="6A1C2F60"/>
    <w:rsid w:val="6A2912F9"/>
    <w:rsid w:val="6A527A52"/>
    <w:rsid w:val="6A5A06B4"/>
    <w:rsid w:val="6A752A5B"/>
    <w:rsid w:val="6AEA7C8A"/>
    <w:rsid w:val="6B0F628A"/>
    <w:rsid w:val="6B1E137F"/>
    <w:rsid w:val="6B2C262A"/>
    <w:rsid w:val="6B4B0599"/>
    <w:rsid w:val="6B6D2669"/>
    <w:rsid w:val="6B6E5468"/>
    <w:rsid w:val="6B9320D0"/>
    <w:rsid w:val="6BD61FBC"/>
    <w:rsid w:val="6BE95765"/>
    <w:rsid w:val="6C475B83"/>
    <w:rsid w:val="6C4F3315"/>
    <w:rsid w:val="6C6E7319"/>
    <w:rsid w:val="6C8934D3"/>
    <w:rsid w:val="6C8D3B4B"/>
    <w:rsid w:val="6CCF6157"/>
    <w:rsid w:val="6D21370B"/>
    <w:rsid w:val="6D255D0D"/>
    <w:rsid w:val="6D2B6338"/>
    <w:rsid w:val="6D5B4E17"/>
    <w:rsid w:val="6D8A6691"/>
    <w:rsid w:val="6D951295"/>
    <w:rsid w:val="6DC62913"/>
    <w:rsid w:val="6DE81093"/>
    <w:rsid w:val="6E1B45FE"/>
    <w:rsid w:val="6E296DAE"/>
    <w:rsid w:val="6E6054CF"/>
    <w:rsid w:val="6EBF7433"/>
    <w:rsid w:val="6EDF7C07"/>
    <w:rsid w:val="6EE7296D"/>
    <w:rsid w:val="6F0D111A"/>
    <w:rsid w:val="6F1C418A"/>
    <w:rsid w:val="6F276F30"/>
    <w:rsid w:val="6F55769C"/>
    <w:rsid w:val="6F5C3995"/>
    <w:rsid w:val="6FB10D76"/>
    <w:rsid w:val="6FBE2F8F"/>
    <w:rsid w:val="6FC7059A"/>
    <w:rsid w:val="6FE23C3A"/>
    <w:rsid w:val="6FF13869"/>
    <w:rsid w:val="6FFD3FBC"/>
    <w:rsid w:val="70B64CD9"/>
    <w:rsid w:val="70CE1F7A"/>
    <w:rsid w:val="70DE6FFB"/>
    <w:rsid w:val="70EB650A"/>
    <w:rsid w:val="70F57389"/>
    <w:rsid w:val="71161F56"/>
    <w:rsid w:val="71333A0D"/>
    <w:rsid w:val="71514C45"/>
    <w:rsid w:val="715F2A54"/>
    <w:rsid w:val="716D79D2"/>
    <w:rsid w:val="71750972"/>
    <w:rsid w:val="7185561A"/>
    <w:rsid w:val="71A548A6"/>
    <w:rsid w:val="71F820D6"/>
    <w:rsid w:val="724C4250"/>
    <w:rsid w:val="72A36E41"/>
    <w:rsid w:val="72B1518D"/>
    <w:rsid w:val="72DB610A"/>
    <w:rsid w:val="72FD2525"/>
    <w:rsid w:val="72FE14BF"/>
    <w:rsid w:val="731A007D"/>
    <w:rsid w:val="733446AD"/>
    <w:rsid w:val="73497518"/>
    <w:rsid w:val="7363682B"/>
    <w:rsid w:val="738467A2"/>
    <w:rsid w:val="73C92407"/>
    <w:rsid w:val="74230FF4"/>
    <w:rsid w:val="744A3547"/>
    <w:rsid w:val="74506A0E"/>
    <w:rsid w:val="74510C07"/>
    <w:rsid w:val="747B454C"/>
    <w:rsid w:val="749A6E45"/>
    <w:rsid w:val="74B46920"/>
    <w:rsid w:val="74DD3870"/>
    <w:rsid w:val="74DE5DD9"/>
    <w:rsid w:val="74EE4F33"/>
    <w:rsid w:val="750E0A19"/>
    <w:rsid w:val="751F6782"/>
    <w:rsid w:val="754B3A1B"/>
    <w:rsid w:val="7582336F"/>
    <w:rsid w:val="75AE24B8"/>
    <w:rsid w:val="75D302FB"/>
    <w:rsid w:val="75D7705D"/>
    <w:rsid w:val="75E55F4D"/>
    <w:rsid w:val="75F53987"/>
    <w:rsid w:val="764304AB"/>
    <w:rsid w:val="766A4BBD"/>
    <w:rsid w:val="766E79D6"/>
    <w:rsid w:val="7671125F"/>
    <w:rsid w:val="768076F4"/>
    <w:rsid w:val="769136B0"/>
    <w:rsid w:val="76AB57A0"/>
    <w:rsid w:val="76BB697E"/>
    <w:rsid w:val="7763329E"/>
    <w:rsid w:val="778356EE"/>
    <w:rsid w:val="778B071D"/>
    <w:rsid w:val="77985FBE"/>
    <w:rsid w:val="77C677ED"/>
    <w:rsid w:val="77C74EAF"/>
    <w:rsid w:val="77D73344"/>
    <w:rsid w:val="77F710EB"/>
    <w:rsid w:val="782102D7"/>
    <w:rsid w:val="78280044"/>
    <w:rsid w:val="7848178C"/>
    <w:rsid w:val="78C6353E"/>
    <w:rsid w:val="78CD7367"/>
    <w:rsid w:val="791349A0"/>
    <w:rsid w:val="796230E1"/>
    <w:rsid w:val="79697E19"/>
    <w:rsid w:val="79825532"/>
    <w:rsid w:val="79894B12"/>
    <w:rsid w:val="798A4233"/>
    <w:rsid w:val="79B25E17"/>
    <w:rsid w:val="79C432CC"/>
    <w:rsid w:val="79EB30D7"/>
    <w:rsid w:val="7A120583"/>
    <w:rsid w:val="7A131A5F"/>
    <w:rsid w:val="7A392094"/>
    <w:rsid w:val="7A7E219D"/>
    <w:rsid w:val="7ACB4CB6"/>
    <w:rsid w:val="7B2811A6"/>
    <w:rsid w:val="7B3F373C"/>
    <w:rsid w:val="7BB960BD"/>
    <w:rsid w:val="7BBC11CF"/>
    <w:rsid w:val="7BC736D0"/>
    <w:rsid w:val="7BD5403F"/>
    <w:rsid w:val="7BF81ADB"/>
    <w:rsid w:val="7BFA13DE"/>
    <w:rsid w:val="7C1C6A9B"/>
    <w:rsid w:val="7C3E7E36"/>
    <w:rsid w:val="7C552E24"/>
    <w:rsid w:val="7C6F0276"/>
    <w:rsid w:val="7C717CE9"/>
    <w:rsid w:val="7C947A56"/>
    <w:rsid w:val="7D1E37C3"/>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835FD4"/>
    <w:rsid w:val="7EEA1EA3"/>
    <w:rsid w:val="7EEC1DCB"/>
    <w:rsid w:val="7F364DF4"/>
    <w:rsid w:val="7F7B4EFD"/>
    <w:rsid w:val="7F8A3392"/>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4"/>
    <w:unhideWhenUsed/>
    <w:qFormat/>
    <w:uiPriority w:val="9"/>
    <w:pPr>
      <w:outlineLvl w:val="2"/>
    </w:p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68">
    <w:name w:val="Comments"/>
    <w:basedOn w:val="1"/>
    <w:qFormat/>
    <w:uiPriority w:val="0"/>
    <w:rPr>
      <w:i/>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957</Words>
  <Characters>5229</Characters>
  <Lines>21</Lines>
  <Paragraphs>6</Paragraphs>
  <TotalTime>0</TotalTime>
  <ScaleCrop>false</ScaleCrop>
  <LinksUpToDate>false</LinksUpToDate>
  <CharactersWithSpaces>6145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2025-02-07T07:46:34Z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2052-12.1.0.19770</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