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3D5471" w14:textId="77777777" w:rsidR="006657FE" w:rsidRDefault="006657FE" w:rsidP="006657FE">
      <w:pPr>
        <w:spacing w:after="120"/>
        <w:ind w:left="1985" w:hanging="1985"/>
        <w:rPr>
          <w:rFonts w:ascii="Arial" w:hAnsi="Arial" w:cs="Arial"/>
          <w:b/>
        </w:rPr>
      </w:pPr>
      <w:bookmarkStart w:id="0" w:name="_Toc491868096"/>
    </w:p>
    <w:p w14:paraId="6EA7A6D9" w14:textId="3AC0D600" w:rsidR="000F6C81" w:rsidRPr="00D3617D" w:rsidRDefault="000F6C81" w:rsidP="000F6C81">
      <w:pPr>
        <w:tabs>
          <w:tab w:val="center" w:pos="4153"/>
          <w:tab w:val="right" w:pos="9923"/>
        </w:tabs>
        <w:spacing w:after="60"/>
        <w:jc w:val="both"/>
        <w:rPr>
          <w:rFonts w:asciiTheme="minorHAnsi" w:eastAsia="Malgun Gothic" w:hAnsiTheme="minorHAnsi" w:cstheme="minorHAnsi"/>
          <w:b/>
          <w:bCs/>
          <w:sz w:val="28"/>
          <w:lang w:eastAsia="ko-KR"/>
        </w:rPr>
      </w:pPr>
      <w:bookmarkStart w:id="1" w:name="_Hlk78814543"/>
      <w:r w:rsidRPr="00D3617D">
        <w:rPr>
          <w:rFonts w:asciiTheme="minorHAnsi" w:eastAsia="Malgun Gothic" w:hAnsiTheme="minorHAnsi" w:cstheme="minorHAnsi"/>
          <w:b/>
          <w:bCs/>
          <w:sz w:val="28"/>
        </w:rPr>
        <w:t>3GPP TSG RAN WG4 Meeting #114</w:t>
      </w:r>
      <w:r w:rsidRPr="00D3617D">
        <w:rPr>
          <w:rFonts w:asciiTheme="minorHAnsi" w:eastAsia="Malgun Gothic" w:hAnsiTheme="minorHAnsi" w:cstheme="minorHAnsi"/>
          <w:b/>
          <w:bCs/>
          <w:sz w:val="28"/>
        </w:rPr>
        <w:tab/>
        <w:t>R4-2500510</w:t>
      </w:r>
    </w:p>
    <w:p w14:paraId="30B8BBA8" w14:textId="77777777" w:rsidR="000F6C81" w:rsidRPr="00D3617D" w:rsidRDefault="000F6C81" w:rsidP="000F6C81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spacing w:after="60"/>
        <w:rPr>
          <w:rFonts w:asciiTheme="minorHAnsi" w:eastAsia="Malgun Gothic" w:hAnsiTheme="minorHAnsi" w:cstheme="minorHAnsi"/>
          <w:b/>
          <w:bCs/>
          <w:sz w:val="28"/>
          <w:lang w:eastAsia="ko-KR"/>
        </w:rPr>
      </w:pPr>
      <w:r w:rsidRPr="00D3617D">
        <w:rPr>
          <w:rFonts w:asciiTheme="minorHAnsi" w:eastAsia="Malgun Gothic" w:hAnsiTheme="minorHAnsi" w:cstheme="minorHAnsi"/>
          <w:b/>
          <w:bCs/>
          <w:sz w:val="28"/>
          <w:lang w:eastAsia="ko-KR"/>
        </w:rPr>
        <w:t>Athens, Greece, 17</w:t>
      </w:r>
      <w:r w:rsidRPr="00D3617D">
        <w:rPr>
          <w:rFonts w:asciiTheme="minorHAnsi" w:eastAsia="Malgun Gothic" w:hAnsiTheme="minorHAnsi" w:cstheme="minorHAnsi"/>
          <w:b/>
          <w:bCs/>
          <w:sz w:val="28"/>
          <w:vertAlign w:val="superscript"/>
          <w:lang w:eastAsia="ko-KR"/>
        </w:rPr>
        <w:t xml:space="preserve">th </w:t>
      </w:r>
      <w:r w:rsidRPr="00D3617D">
        <w:rPr>
          <w:rFonts w:asciiTheme="minorHAnsi" w:eastAsia="Malgun Gothic" w:hAnsiTheme="minorHAnsi" w:cstheme="minorHAnsi"/>
          <w:b/>
          <w:bCs/>
          <w:sz w:val="28"/>
          <w:lang w:eastAsia="ko-KR"/>
        </w:rPr>
        <w:t>– 21</w:t>
      </w:r>
      <w:r w:rsidRPr="00D3617D">
        <w:rPr>
          <w:rFonts w:asciiTheme="minorHAnsi" w:eastAsia="Malgun Gothic" w:hAnsiTheme="minorHAnsi" w:cstheme="minorHAnsi"/>
          <w:b/>
          <w:bCs/>
          <w:sz w:val="28"/>
          <w:vertAlign w:val="superscript"/>
          <w:lang w:eastAsia="ko-KR"/>
        </w:rPr>
        <w:t>st</w:t>
      </w:r>
      <w:r w:rsidRPr="00D3617D">
        <w:rPr>
          <w:rFonts w:asciiTheme="minorHAnsi" w:eastAsia="Malgun Gothic" w:hAnsiTheme="minorHAnsi" w:cstheme="minorHAnsi"/>
          <w:b/>
          <w:bCs/>
          <w:sz w:val="28"/>
          <w:lang w:eastAsia="ko-KR"/>
        </w:rPr>
        <w:t xml:space="preserve"> February 2025</w:t>
      </w:r>
    </w:p>
    <w:bookmarkEnd w:id="1"/>
    <w:p w14:paraId="50DD52E2" w14:textId="58D6B5E8" w:rsidR="006657FE" w:rsidRPr="00CD5405" w:rsidRDefault="006657FE" w:rsidP="006657FE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Rohde</w:t>
      </w:r>
      <w:r w:rsidR="005905B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&amp;</w:t>
      </w:r>
      <w:r w:rsidR="005905B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Schwarz</w:t>
      </w:r>
    </w:p>
    <w:p w14:paraId="55C18E27" w14:textId="2CABABEA" w:rsidR="006657FE" w:rsidRDefault="006657FE" w:rsidP="006657FE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Inclusion of Plane Wave Synthesi</w:t>
      </w:r>
      <w:r w:rsidR="00C0764E">
        <w:rPr>
          <w:rFonts w:ascii="Arial" w:hAnsi="Arial" w:cs="Arial"/>
        </w:rPr>
        <w:t xml:space="preserve">zer </w:t>
      </w:r>
      <w:r>
        <w:rPr>
          <w:rFonts w:ascii="Arial" w:hAnsi="Arial" w:cs="Arial"/>
        </w:rPr>
        <w:t xml:space="preserve">(PWS) method for </w:t>
      </w:r>
      <w:r w:rsidR="00C0764E">
        <w:rPr>
          <w:rFonts w:ascii="Arial" w:hAnsi="Arial" w:cs="Arial"/>
        </w:rPr>
        <w:t>Expected EIRP test procedures</w:t>
      </w:r>
    </w:p>
    <w:p w14:paraId="7D775724" w14:textId="50E73653" w:rsidR="006657FE" w:rsidRPr="00070795" w:rsidRDefault="006657FE" w:rsidP="006657FE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232680">
        <w:rPr>
          <w:rFonts w:ascii="Arial" w:hAnsi="Arial" w:cs="Arial"/>
          <w:bCs/>
          <w:lang w:val="en-US"/>
        </w:rPr>
        <w:t>7.13.2</w:t>
      </w:r>
    </w:p>
    <w:p w14:paraId="6656EC46" w14:textId="77777777" w:rsidR="006657FE" w:rsidRDefault="006657FE" w:rsidP="006657FE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</w:rPr>
        <w:t>Discussion</w:t>
      </w:r>
    </w:p>
    <w:p w14:paraId="2FB31E5C" w14:textId="77777777" w:rsidR="006657FE" w:rsidRDefault="006657FE" w:rsidP="006657FE">
      <w:pPr>
        <w:pBdr>
          <w:bottom w:val="single" w:sz="4" w:space="1" w:color="auto"/>
        </w:pBdr>
        <w:rPr>
          <w:rFonts w:ascii="Arial" w:hAnsi="Arial" w:cs="Arial"/>
        </w:rPr>
      </w:pPr>
    </w:p>
    <w:p w14:paraId="05A07C9A" w14:textId="5D27F157" w:rsidR="006657FE" w:rsidRPr="005905B1" w:rsidRDefault="006657FE" w:rsidP="006657FE">
      <w:pPr>
        <w:pStyle w:val="Heading1"/>
        <w:keepLines w:val="0"/>
        <w:numPr>
          <w:ilvl w:val="0"/>
          <w:numId w:val="35"/>
        </w:numPr>
        <w:spacing w:before="0"/>
        <w:ind w:left="425" w:right="284" w:hanging="720"/>
        <w:rPr>
          <w:color w:val="auto"/>
        </w:rPr>
      </w:pPr>
      <w:r w:rsidRPr="005905B1">
        <w:rPr>
          <w:color w:val="auto"/>
        </w:rPr>
        <w:t>Introduction</w:t>
      </w:r>
    </w:p>
    <w:p w14:paraId="062AD439" w14:textId="3B09733F" w:rsidR="006657FE" w:rsidRPr="007D610C" w:rsidRDefault="006657FE" w:rsidP="0003018D">
      <w:pPr>
        <w:pStyle w:val="BodyText"/>
        <w:ind w:firstLine="425"/>
      </w:pPr>
      <w:r>
        <w:t>At the last RAN4 meeting (RAN4#113 in Orlando) it was suggested that a technical paper be brought up to discuss</w:t>
      </w:r>
      <w:r w:rsidR="00232680">
        <w:t xml:space="preserve"> and approve</w:t>
      </w:r>
      <w:r>
        <w:t xml:space="preserve"> the inclusion of PWS into the 38.908 specification</w:t>
      </w:r>
      <w:r w:rsidR="00B46231">
        <w:t xml:space="preserve"> and related documents</w:t>
      </w:r>
      <w:r>
        <w:t>.</w:t>
      </w:r>
      <w:r w:rsidR="0003018D">
        <w:t xml:space="preserve"> </w:t>
      </w:r>
      <w:r>
        <w:t xml:space="preserve">This document aims to support the reasons </w:t>
      </w:r>
      <w:r w:rsidR="00B46231">
        <w:t>why PWS should be considered</w:t>
      </w:r>
      <w:r>
        <w:t>.</w:t>
      </w:r>
    </w:p>
    <w:p w14:paraId="341C3838" w14:textId="77777777" w:rsidR="006657FE" w:rsidRDefault="006657FE" w:rsidP="006657FE">
      <w:pPr>
        <w:pBdr>
          <w:bottom w:val="single" w:sz="4" w:space="1" w:color="auto"/>
        </w:pBdr>
        <w:rPr>
          <w:rFonts w:ascii="Arial" w:hAnsi="Arial" w:cs="Arial"/>
        </w:rPr>
      </w:pPr>
    </w:p>
    <w:p w14:paraId="39A587F2" w14:textId="77777777" w:rsidR="006657FE" w:rsidRPr="005905B1" w:rsidRDefault="006657FE" w:rsidP="006657FE">
      <w:pPr>
        <w:pStyle w:val="Heading1"/>
        <w:keepLines w:val="0"/>
        <w:numPr>
          <w:ilvl w:val="0"/>
          <w:numId w:val="35"/>
        </w:numPr>
        <w:spacing w:before="0"/>
        <w:ind w:left="425" w:right="284" w:hanging="720"/>
        <w:rPr>
          <w:color w:val="auto"/>
        </w:rPr>
      </w:pPr>
      <w:r w:rsidRPr="005905B1">
        <w:rPr>
          <w:color w:val="auto"/>
        </w:rPr>
        <w:t>Discussion</w:t>
      </w:r>
    </w:p>
    <w:p w14:paraId="223E4DAD" w14:textId="42A01961" w:rsidR="00FF623D" w:rsidRDefault="00232680" w:rsidP="00D3617D">
      <w:pPr>
        <w:ind w:firstLine="425"/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PWS is a</w:t>
      </w:r>
      <w:r w:rsidR="000D4F4B" w:rsidRPr="00FF623D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 3GPP </w:t>
      </w: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approved </w:t>
      </w:r>
      <w:r w:rsidR="000D4F4B" w:rsidRPr="00FF623D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OTA </w:t>
      </w:r>
      <w:r w:rsidR="00436436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m</w:t>
      </w: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easurement </w:t>
      </w:r>
      <w:r w:rsidR="00436436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s</w:t>
      </w: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ystem</w:t>
      </w:r>
      <w:r w:rsidR="00436436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. It i</w:t>
      </w:r>
      <w:r w:rsidR="00FF623D" w:rsidRPr="00FF623D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s described as an extension of a CATR measurement method where the </w:t>
      </w:r>
      <w:r w:rsidR="00436436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CATR </w:t>
      </w:r>
      <w:r w:rsidR="00FF623D" w:rsidRPr="00FF623D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reflector is replaced by an antenna array, or </w:t>
      </w:r>
      <w:r w:rsidR="00436436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a </w:t>
      </w:r>
      <w:r w:rsidR="00FF623D" w:rsidRPr="00FF623D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Plane Wave Synthesizer (PWS)</w:t>
      </w:r>
      <w:r w:rsidR="00436436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. This PWS </w:t>
      </w:r>
      <w:r w:rsidR="00B8046D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can approximate</w:t>
      </w:r>
      <w:r w:rsidR="00FF623D" w:rsidRPr="00FF623D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 a plane wave within a specified quiet zone in front of the antenna in a similar manner as the reflector in a CATR system.</w:t>
      </w:r>
    </w:p>
    <w:p w14:paraId="2BB9E61E" w14:textId="631A9640" w:rsidR="006657FE" w:rsidRDefault="00FF623D" w:rsidP="00D3617D">
      <w:pPr>
        <w:pStyle w:val="BodyText"/>
        <w:ind w:firstLine="425"/>
      </w:pPr>
      <w:r w:rsidRPr="00E11EA5">
        <w:t>The principle of the Plane Wave Synthesizer</w:t>
      </w:r>
      <w:r w:rsidR="00232680">
        <w:t xml:space="preserve"> for Tx requirements</w:t>
      </w:r>
      <w:r w:rsidRPr="00E11EA5">
        <w:t xml:space="preserve"> is shown in figure </w:t>
      </w:r>
      <w:r>
        <w:t>below</w:t>
      </w:r>
    </w:p>
    <w:p w14:paraId="298C6F57" w14:textId="228395A1" w:rsidR="00FF623D" w:rsidRPr="00E11EA5" w:rsidRDefault="00232680" w:rsidP="000954C0">
      <w:pPr>
        <w:pStyle w:val="TH"/>
        <w:jc w:val="left"/>
        <w:rPr>
          <w:lang w:eastAsia="zh-CN"/>
        </w:rPr>
      </w:pPr>
      <w:r w:rsidRPr="00C57672">
        <w:rPr>
          <w:noProof/>
          <w:lang w:val="en-US" w:eastAsia="zh-CN"/>
        </w:rPr>
        <w:drawing>
          <wp:inline distT="0" distB="0" distL="0" distR="0" wp14:anchorId="7655F2C3" wp14:editId="656B3C5E">
            <wp:extent cx="6158268" cy="2755014"/>
            <wp:effectExtent l="114300" t="95250" r="0" b="102870"/>
            <wp:docPr id="7008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467" cy="2771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B982956" w14:textId="5C5C0D1C" w:rsidR="00FF623D" w:rsidRPr="00E11EA5" w:rsidRDefault="00FF623D" w:rsidP="00FF623D">
      <w:pPr>
        <w:pStyle w:val="TF"/>
      </w:pPr>
      <w:r w:rsidRPr="00E11EA5">
        <w:t>PWS</w:t>
      </w:r>
      <w:r>
        <w:t xml:space="preserve"> measurement setup, Tx requirements</w:t>
      </w:r>
    </w:p>
    <w:p w14:paraId="090CAFDF" w14:textId="77777777" w:rsidR="00B46231" w:rsidRDefault="00436436" w:rsidP="00D3617D">
      <w:pPr>
        <w:ind w:firstLine="425"/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By adjusting and </w:t>
      </w:r>
      <w:r w:rsidRPr="00436436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setting the phase and amplitude of the array signals, a quiet zone containing planar waves as a linear superposition of the array elements' spherical radiation waves can be created within the near field of the array.</w:t>
      </w:r>
      <w:r w:rsidR="00B8046D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 </w:t>
      </w:r>
    </w:p>
    <w:p w14:paraId="5EAFE2AB" w14:textId="5DF7DE01" w:rsidR="00436436" w:rsidRDefault="00436436" w:rsidP="00D3617D">
      <w:pPr>
        <w:ind w:firstLine="425"/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  <w:r w:rsidRPr="00436436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lastRenderedPageBreak/>
        <w:t xml:space="preserve">The PWS can </w:t>
      </w: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hence </w:t>
      </w:r>
      <w:r w:rsidRPr="00436436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achieve far-field testing conditions in a Quiet Zone (QZ)</w:t>
      </w: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,</w:t>
      </w:r>
      <w:r w:rsidRPr="00436436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 </w:t>
      </w: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just </w:t>
      </w:r>
      <w:r w:rsidRPr="00436436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as in the case of CATRs</w:t>
      </w: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. Thereby it </w:t>
      </w:r>
      <w:r w:rsidRPr="00436436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enables direct measurements of far-field BS performance in a controlled indoor environment as an alternative to CATR.</w:t>
      </w:r>
    </w:p>
    <w:p w14:paraId="643BD22D" w14:textId="4C88CB05" w:rsidR="00B8046D" w:rsidRPr="00B8046D" w:rsidRDefault="00B8046D" w:rsidP="00B8046D">
      <w:pPr>
        <w:pStyle w:val="BodyText"/>
        <w:rPr>
          <w:b/>
          <w:bCs/>
          <w:lang w:val="en-GB"/>
        </w:rPr>
      </w:pPr>
      <w:r w:rsidRPr="00781A3A">
        <w:rPr>
          <w:b/>
          <w:bCs/>
          <w:lang w:val="en-GB"/>
        </w:rPr>
        <w:t>Observation 1:</w:t>
      </w:r>
      <w:r w:rsidRPr="00B8046D">
        <w:rPr>
          <w:b/>
          <w:bCs/>
          <w:lang w:val="en-GB"/>
        </w:rPr>
        <w:t xml:space="preserve"> PWS based </w:t>
      </w:r>
      <w:r>
        <w:rPr>
          <w:b/>
          <w:bCs/>
          <w:lang w:val="en-GB"/>
        </w:rPr>
        <w:t>system</w:t>
      </w:r>
      <w:r w:rsidRPr="00B8046D">
        <w:rPr>
          <w:b/>
          <w:bCs/>
          <w:lang w:val="en-GB"/>
        </w:rPr>
        <w:t xml:space="preserve"> </w:t>
      </w:r>
      <w:r w:rsidR="000954C0">
        <w:rPr>
          <w:b/>
          <w:bCs/>
          <w:lang w:val="en-GB"/>
        </w:rPr>
        <w:t xml:space="preserve">is 3GPP approved and </w:t>
      </w:r>
      <w:r>
        <w:rPr>
          <w:b/>
          <w:bCs/>
          <w:lang w:val="en-GB"/>
        </w:rPr>
        <w:t>can achieve far-field test conditions with a small measurement distance.</w:t>
      </w:r>
    </w:p>
    <w:p w14:paraId="490333FA" w14:textId="229C34DD" w:rsidR="00FF623D" w:rsidRDefault="008A5CAC" w:rsidP="00D3617D">
      <w:pPr>
        <w:pStyle w:val="BodyText"/>
        <w:ind w:firstLine="425"/>
        <w:rPr>
          <w:lang w:val="en-GB"/>
        </w:rPr>
      </w:pPr>
      <w:r>
        <w:rPr>
          <w:lang w:val="en-GB"/>
        </w:rPr>
        <w:t xml:space="preserve">From our </w:t>
      </w:r>
      <w:r w:rsidR="00436436">
        <w:rPr>
          <w:lang w:val="en-GB"/>
        </w:rPr>
        <w:t>real</w:t>
      </w:r>
      <w:r w:rsidR="00B8046D">
        <w:rPr>
          <w:lang w:val="en-GB"/>
        </w:rPr>
        <w:t>-</w:t>
      </w:r>
      <w:r w:rsidR="00436436">
        <w:rPr>
          <w:lang w:val="en-GB"/>
        </w:rPr>
        <w:t xml:space="preserve">world </w:t>
      </w:r>
      <w:r>
        <w:rPr>
          <w:lang w:val="en-GB"/>
        </w:rPr>
        <w:t>experiments in mid FR1 bands, we see th</w:t>
      </w:r>
      <w:r w:rsidR="00B46231">
        <w:rPr>
          <w:lang w:val="en-GB"/>
        </w:rPr>
        <w:t>at th</w:t>
      </w:r>
      <w:r>
        <w:rPr>
          <w:lang w:val="en-GB"/>
        </w:rPr>
        <w:t>e PWS concept provide</w:t>
      </w:r>
      <w:r w:rsidR="00B46231">
        <w:rPr>
          <w:lang w:val="en-GB"/>
        </w:rPr>
        <w:t>s</w:t>
      </w:r>
      <w:r>
        <w:rPr>
          <w:lang w:val="en-GB"/>
        </w:rPr>
        <w:t xml:space="preserve"> quite accurate measurements </w:t>
      </w:r>
      <w:r w:rsidR="00B46231">
        <w:rPr>
          <w:lang w:val="en-GB"/>
        </w:rPr>
        <w:t>when</w:t>
      </w:r>
      <w:r>
        <w:rPr>
          <w:lang w:val="en-GB"/>
        </w:rPr>
        <w:t xml:space="preserve"> compared to </w:t>
      </w:r>
      <w:r w:rsidR="00436436">
        <w:rPr>
          <w:lang w:val="en-GB"/>
        </w:rPr>
        <w:t>commercial</w:t>
      </w:r>
      <w:r>
        <w:rPr>
          <w:lang w:val="en-GB"/>
        </w:rPr>
        <w:t xml:space="preserve"> chambers. We </w:t>
      </w:r>
      <w:r w:rsidR="00B46231">
        <w:rPr>
          <w:lang w:val="en-GB"/>
        </w:rPr>
        <w:t>thoughtfull</w:t>
      </w:r>
      <w:r w:rsidR="00436436">
        <w:rPr>
          <w:lang w:val="en-GB"/>
        </w:rPr>
        <w:t>ly foresee that</w:t>
      </w:r>
      <w:r>
        <w:rPr>
          <w:lang w:val="en-GB"/>
        </w:rPr>
        <w:t xml:space="preserve"> the same should hold good for higher FR1 bands </w:t>
      </w:r>
      <w:r w:rsidR="004C2F61">
        <w:rPr>
          <w:lang w:val="en-GB"/>
        </w:rPr>
        <w:t>(including n104)</w:t>
      </w:r>
      <w:r w:rsidR="00436436">
        <w:rPr>
          <w:lang w:val="en-GB"/>
        </w:rPr>
        <w:t>.</w:t>
      </w:r>
    </w:p>
    <w:p w14:paraId="333D074A" w14:textId="474D6BC3" w:rsidR="00436436" w:rsidRDefault="00436436" w:rsidP="00436436">
      <w:pPr>
        <w:pStyle w:val="BodyText"/>
        <w:jc w:val="center"/>
        <w:rPr>
          <w:lang w:val="en-GB"/>
        </w:rPr>
      </w:pPr>
      <w:r w:rsidRPr="008A5CAC">
        <w:rPr>
          <w:noProof/>
          <w:lang w:val="en-GB"/>
        </w:rPr>
        <w:drawing>
          <wp:inline distT="0" distB="0" distL="0" distR="0" wp14:anchorId="002BF56E" wp14:editId="4C6A6136">
            <wp:extent cx="2804899" cy="2421072"/>
            <wp:effectExtent l="95250" t="95250" r="71755" b="93980"/>
            <wp:docPr id="13105414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54148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18441" cy="2432761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CD9A4CC" w14:textId="3DDAF7ED" w:rsidR="000954C0" w:rsidRDefault="000954C0" w:rsidP="000954C0">
      <w:pPr>
        <w:pStyle w:val="BodyText"/>
        <w:ind w:firstLine="425"/>
        <w:rPr>
          <w:lang w:val="en-GB"/>
        </w:rPr>
      </w:pPr>
      <w:r>
        <w:rPr>
          <w:lang w:val="en-GB"/>
        </w:rPr>
        <w:t xml:space="preserve">In the above experiment, a </w:t>
      </w:r>
      <w:r w:rsidRPr="000954C0">
        <w:rPr>
          <w:lang w:val="en-GB"/>
        </w:rPr>
        <w:t>high-gain passive antenna array with dimensions of 60 cm × 60 cm was measured in a certified antenna chamber to provide far-field results</w:t>
      </w:r>
      <w:r w:rsidR="00B46231">
        <w:rPr>
          <w:lang w:val="en-GB"/>
        </w:rPr>
        <w:t>(pink line)</w:t>
      </w:r>
      <w:r w:rsidRPr="000954C0">
        <w:rPr>
          <w:lang w:val="en-GB"/>
        </w:rPr>
        <w:t>. The DUT dimen</w:t>
      </w:r>
      <w:r w:rsidRPr="000954C0">
        <w:rPr>
          <w:lang w:val="en-GB"/>
        </w:rPr>
        <w:softHyphen/>
        <w:t>sions correspond to a far-field distance of around 12 m at 2.4 GHz</w:t>
      </w:r>
      <w:r>
        <w:rPr>
          <w:lang w:val="en-GB"/>
        </w:rPr>
        <w:t xml:space="preserve">. </w:t>
      </w:r>
      <w:r w:rsidRPr="000954C0">
        <w:rPr>
          <w:lang w:val="en-GB"/>
        </w:rPr>
        <w:t xml:space="preserve">The verification of the antenna gain with </w:t>
      </w:r>
      <w:r w:rsidR="00B46231">
        <w:rPr>
          <w:lang w:val="en-GB"/>
        </w:rPr>
        <w:t xml:space="preserve">a PWS </w:t>
      </w:r>
      <w:r w:rsidRPr="000954C0">
        <w:rPr>
          <w:lang w:val="en-GB"/>
        </w:rPr>
        <w:t>was performed in the DUT's radiated near field at a distance of 1.5 m</w:t>
      </w:r>
      <w:r w:rsidR="00B46231">
        <w:rPr>
          <w:lang w:val="en-GB"/>
        </w:rPr>
        <w:t>(blue line)</w:t>
      </w:r>
      <w:r w:rsidRPr="000954C0">
        <w:rPr>
          <w:lang w:val="en-GB"/>
        </w:rPr>
        <w:t>. The realized gain, sidelobe level and location of nulls show excellent agreement.</w:t>
      </w:r>
      <w:r w:rsidR="00B46231">
        <w:rPr>
          <w:lang w:val="en-GB"/>
        </w:rPr>
        <w:t xml:space="preserve"> On the contrary when a single antenna is used instead of the PWS, the results are not as good</w:t>
      </w:r>
      <w:r w:rsidR="00B46231">
        <w:rPr>
          <w:lang w:val="en-GB"/>
        </w:rPr>
        <w:t>(black line)</w:t>
      </w:r>
      <w:r w:rsidR="00B46231">
        <w:rPr>
          <w:lang w:val="en-GB"/>
        </w:rPr>
        <w:t xml:space="preserve">.  </w:t>
      </w:r>
    </w:p>
    <w:p w14:paraId="4130761A" w14:textId="77777777" w:rsidR="00D3617D" w:rsidRPr="00B8046D" w:rsidRDefault="00D3617D" w:rsidP="00D3617D">
      <w:pPr>
        <w:pStyle w:val="BodyText"/>
        <w:rPr>
          <w:b/>
          <w:bCs/>
          <w:lang w:val="en-GB"/>
        </w:rPr>
      </w:pPr>
      <w:r w:rsidRPr="00781A3A">
        <w:rPr>
          <w:b/>
          <w:bCs/>
          <w:lang w:val="en-GB"/>
        </w:rPr>
        <w:t>Observation 2:</w:t>
      </w:r>
      <w:r w:rsidRPr="00B8046D">
        <w:rPr>
          <w:b/>
          <w:bCs/>
          <w:lang w:val="en-GB"/>
        </w:rPr>
        <w:t xml:space="preserve"> PWS based measurements are accurate and a proven OTA measurement system </w:t>
      </w:r>
    </w:p>
    <w:p w14:paraId="3604DE5A" w14:textId="150C0F67" w:rsidR="000954C0" w:rsidRDefault="000954C0" w:rsidP="000954C0">
      <w:pPr>
        <w:pStyle w:val="BodyText"/>
        <w:ind w:firstLine="425"/>
        <w:rPr>
          <w:lang w:val="en-GB"/>
        </w:rPr>
      </w:pPr>
      <w:r w:rsidRPr="000954C0">
        <w:rPr>
          <w:lang w:val="en-GB"/>
        </w:rPr>
        <w:t>Many test campaigns have been conducted with base station manufactures and a test house with massive MIMO BS samples. The results showed an excellent correlation of both the radiation pattern and equivalent isotropic radiated power (EIRP) transmit power, compared to measurements within a CATR.</w:t>
      </w:r>
    </w:p>
    <w:p w14:paraId="301E58CA" w14:textId="6C5488B0" w:rsidR="000954C0" w:rsidRDefault="000954C0" w:rsidP="00436436">
      <w:pPr>
        <w:pStyle w:val="BodyText"/>
        <w:jc w:val="center"/>
        <w:rPr>
          <w:lang w:val="en-GB"/>
        </w:rPr>
      </w:pPr>
      <w:r w:rsidRPr="000954C0">
        <w:rPr>
          <w:noProof/>
          <w:lang w:val="en-GB"/>
        </w:rPr>
        <w:drawing>
          <wp:inline distT="0" distB="0" distL="0" distR="0" wp14:anchorId="020CAC7F" wp14:editId="0AD9019E">
            <wp:extent cx="4546410" cy="2074911"/>
            <wp:effectExtent l="95250" t="95250" r="102235" b="97155"/>
            <wp:docPr id="2991988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19889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81439" cy="2090898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5BDDC2D" w14:textId="503BEFDF" w:rsidR="006657FE" w:rsidRDefault="00D3617D" w:rsidP="00D3617D">
      <w:pPr>
        <w:pStyle w:val="BodyText"/>
        <w:rPr>
          <w:rFonts w:ascii="Arial" w:hAnsi="Arial" w:cs="Arial"/>
        </w:rPr>
      </w:pPr>
      <w:r>
        <w:rPr>
          <w:lang w:val="en-GB"/>
        </w:rPr>
        <w:t xml:space="preserve">In the </w:t>
      </w:r>
      <w:r w:rsidR="00B46231">
        <w:rPr>
          <w:lang w:val="en-GB"/>
        </w:rPr>
        <w:t>above</w:t>
      </w:r>
      <w:r>
        <w:rPr>
          <w:lang w:val="en-GB"/>
        </w:rPr>
        <w:t xml:space="preserve"> image, we see </w:t>
      </w:r>
      <w:r w:rsidR="00B46231">
        <w:rPr>
          <w:lang w:val="en-GB"/>
        </w:rPr>
        <w:t>the</w:t>
      </w:r>
      <w:r>
        <w:rPr>
          <w:lang w:val="en-GB"/>
        </w:rPr>
        <w:t xml:space="preserve"> radiated field distribution </w:t>
      </w:r>
      <w:r w:rsidR="00B46231">
        <w:rPr>
          <w:lang w:val="en-GB"/>
        </w:rPr>
        <w:t>when using</w:t>
      </w:r>
      <w:r>
        <w:rPr>
          <w:lang w:val="en-GB"/>
        </w:rPr>
        <w:t xml:space="preserve"> PWS. </w:t>
      </w:r>
      <w:r w:rsidRPr="00D3617D">
        <w:rPr>
          <w:lang w:val="en-GB"/>
        </w:rPr>
        <w:t xml:space="preserve">Magnitude (left) and phase (right) at 3600 MHz </w:t>
      </w:r>
      <w:r w:rsidR="00B46231">
        <w:rPr>
          <w:lang w:val="en-GB"/>
        </w:rPr>
        <w:t>are</w:t>
      </w:r>
      <w:r w:rsidRPr="00D3617D">
        <w:rPr>
          <w:lang w:val="en-GB"/>
        </w:rPr>
        <w:t xml:space="preserve"> within a quiet zone of 1.00 m</w:t>
      </w:r>
    </w:p>
    <w:p w14:paraId="2FB46491" w14:textId="72F89148" w:rsidR="006657FE" w:rsidRPr="000954C0" w:rsidRDefault="00781A3A" w:rsidP="006657FE">
      <w:pPr>
        <w:pStyle w:val="Heading1"/>
        <w:keepLines w:val="0"/>
        <w:numPr>
          <w:ilvl w:val="0"/>
          <w:numId w:val="35"/>
        </w:numPr>
        <w:spacing w:before="0"/>
        <w:ind w:left="425" w:right="284" w:hanging="720"/>
        <w:rPr>
          <w:color w:val="auto"/>
        </w:rPr>
      </w:pPr>
      <w:r>
        <w:rPr>
          <w:color w:val="auto"/>
        </w:rPr>
        <w:lastRenderedPageBreak/>
        <w:t>Summary</w:t>
      </w:r>
    </w:p>
    <w:p w14:paraId="6A9570BD" w14:textId="77777777" w:rsidR="00781A3A" w:rsidRPr="0026593A" w:rsidRDefault="00781A3A" w:rsidP="00781A3A">
      <w:pPr>
        <w:pStyle w:val="BodyText"/>
        <w:rPr>
          <w:lang w:val="en-GB"/>
        </w:rPr>
      </w:pPr>
      <w:r w:rsidRPr="00781A3A">
        <w:rPr>
          <w:b/>
          <w:bCs/>
          <w:lang w:val="en-GB"/>
        </w:rPr>
        <w:t>Observation 1:</w:t>
      </w:r>
      <w:r w:rsidRPr="00B8046D">
        <w:rPr>
          <w:b/>
          <w:bCs/>
          <w:lang w:val="en-GB"/>
        </w:rPr>
        <w:t xml:space="preserve"> </w:t>
      </w:r>
      <w:r w:rsidRPr="0026593A">
        <w:rPr>
          <w:lang w:val="en-GB"/>
        </w:rPr>
        <w:t>PWS based system is 3GPP approved and can achieve far-field test conditions with a small measurement distance.</w:t>
      </w:r>
    </w:p>
    <w:p w14:paraId="22B9C707" w14:textId="4C151DE6" w:rsidR="00781A3A" w:rsidRDefault="00781A3A" w:rsidP="00781A3A">
      <w:pPr>
        <w:pStyle w:val="BodyText"/>
        <w:rPr>
          <w:b/>
          <w:bCs/>
          <w:lang w:val="en-GB"/>
        </w:rPr>
      </w:pPr>
      <w:r w:rsidRPr="00781A3A">
        <w:rPr>
          <w:b/>
          <w:bCs/>
          <w:lang w:val="en-GB"/>
        </w:rPr>
        <w:t xml:space="preserve">Observation 2: </w:t>
      </w:r>
      <w:r w:rsidRPr="0026593A">
        <w:rPr>
          <w:lang w:val="en-GB"/>
        </w:rPr>
        <w:t>PWS based measurements are accurate and a proven OTA measurement system</w:t>
      </w:r>
    </w:p>
    <w:p w14:paraId="4CFBBDF4" w14:textId="77777777" w:rsidR="00781A3A" w:rsidRPr="0026593A" w:rsidRDefault="00781A3A" w:rsidP="00781A3A">
      <w:pPr>
        <w:pStyle w:val="BodyText"/>
        <w:rPr>
          <w:lang w:val="en-GB"/>
        </w:rPr>
      </w:pPr>
      <w:r w:rsidRPr="00781A3A">
        <w:rPr>
          <w:b/>
          <w:bCs/>
          <w:lang w:val="en-GB"/>
        </w:rPr>
        <w:t xml:space="preserve">Proposal 1: </w:t>
      </w:r>
      <w:r w:rsidRPr="0026593A">
        <w:rPr>
          <w:lang w:val="en-GB"/>
        </w:rPr>
        <w:t>RAN4 agrees on PWS inclusion in test procedures as suggested in tdoc R4-2500548</w:t>
      </w:r>
    </w:p>
    <w:p w14:paraId="0D7C4F7E" w14:textId="77777777" w:rsidR="006657FE" w:rsidRDefault="006657FE" w:rsidP="006657FE">
      <w:pPr>
        <w:pBdr>
          <w:bottom w:val="single" w:sz="4" w:space="1" w:color="auto"/>
        </w:pBdr>
        <w:rPr>
          <w:rFonts w:ascii="Arial" w:hAnsi="Arial" w:cs="Arial"/>
        </w:rPr>
      </w:pPr>
    </w:p>
    <w:p w14:paraId="750259EE" w14:textId="77777777" w:rsidR="006657FE" w:rsidRPr="000954C0" w:rsidRDefault="006657FE" w:rsidP="006657FE">
      <w:pPr>
        <w:pStyle w:val="Heading1"/>
        <w:keepLines w:val="0"/>
        <w:numPr>
          <w:ilvl w:val="0"/>
          <w:numId w:val="35"/>
        </w:numPr>
        <w:spacing w:before="0"/>
        <w:ind w:left="425" w:right="284" w:hanging="720"/>
        <w:rPr>
          <w:color w:val="auto"/>
        </w:rPr>
      </w:pPr>
      <w:r w:rsidRPr="000954C0">
        <w:rPr>
          <w:color w:val="auto"/>
        </w:rPr>
        <w:t>References</w:t>
      </w:r>
    </w:p>
    <w:p w14:paraId="7640F266" w14:textId="18FDF612" w:rsidR="006657FE" w:rsidRPr="00D3617D" w:rsidRDefault="006657FE" w:rsidP="006657FE">
      <w:pPr>
        <w:ind w:left="709" w:hanging="709"/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D3617D">
        <w:rPr>
          <w:rFonts w:asciiTheme="minorHAnsi" w:eastAsiaTheme="minorHAnsi" w:hAnsiTheme="minorHAnsi" w:cstheme="minorBidi"/>
          <w:kern w:val="2"/>
          <w14:ligatures w14:val="standardContextual"/>
        </w:rPr>
        <w:t>[1]</w:t>
      </w:r>
      <w:r w:rsidRPr="00D3617D">
        <w:rPr>
          <w:rFonts w:asciiTheme="minorHAnsi" w:eastAsiaTheme="minorHAnsi" w:hAnsiTheme="minorHAnsi" w:cstheme="minorBidi"/>
          <w:kern w:val="2"/>
          <w14:ligatures w14:val="standardContextual"/>
        </w:rPr>
        <w:tab/>
      </w:r>
      <w:r w:rsidR="00781A3A" w:rsidRPr="00D3617D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Radio Frequency (RF) conformance testing background for radiated Base Station (BS) requirements, </w:t>
      </w:r>
      <w:hyperlink r:id="rId11" w:history="1">
        <w:r w:rsidR="00FF623D" w:rsidRPr="00D3617D">
          <w:rPr>
            <w:rFonts w:asciiTheme="minorHAnsi" w:eastAsiaTheme="minorHAnsi" w:hAnsiTheme="minorHAnsi" w:cstheme="minorBidi"/>
            <w:kern w:val="2"/>
            <w14:ligatures w14:val="standardContextual"/>
          </w:rPr>
          <w:t>37.941</w:t>
        </w:r>
      </w:hyperlink>
      <w:r w:rsidR="00FF623D" w:rsidRPr="00D3617D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</w:t>
      </w:r>
    </w:p>
    <w:p w14:paraId="2DD9759F" w14:textId="292A406B" w:rsidR="006657FE" w:rsidRPr="00D3617D" w:rsidRDefault="006657FE" w:rsidP="00FF623D">
      <w:pPr>
        <w:ind w:left="709" w:hanging="709"/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D3617D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[2] </w:t>
      </w:r>
      <w:r w:rsidRPr="00D3617D">
        <w:rPr>
          <w:rFonts w:asciiTheme="minorHAnsi" w:eastAsiaTheme="minorHAnsi" w:hAnsiTheme="minorHAnsi" w:cstheme="minorBidi"/>
          <w:kern w:val="2"/>
          <w14:ligatures w14:val="standardContextual"/>
        </w:rPr>
        <w:tab/>
      </w:r>
      <w:bookmarkEnd w:id="0"/>
      <w:r w:rsidR="00781A3A" w:rsidRPr="00D3617D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R&amp;S Plane Wave Converter, </w:t>
      </w:r>
      <w:hyperlink r:id="rId12" w:history="1">
        <w:r w:rsidR="00781A3A" w:rsidRPr="00D3617D">
          <w:rPr>
            <w:rFonts w:asciiTheme="minorHAnsi" w:eastAsiaTheme="minorHAnsi" w:hAnsiTheme="minorHAnsi" w:cstheme="minorBidi"/>
            <w:kern w:val="2"/>
            <w14:ligatures w14:val="standardContextual"/>
          </w:rPr>
          <w:t>PWC200</w:t>
        </w:r>
      </w:hyperlink>
    </w:p>
    <w:p w14:paraId="7E6576E7" w14:textId="5DD86879" w:rsidR="00781A3A" w:rsidRPr="00D3617D" w:rsidRDefault="00781A3A" w:rsidP="00FF623D">
      <w:pPr>
        <w:ind w:left="709" w:hanging="709"/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D3617D">
        <w:rPr>
          <w:rFonts w:asciiTheme="minorHAnsi" w:eastAsiaTheme="minorHAnsi" w:hAnsiTheme="minorHAnsi" w:cstheme="minorBidi"/>
          <w:kern w:val="2"/>
          <w14:ligatures w14:val="standardContextual"/>
        </w:rPr>
        <w:t>[3]</w:t>
      </w:r>
      <w:r w:rsidRPr="00D3617D">
        <w:rPr>
          <w:rFonts w:asciiTheme="minorHAnsi" w:eastAsiaTheme="minorHAnsi" w:hAnsiTheme="minorHAnsi" w:cstheme="minorBidi"/>
          <w:kern w:val="2"/>
          <w14:ligatures w14:val="standardContextual"/>
        </w:rPr>
        <w:tab/>
        <w:t>PWS method inclusion for Expected EIRP test procedures, R4-2500548</w:t>
      </w:r>
    </w:p>
    <w:p w14:paraId="5A5EF9D9" w14:textId="77777777" w:rsidR="00781A3A" w:rsidRDefault="00781A3A" w:rsidP="00781A3A"/>
    <w:p w14:paraId="5F32176D" w14:textId="0E0E97EC" w:rsidR="00781A3A" w:rsidRDefault="00781A3A" w:rsidP="00781A3A">
      <w:pPr>
        <w:pBdr>
          <w:bottom w:val="single" w:sz="4" w:space="1" w:color="auto"/>
        </w:pBdr>
        <w:rPr>
          <w:rFonts w:ascii="Arial" w:hAnsi="Arial" w:cs="Arial"/>
        </w:rPr>
      </w:pPr>
    </w:p>
    <w:sectPr w:rsidR="00781A3A" w:rsidSect="006657F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F7A49A" w14:textId="77777777" w:rsidR="006B0C14" w:rsidRDefault="006B0C14" w:rsidP="007D0431">
      <w:pPr>
        <w:spacing w:after="0"/>
      </w:pPr>
      <w:r>
        <w:separator/>
      </w:r>
    </w:p>
  </w:endnote>
  <w:endnote w:type="continuationSeparator" w:id="0">
    <w:p w14:paraId="472FCFA6" w14:textId="77777777" w:rsidR="006B0C14" w:rsidRDefault="006B0C14" w:rsidP="007D04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B8CB3" w14:textId="77777777" w:rsidR="006657FE" w:rsidRDefault="006657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80F46" w14:textId="77777777" w:rsidR="00C5732B" w:rsidRDefault="00000000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61B15" w14:textId="77777777" w:rsidR="006657FE" w:rsidRDefault="006657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01ED2E" w14:textId="77777777" w:rsidR="006B0C14" w:rsidRDefault="006B0C14" w:rsidP="007D0431">
      <w:pPr>
        <w:spacing w:after="0"/>
      </w:pPr>
      <w:r>
        <w:separator/>
      </w:r>
    </w:p>
  </w:footnote>
  <w:footnote w:type="continuationSeparator" w:id="0">
    <w:p w14:paraId="184C83F5" w14:textId="77777777" w:rsidR="006B0C14" w:rsidRDefault="006B0C14" w:rsidP="007D04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68782" w14:textId="1AB5A331" w:rsidR="006657FE" w:rsidRDefault="006657FE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54260EC" wp14:editId="1E8D1A9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4538410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-369073180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3E68F44D" w14:textId="0DA5AC9F" w:rsidR="006657FE" w:rsidRPr="00A11327" w:rsidRDefault="006657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4260E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-369073180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3E68F44D" w14:textId="0DA5AC9F" w:rsidR="006657FE" w:rsidRPr="00A11327" w:rsidRDefault="006657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AC5945" w14:textId="77777777" w:rsidR="00C5732B" w:rsidRDefault="00C5732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BE9A946" w14:textId="77777777" w:rsidR="00C5732B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E0FA9E9" w14:textId="77777777" w:rsidR="00C5732B" w:rsidRDefault="00C5732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79F6346B" w14:textId="159BE9FE" w:rsidR="00C5732B" w:rsidRDefault="006657FE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96C7770" wp14:editId="712EC61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405876909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5F82B3D1" w14:textId="4A7D9BC6" w:rsidR="006657FE" w:rsidRPr="00A11327" w:rsidRDefault="006657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6C777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405876909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5F82B3D1" w14:textId="4A7D9BC6" w:rsidR="006657FE" w:rsidRPr="00A11327" w:rsidRDefault="006657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37110" w14:textId="7A8280E4" w:rsidR="006657FE" w:rsidRDefault="006657FE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B97B5BE" wp14:editId="0624313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999818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531920743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032EF936" w14:textId="6194D915" w:rsidR="006657FE" w:rsidRPr="00A11327" w:rsidRDefault="006657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97B5B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531920743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032EF936" w14:textId="6194D915" w:rsidR="006657FE" w:rsidRPr="00A11327" w:rsidRDefault="006657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E10BED"/>
    <w:multiLevelType w:val="hybridMultilevel"/>
    <w:tmpl w:val="D578F4F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C0A34"/>
    <w:multiLevelType w:val="hybridMultilevel"/>
    <w:tmpl w:val="15FE27FE"/>
    <w:lvl w:ilvl="0" w:tplc="CC48790A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D676D81"/>
    <w:multiLevelType w:val="multilevel"/>
    <w:tmpl w:val="1B04B730"/>
    <w:numStyleLink w:val="RSBullets"/>
  </w:abstractNum>
  <w:abstractNum w:abstractNumId="4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5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6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7" w15:restartNumberingAfterBreak="0">
    <w:nsid w:val="1CD8441C"/>
    <w:multiLevelType w:val="multilevel"/>
    <w:tmpl w:val="1B04B730"/>
    <w:numStyleLink w:val="RSBullets"/>
  </w:abstractNum>
  <w:abstractNum w:abstractNumId="8" w15:restartNumberingAfterBreak="0">
    <w:nsid w:val="2574065C"/>
    <w:multiLevelType w:val="multilevel"/>
    <w:tmpl w:val="3D287A5C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9" w15:restartNumberingAfterBreak="0">
    <w:nsid w:val="2D2806D7"/>
    <w:multiLevelType w:val="multilevel"/>
    <w:tmpl w:val="1B04B730"/>
    <w:numStyleLink w:val="RSBullets"/>
  </w:abstractNum>
  <w:abstractNum w:abstractNumId="10" w15:restartNumberingAfterBreak="0">
    <w:nsid w:val="2FE52E80"/>
    <w:multiLevelType w:val="multilevel"/>
    <w:tmpl w:val="1B04B730"/>
    <w:numStyleLink w:val="RSBullets"/>
  </w:abstractNum>
  <w:abstractNum w:abstractNumId="11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2" w15:restartNumberingAfterBreak="0">
    <w:nsid w:val="364A6D1D"/>
    <w:multiLevelType w:val="multilevel"/>
    <w:tmpl w:val="1B04B730"/>
    <w:numStyleLink w:val="RSBullets"/>
  </w:abstractNum>
  <w:abstractNum w:abstractNumId="13" w15:restartNumberingAfterBreak="0">
    <w:nsid w:val="3A29703A"/>
    <w:multiLevelType w:val="multilevel"/>
    <w:tmpl w:val="760620C0"/>
    <w:numStyleLink w:val="1ai"/>
  </w:abstractNum>
  <w:abstractNum w:abstractNumId="14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5" w15:restartNumberingAfterBreak="0">
    <w:nsid w:val="3E9D5BE6"/>
    <w:multiLevelType w:val="multilevel"/>
    <w:tmpl w:val="1B04B730"/>
    <w:numStyleLink w:val="RSBullets"/>
  </w:abstractNum>
  <w:abstractNum w:abstractNumId="16" w15:restartNumberingAfterBreak="0">
    <w:nsid w:val="406C2E72"/>
    <w:multiLevelType w:val="multilevel"/>
    <w:tmpl w:val="1B04B730"/>
    <w:numStyleLink w:val="RSBullets"/>
  </w:abstractNum>
  <w:abstractNum w:abstractNumId="17" w15:restartNumberingAfterBreak="0">
    <w:nsid w:val="43392F8D"/>
    <w:multiLevelType w:val="multilevel"/>
    <w:tmpl w:val="16ECC3E0"/>
    <w:numStyleLink w:val="111111"/>
  </w:abstractNum>
  <w:abstractNum w:abstractNumId="18" w15:restartNumberingAfterBreak="0">
    <w:nsid w:val="48B209C6"/>
    <w:multiLevelType w:val="multilevel"/>
    <w:tmpl w:val="5F6C26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9" w15:restartNumberingAfterBreak="0">
    <w:nsid w:val="48D714EE"/>
    <w:multiLevelType w:val="multilevel"/>
    <w:tmpl w:val="1B04B730"/>
    <w:numStyleLink w:val="RSBullets"/>
  </w:abstractNum>
  <w:abstractNum w:abstractNumId="20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21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2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3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C31123"/>
    <w:multiLevelType w:val="multilevel"/>
    <w:tmpl w:val="1B04B730"/>
    <w:numStyleLink w:val="RSBullets"/>
  </w:abstractNum>
  <w:abstractNum w:abstractNumId="25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3A56C02"/>
    <w:multiLevelType w:val="multilevel"/>
    <w:tmpl w:val="760620C0"/>
    <w:numStyleLink w:val="1ai"/>
  </w:abstractNum>
  <w:abstractNum w:abstractNumId="27" w15:restartNumberingAfterBreak="0">
    <w:nsid w:val="65BC23B4"/>
    <w:multiLevelType w:val="multilevel"/>
    <w:tmpl w:val="1B04B730"/>
    <w:numStyleLink w:val="RSBullets"/>
  </w:abstractNum>
  <w:num w:numId="1" w16cid:durableId="1084181398">
    <w:abstractNumId w:val="8"/>
  </w:num>
  <w:num w:numId="2" w16cid:durableId="1173960650">
    <w:abstractNumId w:val="20"/>
  </w:num>
  <w:num w:numId="3" w16cid:durableId="1206983673">
    <w:abstractNumId w:val="14"/>
  </w:num>
  <w:num w:numId="4" w16cid:durableId="1489009691">
    <w:abstractNumId w:val="11"/>
  </w:num>
  <w:num w:numId="5" w16cid:durableId="71778780">
    <w:abstractNumId w:val="6"/>
  </w:num>
  <w:num w:numId="6" w16cid:durableId="2085183857">
    <w:abstractNumId w:val="4"/>
  </w:num>
  <w:num w:numId="7" w16cid:durableId="1211042159">
    <w:abstractNumId w:val="12"/>
  </w:num>
  <w:num w:numId="8" w16cid:durableId="329911379">
    <w:abstractNumId w:val="22"/>
  </w:num>
  <w:num w:numId="9" w16cid:durableId="1224220604">
    <w:abstractNumId w:val="23"/>
  </w:num>
  <w:num w:numId="10" w16cid:durableId="261108000">
    <w:abstractNumId w:val="3"/>
  </w:num>
  <w:num w:numId="11" w16cid:durableId="1698385721">
    <w:abstractNumId w:val="7"/>
  </w:num>
  <w:num w:numId="12" w16cid:durableId="1580947378">
    <w:abstractNumId w:val="9"/>
  </w:num>
  <w:num w:numId="13" w16cid:durableId="1402944582">
    <w:abstractNumId w:val="15"/>
  </w:num>
  <w:num w:numId="14" w16cid:durableId="1139610916">
    <w:abstractNumId w:val="19"/>
  </w:num>
  <w:num w:numId="15" w16cid:durableId="2100984133">
    <w:abstractNumId w:val="16"/>
  </w:num>
  <w:num w:numId="16" w16cid:durableId="1585722752">
    <w:abstractNumId w:val="25"/>
  </w:num>
  <w:num w:numId="17" w16cid:durableId="709917394">
    <w:abstractNumId w:val="24"/>
  </w:num>
  <w:num w:numId="18" w16cid:durableId="1850557443">
    <w:abstractNumId w:val="27"/>
  </w:num>
  <w:num w:numId="19" w16cid:durableId="1870949578">
    <w:abstractNumId w:val="10"/>
  </w:num>
  <w:num w:numId="20" w16cid:durableId="65611078">
    <w:abstractNumId w:val="13"/>
  </w:num>
  <w:num w:numId="21" w16cid:durableId="1840270468">
    <w:abstractNumId w:val="5"/>
  </w:num>
  <w:num w:numId="22" w16cid:durableId="1325356690">
    <w:abstractNumId w:val="5"/>
  </w:num>
  <w:num w:numId="23" w16cid:durableId="1879974154">
    <w:abstractNumId w:val="5"/>
  </w:num>
  <w:num w:numId="24" w16cid:durableId="1343626110">
    <w:abstractNumId w:val="0"/>
  </w:num>
  <w:num w:numId="25" w16cid:durableId="14772974">
    <w:abstractNumId w:val="17"/>
  </w:num>
  <w:num w:numId="26" w16cid:durableId="1189679811">
    <w:abstractNumId w:val="21"/>
  </w:num>
  <w:num w:numId="27" w16cid:durableId="1090111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26864069">
    <w:abstractNumId w:val="26"/>
  </w:num>
  <w:num w:numId="29" w16cid:durableId="1636174467">
    <w:abstractNumId w:val="5"/>
  </w:num>
  <w:num w:numId="30" w16cid:durableId="554514049">
    <w:abstractNumId w:val="5"/>
  </w:num>
  <w:num w:numId="31" w16cid:durableId="69741880">
    <w:abstractNumId w:val="5"/>
  </w:num>
  <w:num w:numId="32" w16cid:durableId="19695114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904044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25016828">
    <w:abstractNumId w:val="2"/>
  </w:num>
  <w:num w:numId="35" w16cid:durableId="922879894">
    <w:abstractNumId w:val="18"/>
  </w:num>
  <w:num w:numId="36" w16cid:durableId="590040893">
    <w:abstractNumId w:val="1"/>
  </w:num>
  <w:num w:numId="37" w16cid:durableId="19476255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FE"/>
    <w:rsid w:val="00000111"/>
    <w:rsid w:val="0003018D"/>
    <w:rsid w:val="00063F79"/>
    <w:rsid w:val="00085B3E"/>
    <w:rsid w:val="000954C0"/>
    <w:rsid w:val="000A023B"/>
    <w:rsid w:val="000A69EA"/>
    <w:rsid w:val="000D4F4B"/>
    <w:rsid w:val="000E1533"/>
    <w:rsid w:val="000E35A6"/>
    <w:rsid w:val="000F6C81"/>
    <w:rsid w:val="001129E8"/>
    <w:rsid w:val="0012030E"/>
    <w:rsid w:val="001233D7"/>
    <w:rsid w:val="0012408E"/>
    <w:rsid w:val="00132A51"/>
    <w:rsid w:val="001434ED"/>
    <w:rsid w:val="001459FA"/>
    <w:rsid w:val="00146D7D"/>
    <w:rsid w:val="001772E2"/>
    <w:rsid w:val="00181DF3"/>
    <w:rsid w:val="00182481"/>
    <w:rsid w:val="0019653E"/>
    <w:rsid w:val="001A239E"/>
    <w:rsid w:val="001A2DC0"/>
    <w:rsid w:val="001A2DCE"/>
    <w:rsid w:val="001B3943"/>
    <w:rsid w:val="001B5DBC"/>
    <w:rsid w:val="001E1A3A"/>
    <w:rsid w:val="001F2FCC"/>
    <w:rsid w:val="00212170"/>
    <w:rsid w:val="002159D0"/>
    <w:rsid w:val="00215A93"/>
    <w:rsid w:val="00230C1A"/>
    <w:rsid w:val="00232680"/>
    <w:rsid w:val="00240EF7"/>
    <w:rsid w:val="002423CE"/>
    <w:rsid w:val="00242FF6"/>
    <w:rsid w:val="00252B64"/>
    <w:rsid w:val="00253002"/>
    <w:rsid w:val="002643E4"/>
    <w:rsid w:val="0026593A"/>
    <w:rsid w:val="00266397"/>
    <w:rsid w:val="00271681"/>
    <w:rsid w:val="0027496B"/>
    <w:rsid w:val="00274C5D"/>
    <w:rsid w:val="00297B6F"/>
    <w:rsid w:val="002A0A87"/>
    <w:rsid w:val="002A61A0"/>
    <w:rsid w:val="002D1F9B"/>
    <w:rsid w:val="002E11AB"/>
    <w:rsid w:val="002E4218"/>
    <w:rsid w:val="00307F96"/>
    <w:rsid w:val="00320D57"/>
    <w:rsid w:val="00321CD7"/>
    <w:rsid w:val="0032523E"/>
    <w:rsid w:val="00325AF9"/>
    <w:rsid w:val="00337439"/>
    <w:rsid w:val="003563D4"/>
    <w:rsid w:val="00356822"/>
    <w:rsid w:val="00356FB2"/>
    <w:rsid w:val="0036182E"/>
    <w:rsid w:val="00363881"/>
    <w:rsid w:val="003666EB"/>
    <w:rsid w:val="00390B32"/>
    <w:rsid w:val="003A50BA"/>
    <w:rsid w:val="003A7FAA"/>
    <w:rsid w:val="003B3C34"/>
    <w:rsid w:val="003C7723"/>
    <w:rsid w:val="003D519C"/>
    <w:rsid w:val="003D68E5"/>
    <w:rsid w:val="003E7BA2"/>
    <w:rsid w:val="003F4EC7"/>
    <w:rsid w:val="0042429B"/>
    <w:rsid w:val="00436436"/>
    <w:rsid w:val="004475AD"/>
    <w:rsid w:val="00463D89"/>
    <w:rsid w:val="00465C54"/>
    <w:rsid w:val="004B14CB"/>
    <w:rsid w:val="004C2F61"/>
    <w:rsid w:val="004E7E35"/>
    <w:rsid w:val="004F1C5B"/>
    <w:rsid w:val="00500BA1"/>
    <w:rsid w:val="00503116"/>
    <w:rsid w:val="00520C26"/>
    <w:rsid w:val="00532390"/>
    <w:rsid w:val="00534070"/>
    <w:rsid w:val="00554991"/>
    <w:rsid w:val="005905B1"/>
    <w:rsid w:val="0059369C"/>
    <w:rsid w:val="00594E12"/>
    <w:rsid w:val="005C77D0"/>
    <w:rsid w:val="005D51A4"/>
    <w:rsid w:val="005E286D"/>
    <w:rsid w:val="0064067F"/>
    <w:rsid w:val="006657FE"/>
    <w:rsid w:val="006B0C14"/>
    <w:rsid w:val="006B59CE"/>
    <w:rsid w:val="006E77C0"/>
    <w:rsid w:val="007054F4"/>
    <w:rsid w:val="007164C0"/>
    <w:rsid w:val="007366B5"/>
    <w:rsid w:val="00757E33"/>
    <w:rsid w:val="00781A3A"/>
    <w:rsid w:val="00781E78"/>
    <w:rsid w:val="007B5F72"/>
    <w:rsid w:val="007C5A1B"/>
    <w:rsid w:val="007D0431"/>
    <w:rsid w:val="007D5135"/>
    <w:rsid w:val="007E3502"/>
    <w:rsid w:val="007E4F6F"/>
    <w:rsid w:val="007F7350"/>
    <w:rsid w:val="00806F61"/>
    <w:rsid w:val="00811938"/>
    <w:rsid w:val="00816E81"/>
    <w:rsid w:val="008646E9"/>
    <w:rsid w:val="008922BC"/>
    <w:rsid w:val="008A5CAC"/>
    <w:rsid w:val="008D3C8A"/>
    <w:rsid w:val="008D680B"/>
    <w:rsid w:val="008E1D01"/>
    <w:rsid w:val="008E436F"/>
    <w:rsid w:val="008E7B7D"/>
    <w:rsid w:val="00900940"/>
    <w:rsid w:val="00910F48"/>
    <w:rsid w:val="00915BD2"/>
    <w:rsid w:val="009213E6"/>
    <w:rsid w:val="00927983"/>
    <w:rsid w:val="0094562B"/>
    <w:rsid w:val="00950F4E"/>
    <w:rsid w:val="00962C49"/>
    <w:rsid w:val="0099541E"/>
    <w:rsid w:val="009A7252"/>
    <w:rsid w:val="009C7BE4"/>
    <w:rsid w:val="009D239C"/>
    <w:rsid w:val="00A206B5"/>
    <w:rsid w:val="00A31A63"/>
    <w:rsid w:val="00A5355C"/>
    <w:rsid w:val="00A739E6"/>
    <w:rsid w:val="00A87D1C"/>
    <w:rsid w:val="00A91B46"/>
    <w:rsid w:val="00AB25C6"/>
    <w:rsid w:val="00AC12C8"/>
    <w:rsid w:val="00AD0725"/>
    <w:rsid w:val="00AD11AA"/>
    <w:rsid w:val="00AD3F9B"/>
    <w:rsid w:val="00AE0B49"/>
    <w:rsid w:val="00AE48E5"/>
    <w:rsid w:val="00B1733E"/>
    <w:rsid w:val="00B3318B"/>
    <w:rsid w:val="00B34260"/>
    <w:rsid w:val="00B46231"/>
    <w:rsid w:val="00B623F6"/>
    <w:rsid w:val="00B80285"/>
    <w:rsid w:val="00B8046D"/>
    <w:rsid w:val="00B94D6B"/>
    <w:rsid w:val="00BA08A1"/>
    <w:rsid w:val="00BB2BD9"/>
    <w:rsid w:val="00BE07D9"/>
    <w:rsid w:val="00BE65FE"/>
    <w:rsid w:val="00BE7460"/>
    <w:rsid w:val="00BF4658"/>
    <w:rsid w:val="00C0764E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43588"/>
    <w:rsid w:val="00C5078C"/>
    <w:rsid w:val="00C5732B"/>
    <w:rsid w:val="00C601F9"/>
    <w:rsid w:val="00C67AAA"/>
    <w:rsid w:val="00C746EF"/>
    <w:rsid w:val="00C763E9"/>
    <w:rsid w:val="00C910F3"/>
    <w:rsid w:val="00C976AE"/>
    <w:rsid w:val="00CC14DC"/>
    <w:rsid w:val="00CC6AF4"/>
    <w:rsid w:val="00CF1C34"/>
    <w:rsid w:val="00D054DD"/>
    <w:rsid w:val="00D2660B"/>
    <w:rsid w:val="00D31632"/>
    <w:rsid w:val="00D3617D"/>
    <w:rsid w:val="00D4734E"/>
    <w:rsid w:val="00D73A81"/>
    <w:rsid w:val="00D73B9E"/>
    <w:rsid w:val="00D86161"/>
    <w:rsid w:val="00D90EBF"/>
    <w:rsid w:val="00D94F1C"/>
    <w:rsid w:val="00DB0E64"/>
    <w:rsid w:val="00DD6721"/>
    <w:rsid w:val="00DE55BE"/>
    <w:rsid w:val="00E02069"/>
    <w:rsid w:val="00E032D7"/>
    <w:rsid w:val="00E07844"/>
    <w:rsid w:val="00E16837"/>
    <w:rsid w:val="00E32F3C"/>
    <w:rsid w:val="00E42BC3"/>
    <w:rsid w:val="00E74F38"/>
    <w:rsid w:val="00E82662"/>
    <w:rsid w:val="00E918F7"/>
    <w:rsid w:val="00E930FE"/>
    <w:rsid w:val="00EA62F3"/>
    <w:rsid w:val="00EB26C6"/>
    <w:rsid w:val="00EE2244"/>
    <w:rsid w:val="00EE399B"/>
    <w:rsid w:val="00F04613"/>
    <w:rsid w:val="00F107B8"/>
    <w:rsid w:val="00F32E03"/>
    <w:rsid w:val="00F46CD0"/>
    <w:rsid w:val="00F525C4"/>
    <w:rsid w:val="00F7627A"/>
    <w:rsid w:val="00F77D6D"/>
    <w:rsid w:val="00F9104F"/>
    <w:rsid w:val="00FA000F"/>
    <w:rsid w:val="00FA1760"/>
    <w:rsid w:val="00FA1BA3"/>
    <w:rsid w:val="00FA769B"/>
    <w:rsid w:val="00FB3E90"/>
    <w:rsid w:val="00FB45F4"/>
    <w:rsid w:val="00FC40C8"/>
    <w:rsid w:val="00FF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E97A95"/>
  <w15:chartTrackingRefBased/>
  <w15:docId w15:val="{626F9884-A5F5-4983-B804-5F72F1D99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lang w:val="en-US" w:eastAsia="en-US" w:bidi="ar-SA"/>
        <w14:ligatures w14:val="standardContextual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A3A"/>
    <w:pPr>
      <w:spacing w:after="18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E42BC3"/>
    <w:pPr>
      <w:keepNext/>
      <w:keepLines/>
      <w:numPr>
        <w:numId w:val="1"/>
      </w:numPr>
      <w:spacing w:before="720" w:after="240" w:line="271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kern w:val="2"/>
      <w:sz w:val="48"/>
      <w:szCs w:val="48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12"/>
    <w:semiHidden/>
    <w:unhideWhenUsed/>
    <w:qFormat/>
    <w:rsid w:val="00D94F1C"/>
    <w:pPr>
      <w:keepNext/>
      <w:keepLines/>
      <w:numPr>
        <w:ilvl w:val="1"/>
        <w:numId w:val="1"/>
      </w:numPr>
      <w:spacing w:before="480" w:after="240" w:line="271" w:lineRule="auto"/>
      <w:outlineLvl w:val="1"/>
    </w:pPr>
    <w:rPr>
      <w:rFonts w:asciiTheme="minorHAnsi" w:eastAsiaTheme="minorHAnsi" w:hAnsiTheme="minorHAnsi" w:cstheme="minorBidi"/>
      <w:b/>
      <w:bCs/>
      <w:kern w:val="2"/>
      <w:sz w:val="28"/>
      <w:szCs w:val="28"/>
      <w:lang w:val="en-US"/>
      <w14:ligatures w14:val="standardContextual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253002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Heading1Char">
    <w:name w:val="Heading 1 Char"/>
    <w:basedOn w:val="DefaultParagraphFont"/>
    <w:link w:val="Heading1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semiHidden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kern w:val="2"/>
      <w:lang w:val="en-US"/>
      <w14:ligatures w14:val="standardContextual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  <w:spacing w:after="120" w:line="271" w:lineRule="auto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pPr>
      <w:spacing w:after="120" w:line="271" w:lineRule="auto"/>
    </w:pPr>
    <w:rPr>
      <w:rFonts w:asciiTheme="minorHAnsi" w:eastAsiaTheme="minorHAnsi" w:hAnsiTheme="minorHAnsi" w:cstheme="minorBidi"/>
      <w:color w:val="009DEC" w:themeColor="text2"/>
      <w:kern w:val="2"/>
      <w:sz w:val="16"/>
      <w:szCs w:val="16"/>
      <w:lang w:val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 w:line="271" w:lineRule="auto"/>
      <w:ind w:left="1134" w:right="1134"/>
    </w:pPr>
    <w:rPr>
      <w:rFonts w:asciiTheme="minorHAnsi" w:eastAsiaTheme="minorHAnsi" w:hAnsiTheme="minorHAnsi" w:cstheme="minorBidi"/>
      <w:b/>
      <w:bCs/>
      <w:caps/>
      <w:color w:val="003E76" w:themeColor="accent1"/>
      <w:kern w:val="2"/>
      <w:lang w:val="en-US"/>
      <w14:ligatures w14:val="standardContextual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  <w:pPr>
      <w:spacing w:after="120" w:line="271" w:lineRule="auto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/>
    </w:pPr>
    <w:rPr>
      <w:rFonts w:ascii="Tahoma" w:eastAsiaTheme="minorHAnsi" w:hAnsi="Tahoma" w:cs="Tahoma"/>
      <w:kern w:val="2"/>
      <w:sz w:val="16"/>
      <w:szCs w:val="16"/>
      <w:lang w:val="en-US"/>
      <w14:ligatures w14:val="standardContextual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rFonts w:asciiTheme="minorHAnsi" w:eastAsiaTheme="minorHAnsi" w:hAnsiTheme="minorHAnsi" w:cstheme="minorBidi"/>
      <w:kern w:val="2"/>
      <w:sz w:val="15"/>
      <w:szCs w:val="15"/>
      <w:lang w:val="en-US"/>
      <w14:ligatures w14:val="standardContextual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nhideWhenUsed/>
    <w:rsid w:val="007B5F72"/>
    <w:pPr>
      <w:tabs>
        <w:tab w:val="center" w:pos="4536"/>
        <w:tab w:val="right" w:pos="9072"/>
      </w:tabs>
      <w:spacing w:after="0" w:line="271" w:lineRule="auto"/>
    </w:pPr>
    <w:rPr>
      <w:rFonts w:asciiTheme="minorHAnsi" w:eastAsiaTheme="minorHAnsi" w:hAnsiTheme="minorHAnsi" w:cstheme="minorBidi"/>
      <w:b/>
      <w:bCs/>
      <w:kern w:val="2"/>
      <w:sz w:val="16"/>
      <w:szCs w:val="16"/>
      <w:lang w:val="en-US"/>
      <w14:ligatures w14:val="standardContextual"/>
    </w:rPr>
  </w:style>
  <w:style w:type="character" w:customStyle="1" w:styleId="FooterChar">
    <w:name w:val="Footer Char"/>
    <w:basedOn w:val="DefaultParagraphFont"/>
    <w:link w:val="Footer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/>
      <w:ind w:left="4252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 w:line="271" w:lineRule="auto"/>
    </w:pPr>
    <w:rPr>
      <w:rFonts w:asciiTheme="minorHAnsi" w:eastAsiaTheme="minorHAnsi" w:hAnsiTheme="minorHAnsi" w:cstheme="minorBidi"/>
      <w:kern w:val="2"/>
      <w:sz w:val="16"/>
      <w:szCs w:val="16"/>
      <w:lang w:val="en-US"/>
      <w14:ligatures w14:val="standardContextual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 w:line="271" w:lineRule="auto"/>
      <w:ind w:right="936"/>
    </w:pPr>
    <w:rPr>
      <w:rFonts w:asciiTheme="minorHAnsi" w:eastAsiaTheme="minorHAnsi" w:hAnsiTheme="minorHAnsi" w:cstheme="minorBidi"/>
      <w:i/>
      <w:iCs/>
      <w:color w:val="003E76" w:themeColor="accent1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nhideWhenUsed/>
    <w:rsid w:val="00500BA1"/>
    <w:pPr>
      <w:tabs>
        <w:tab w:val="center" w:pos="4536"/>
        <w:tab w:val="right" w:pos="9072"/>
      </w:tabs>
      <w:spacing w:after="0" w:line="271" w:lineRule="auto"/>
    </w:pPr>
    <w:rPr>
      <w:rFonts w:asciiTheme="minorHAnsi" w:eastAsiaTheme="minorHAnsi" w:hAnsiTheme="minorHAnsi" w:cstheme="minorBidi"/>
      <w:kern w:val="2"/>
      <w:sz w:val="15"/>
      <w:szCs w:val="15"/>
      <w:lang w:val="en-US"/>
      <w14:ligatures w14:val="standardContextual"/>
    </w:rPr>
  </w:style>
  <w:style w:type="character" w:customStyle="1" w:styleId="HeaderChar">
    <w:name w:val="Header Char"/>
    <w:basedOn w:val="DefaultParagraphFont"/>
    <w:link w:val="Header"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  <w:spacing w:after="120" w:line="271" w:lineRule="auto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34"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  <w:spacing w:after="120" w:line="271" w:lineRule="auto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  <w:spacing w:after="120" w:line="271" w:lineRule="auto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Normal"/>
    <w:next w:val="Normal"/>
    <w:uiPriority w:val="37"/>
    <w:semiHidden/>
    <w:unhideWhenUsed/>
    <w:rsid w:val="00337439"/>
    <w:pPr>
      <w:spacing w:after="120" w:line="271" w:lineRule="auto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PlaceholderText">
    <w:name w:val="Placeholder Text"/>
    <w:basedOn w:val="DefaultParagraphFont"/>
    <w:uiPriority w:val="99"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 w:line="271" w:lineRule="auto"/>
    </w:pPr>
    <w:rPr>
      <w:rFonts w:asciiTheme="minorHAnsi" w:eastAsiaTheme="minorHAnsi" w:hAnsiTheme="minorHAnsi" w:cstheme="minorBidi"/>
      <w:b/>
      <w:bCs/>
      <w:kern w:val="2"/>
      <w:lang w:val="en-US"/>
      <w14:ligatures w14:val="standardContextual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 w:line="271" w:lineRule="auto"/>
      <w:ind w:left="200" w:hanging="20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/>
    </w:pPr>
    <w:rPr>
      <w:rFonts w:asciiTheme="minorHAnsi" w:eastAsiaTheme="minorHAnsi" w:hAnsiTheme="minorHAnsi" w:cstheme="minorBidi"/>
      <w:kern w:val="2"/>
      <w:sz w:val="16"/>
      <w:szCs w:val="16"/>
      <w:lang w:val="en-US"/>
      <w14:ligatures w14:val="standardContextua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CF1C34"/>
    <w:pPr>
      <w:spacing w:after="120" w:line="271" w:lineRule="auto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99"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after="120" w:line="480" w:lineRule="auto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pPr>
      <w:spacing w:after="120" w:line="271" w:lineRule="auto"/>
    </w:pPr>
    <w:rPr>
      <w:rFonts w:asciiTheme="minorHAnsi" w:eastAsiaTheme="minorHAnsi" w:hAnsiTheme="minorHAnsi" w:cstheme="minorBidi"/>
      <w:kern w:val="2"/>
      <w:sz w:val="16"/>
      <w:szCs w:val="16"/>
      <w:lang w:val="en-US"/>
      <w14:ligatures w14:val="standardContextual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spacing w:after="120" w:line="271" w:lineRule="auto"/>
      <w:ind w:left="425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spacing w:after="120" w:line="271" w:lineRule="auto"/>
      <w:ind w:left="425"/>
    </w:pPr>
    <w:rPr>
      <w:rFonts w:asciiTheme="minorHAnsi" w:eastAsiaTheme="minorHAnsi" w:hAnsiTheme="minorHAnsi" w:cstheme="minorBidi"/>
      <w:kern w:val="2"/>
      <w:sz w:val="16"/>
      <w:szCs w:val="16"/>
      <w:lang w:val="en-US"/>
      <w14:ligatures w14:val="standardContextua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spacing w:after="120" w:line="271" w:lineRule="auto"/>
      <w:ind w:left="425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/>
      <w:ind w:left="1"/>
    </w:pPr>
    <w:rPr>
      <w:rFonts w:ascii="Arial" w:eastAsia="Arial Unicode MS" w:hAnsi="Arial" w:cs="Arial"/>
      <w:kern w:val="2"/>
      <w:lang w:val="en-US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 w:after="120" w:line="271" w:lineRule="auto"/>
      <w:contextualSpacing/>
    </w:pPr>
    <w:rPr>
      <w:rFonts w:asciiTheme="minorHAnsi" w:eastAsiaTheme="minorHAnsi" w:hAnsiTheme="minorHAnsi" w:cstheme="minorBidi"/>
      <w:b/>
      <w:bCs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/>
    </w:pPr>
    <w:rPr>
      <w:rFonts w:ascii="Arial" w:eastAsia="Arial Unicode MS" w:hAnsi="Arial" w:cs="Arial"/>
      <w:kern w:val="2"/>
      <w:lang w:val="en-US"/>
      <w14:ligatures w14:val="standardContextu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/>
      <w:ind w:left="4252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 w:line="271" w:lineRule="auto"/>
      <w:ind w:left="1134" w:hanging="1134"/>
      <w:contextualSpacing/>
    </w:pPr>
    <w:rPr>
      <w:rFonts w:asciiTheme="minorHAnsi" w:eastAsiaTheme="minorHAnsi" w:hAnsiTheme="minorHAnsi" w:cstheme="minorBidi"/>
      <w:b/>
      <w:bCs/>
      <w:kern w:val="2"/>
      <w:sz w:val="24"/>
      <w:szCs w:val="24"/>
      <w:lang w:val="en-US"/>
      <w14:ligatures w14:val="standardContextual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pPr>
      <w:spacing w:after="120" w:line="271" w:lineRule="auto"/>
    </w:pPr>
    <w:rPr>
      <w:rFonts w:asciiTheme="minorHAnsi" w:eastAsiaTheme="minorHAnsi" w:hAnsiTheme="minorHAnsi" w:cstheme="minorBidi"/>
      <w:i/>
      <w:iCs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pPr>
      <w:spacing w:after="120" w:line="271" w:lineRule="auto"/>
    </w:pPr>
    <w:rPr>
      <w:rFonts w:eastAsiaTheme="minorHAnsi"/>
      <w:kern w:val="2"/>
      <w:sz w:val="24"/>
      <w:szCs w:val="24"/>
      <w:lang w:val="en-US"/>
      <w14:ligatures w14:val="standardContextual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spacing w:after="120" w:line="271" w:lineRule="auto"/>
      <w:ind w:left="425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paragraph" w:styleId="TableofFigures">
    <w:name w:val="table of figures"/>
    <w:basedOn w:val="TOC2"/>
    <w:next w:val="Normal"/>
    <w:uiPriority w:val="99"/>
    <w:semiHidden/>
    <w:unhideWhenUsed/>
    <w:rsid w:val="00CC14DC"/>
    <w:pPr>
      <w:tabs>
        <w:tab w:val="clear" w:pos="1559"/>
      </w:tabs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  <w:pPr>
      <w:spacing w:after="120" w:line="271" w:lineRule="auto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kern w:val="0"/>
      <w:sz w:val="16"/>
      <w:szCs w:val="16"/>
      <w:lang w:val="de-DE"/>
      <w14:ligatures w14:val="non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71" w:lineRule="auto"/>
    </w:pPr>
    <w:rPr>
      <w:rFonts w:ascii="Consolas" w:eastAsiaTheme="minorHAnsi" w:hAnsi="Consolas" w:cs="Consolas"/>
      <w:kern w:val="2"/>
      <w:lang w:val="en-US"/>
      <w14:ligatures w14:val="standardContextual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semiHidden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Mention">
    <w:name w:val="Mention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Number3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6657FE"/>
    <w:rPr>
      <w:color w:val="605E5C"/>
      <w:shd w:val="clear" w:color="auto" w:fill="E1DFDD"/>
    </w:rPr>
  </w:style>
  <w:style w:type="paragraph" w:customStyle="1" w:styleId="TAH">
    <w:name w:val="TAH"/>
    <w:basedOn w:val="TAC"/>
    <w:link w:val="TAHCar"/>
    <w:uiPriority w:val="99"/>
    <w:qFormat/>
    <w:rsid w:val="006657FE"/>
    <w:rPr>
      <w:b/>
    </w:rPr>
  </w:style>
  <w:style w:type="paragraph" w:customStyle="1" w:styleId="TAC">
    <w:name w:val="TAC"/>
    <w:basedOn w:val="Normal"/>
    <w:link w:val="TACChar"/>
    <w:qFormat/>
    <w:rsid w:val="006657FE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6657F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657FE"/>
    <w:rPr>
      <w:rFonts w:ascii="Arial" w:eastAsia="Times New Roman" w:hAnsi="Arial" w:cs="Times New Roman"/>
      <w:b/>
      <w:kern w:val="0"/>
      <w:lang w:val="en-GB"/>
      <w14:ligatures w14:val="none"/>
    </w:rPr>
  </w:style>
  <w:style w:type="character" w:customStyle="1" w:styleId="TACChar">
    <w:name w:val="TAC Char"/>
    <w:link w:val="TAC"/>
    <w:qFormat/>
    <w:rsid w:val="006657FE"/>
    <w:rPr>
      <w:rFonts w:ascii="Arial" w:eastAsia="Times New Roman" w:hAnsi="Arial" w:cs="Times New Roman"/>
      <w:kern w:val="0"/>
      <w:sz w:val="18"/>
      <w:lang w:val="en-GB"/>
      <w14:ligatures w14:val="none"/>
    </w:rPr>
  </w:style>
  <w:style w:type="character" w:customStyle="1" w:styleId="TAHCar">
    <w:name w:val="TAH Car"/>
    <w:link w:val="TAH"/>
    <w:uiPriority w:val="99"/>
    <w:qFormat/>
    <w:rsid w:val="006657FE"/>
    <w:rPr>
      <w:rFonts w:ascii="Arial" w:eastAsia="Times New Roman" w:hAnsi="Arial" w:cs="Times New Roman"/>
      <w:b/>
      <w:kern w:val="0"/>
      <w:sz w:val="18"/>
      <w:lang w:val="en-GB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6657FE"/>
  </w:style>
  <w:style w:type="paragraph" w:customStyle="1" w:styleId="TF">
    <w:name w:val="TF"/>
    <w:basedOn w:val="TH"/>
    <w:link w:val="TFChar"/>
    <w:rsid w:val="00FF623D"/>
    <w:pPr>
      <w:keepNext w:val="0"/>
      <w:spacing w:before="0" w:after="240"/>
    </w:pPr>
  </w:style>
  <w:style w:type="character" w:customStyle="1" w:styleId="TFChar">
    <w:name w:val="TF Char"/>
    <w:link w:val="TF"/>
    <w:qFormat/>
    <w:rsid w:val="00FF623D"/>
    <w:rPr>
      <w:rFonts w:ascii="Arial" w:eastAsia="Times New Roman" w:hAnsi="Arial" w:cs="Times New Roman"/>
      <w:b/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cdn.rohde-schwarz.com/ur/pws/dl_downloads/dl_common_library/dl_brochures_and_datasheets/pdf_1/PWC200_bro_en_5215-5971-12_v0100.pdf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37941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6E43E83B-F87A-47BD-A608-522352E6B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Rangaramanujam Yesh (1MW)</dc:creator>
  <cp:keywords/>
  <dc:description/>
  <cp:lastModifiedBy>Rangaramanujam Yesh (1MW)</cp:lastModifiedBy>
  <cp:revision>5</cp:revision>
  <cp:lastPrinted>2015-11-10T12:30:00Z</cp:lastPrinted>
  <dcterms:created xsi:type="dcterms:W3CDTF">2025-02-07T13:47:00Z</dcterms:created>
  <dcterms:modified xsi:type="dcterms:W3CDTF">2025-02-07T17:34:00Z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2025-02-06T14:52:31Z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7c461ff3-f1c5-4e3d-83b3-42f4baa63316</vt:lpwstr>
  </property>
  <property fmtid="{D5CDD505-2E9C-101B-9397-08002B2CF9AE}" pid="8" name="MSIP_Label_9764cdcd-3664-4d05-9615-7cbf65a4f0a8_ContentBits">
    <vt:lpwstr>0</vt:lpwstr>
  </property>
</Properties>
</file>