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12A9EF26"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6C7A3F">
        <w:rPr>
          <w:rFonts w:ascii="Arial" w:hAnsi="Arial" w:cs="Arial"/>
          <w:sz w:val="28"/>
        </w:rPr>
        <w:t>4</w:t>
      </w:r>
      <w:r w:rsidRPr="00E77857">
        <w:rPr>
          <w:rFonts w:ascii="Arial" w:hAnsi="Arial" w:cs="Arial"/>
          <w:sz w:val="28"/>
        </w:rPr>
        <w:tab/>
        <w:t>R4-</w:t>
      </w:r>
      <w:r>
        <w:rPr>
          <w:rFonts w:ascii="Arial" w:hAnsi="Arial" w:cs="Arial"/>
          <w:sz w:val="28"/>
        </w:rPr>
        <w:t>2</w:t>
      </w:r>
      <w:r w:rsidR="006C7A3F">
        <w:rPr>
          <w:rFonts w:ascii="Arial" w:hAnsi="Arial" w:cs="Arial"/>
          <w:sz w:val="28"/>
        </w:rPr>
        <w:t>50</w:t>
      </w:r>
      <w:r w:rsidR="000B021C">
        <w:rPr>
          <w:rFonts w:ascii="Arial" w:hAnsi="Arial" w:cs="Arial"/>
          <w:sz w:val="28"/>
        </w:rPr>
        <w:t>0074</w:t>
      </w:r>
    </w:p>
    <w:p w14:paraId="2B0D22D7" w14:textId="1AAEEC51" w:rsidR="005A37B7" w:rsidRPr="00E77857" w:rsidRDefault="006C7A3F" w:rsidP="005A37B7">
      <w:pPr>
        <w:tabs>
          <w:tab w:val="right" w:pos="9781"/>
        </w:tabs>
        <w:rPr>
          <w:rFonts w:ascii="Arial" w:hAnsi="Arial" w:cs="Arial"/>
          <w:sz w:val="28"/>
        </w:rPr>
      </w:pPr>
      <w:r>
        <w:rPr>
          <w:rFonts w:ascii="Arial" w:hAnsi="Arial" w:cs="Arial"/>
          <w:sz w:val="28"/>
        </w:rPr>
        <w:t>Athens</w:t>
      </w:r>
      <w:r w:rsidR="005A37B7" w:rsidRPr="00795544">
        <w:rPr>
          <w:rFonts w:ascii="Arial" w:hAnsi="Arial" w:cs="Arial"/>
          <w:sz w:val="28"/>
        </w:rPr>
        <w:t xml:space="preserve">, </w:t>
      </w:r>
      <w:r>
        <w:rPr>
          <w:rFonts w:ascii="Arial" w:hAnsi="Arial" w:cs="Arial"/>
          <w:sz w:val="28"/>
        </w:rPr>
        <w:t>Greece</w:t>
      </w:r>
      <w:r w:rsidR="005A37B7" w:rsidRPr="00795544">
        <w:rPr>
          <w:rFonts w:ascii="Arial" w:hAnsi="Arial" w:cs="Arial"/>
          <w:sz w:val="28"/>
        </w:rPr>
        <w:t>, 1</w:t>
      </w:r>
      <w:r>
        <w:rPr>
          <w:rFonts w:ascii="Arial" w:hAnsi="Arial" w:cs="Arial"/>
          <w:sz w:val="28"/>
        </w:rPr>
        <w:t>7</w:t>
      </w:r>
      <w:r w:rsidR="005A37B7" w:rsidRPr="00795544">
        <w:rPr>
          <w:rFonts w:ascii="Arial" w:hAnsi="Arial" w:cs="Arial"/>
          <w:sz w:val="28"/>
        </w:rPr>
        <w:t xml:space="preserve">th – </w:t>
      </w:r>
      <w:r>
        <w:rPr>
          <w:rFonts w:ascii="Arial" w:hAnsi="Arial" w:cs="Arial"/>
          <w:sz w:val="28"/>
        </w:rPr>
        <w:t>2</w:t>
      </w:r>
      <w:r w:rsidR="005A37B7">
        <w:rPr>
          <w:rFonts w:ascii="Arial" w:hAnsi="Arial" w:cs="Arial"/>
          <w:sz w:val="28"/>
        </w:rPr>
        <w:t>1</w:t>
      </w:r>
      <w:r>
        <w:rPr>
          <w:rFonts w:ascii="Arial" w:hAnsi="Arial" w:cs="Arial"/>
          <w:sz w:val="28"/>
        </w:rPr>
        <w:t>s</w:t>
      </w:r>
      <w:r w:rsidR="005A37B7">
        <w:rPr>
          <w:rFonts w:ascii="Arial" w:hAnsi="Arial" w:cs="Arial"/>
          <w:sz w:val="28"/>
        </w:rPr>
        <w:t>t</w:t>
      </w:r>
      <w:r w:rsidR="005A37B7" w:rsidRPr="00795544">
        <w:rPr>
          <w:rFonts w:ascii="Arial" w:hAnsi="Arial" w:cs="Arial"/>
          <w:sz w:val="28"/>
        </w:rPr>
        <w:t xml:space="preserve"> </w:t>
      </w:r>
      <w:r>
        <w:rPr>
          <w:rFonts w:ascii="Arial" w:hAnsi="Arial" w:cs="Arial"/>
          <w:sz w:val="28"/>
        </w:rPr>
        <w:t>February</w:t>
      </w:r>
      <w:r w:rsidR="005A37B7" w:rsidRPr="00795544">
        <w:rPr>
          <w:rFonts w:ascii="Arial" w:hAnsi="Arial" w:cs="Arial"/>
          <w:sz w:val="28"/>
        </w:rPr>
        <w:t xml:space="preserve"> </w:t>
      </w:r>
      <w:r w:rsidR="005A37B7" w:rsidRPr="00034F99">
        <w:rPr>
          <w:rFonts w:ascii="Arial" w:hAnsi="Arial" w:cs="Arial"/>
          <w:sz w:val="28"/>
        </w:rPr>
        <w:t>202</w:t>
      </w:r>
      <w:r>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72DA33DC"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4845FD">
        <w:rPr>
          <w:rFonts w:ascii="Arial" w:hAnsi="Arial"/>
          <w:b/>
          <w:lang w:val="en-GB"/>
        </w:rPr>
        <w:t>7</w:t>
      </w:r>
      <w:r w:rsidR="0080255D">
        <w:rPr>
          <w:rFonts w:ascii="Arial" w:hAnsi="Arial"/>
          <w:b/>
          <w:lang w:val="en-GB"/>
        </w:rPr>
        <w:t>.</w:t>
      </w:r>
      <w:r w:rsidR="004845FD">
        <w:rPr>
          <w:rFonts w:ascii="Arial" w:hAnsi="Arial"/>
          <w:b/>
          <w:lang w:val="en-GB"/>
        </w:rPr>
        <w:t>13.4</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15CC428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845FD" w:rsidRPr="004845FD">
        <w:rPr>
          <w:rFonts w:ascii="Arial" w:hAnsi="Arial" w:cs="Arial"/>
          <w:b/>
        </w:rPr>
        <w:t>Simplification of BS TRP test methods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1A601C98"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6C7A3F">
        <w:rPr>
          <w:color w:val="000000"/>
          <w:szCs w:val="20"/>
        </w:rPr>
        <w:t>6</w:t>
      </w:r>
      <w:r w:rsidRPr="00DC28D5">
        <w:rPr>
          <w:color w:val="000000"/>
          <w:szCs w:val="20"/>
        </w:rPr>
        <w:t xml:space="preserve"> [1</w:t>
      </w:r>
      <w:r w:rsidR="00D158C5">
        <w:rPr>
          <w:color w:val="000000"/>
          <w:szCs w:val="20"/>
        </w:rPr>
        <w:t>].</w:t>
      </w:r>
      <w:r w:rsidR="00442785" w:rsidRPr="00DC28D5">
        <w:rPr>
          <w:color w:val="000000"/>
          <w:szCs w:val="20"/>
        </w:rPr>
        <w:t xml:space="preserve"> </w:t>
      </w:r>
      <w:r w:rsidR="007B348B">
        <w:rPr>
          <w:color w:val="000000"/>
          <w:szCs w:val="20"/>
        </w:rPr>
        <w:t>T</w:t>
      </w:r>
      <w:r w:rsidR="00DC28D5" w:rsidRPr="00DC28D5">
        <w:rPr>
          <w:color w:val="000000"/>
          <w:szCs w:val="20"/>
        </w:rPr>
        <w:t xml:space="preserve">he </w:t>
      </w:r>
      <w:r w:rsidR="009C7F0F">
        <w:rPr>
          <w:color w:val="000000"/>
          <w:szCs w:val="20"/>
        </w:rPr>
        <w:t xml:space="preserve">objective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7B348B">
        <w:rPr>
          <w:color w:val="000000"/>
          <w:szCs w:val="20"/>
        </w:rPr>
        <w:t>on s</w:t>
      </w:r>
      <w:r w:rsidR="007B348B" w:rsidRPr="007B348B">
        <w:rPr>
          <w:color w:val="000000"/>
          <w:szCs w:val="20"/>
        </w:rPr>
        <w:t xml:space="preserve">implification of BS TRP test methods </w:t>
      </w:r>
      <w:r w:rsidR="00DC28D5" w:rsidRPr="00DC28D5">
        <w:rPr>
          <w:color w:val="000000"/>
          <w:szCs w:val="20"/>
        </w:rPr>
        <w:t>is</w:t>
      </w:r>
      <w:r w:rsidR="007B348B">
        <w:rPr>
          <w:color w:val="000000"/>
          <w:szCs w:val="20"/>
        </w:rPr>
        <w:t xml:space="preserve"> revised as follow</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17C0DE10" w14:textId="0BD627F7" w:rsidR="00ED28B9" w:rsidRPr="00ED28B9" w:rsidRDefault="007B348B" w:rsidP="006C7A3F">
            <w:pPr>
              <w:numPr>
                <w:ilvl w:val="0"/>
                <w:numId w:val="25"/>
              </w:numPr>
              <w:overflowPunct w:val="0"/>
              <w:autoSpaceDE w:val="0"/>
              <w:autoSpaceDN w:val="0"/>
              <w:adjustRightInd w:val="0"/>
              <w:spacing w:after="180" w:line="360" w:lineRule="auto"/>
              <w:textAlignment w:val="baseline"/>
              <w:rPr>
                <w:lang w:eastAsia="zh-CN"/>
              </w:rPr>
            </w:pPr>
            <w:r>
              <w:t>TRP simplification:</w:t>
            </w:r>
            <w:r>
              <w:rPr>
                <w:rFonts w:eastAsia="SimSun" w:hint="eastAsia"/>
                <w:lang w:eastAsia="zh-CN"/>
              </w:rPr>
              <w:t xml:space="preserve"> S</w:t>
            </w:r>
            <w:r>
              <w:t>implify BS TRP estimation methods</w:t>
            </w:r>
            <w:r>
              <w:rPr>
                <w:rFonts w:eastAsia="SimSun" w:hint="eastAsia"/>
                <w:lang w:eastAsia="zh-CN"/>
              </w:rPr>
              <w:t xml:space="preserve"> (</w:t>
            </w:r>
            <w:r>
              <w:t xml:space="preserve">e.g. Annex </w:t>
            </w:r>
            <w:r w:rsidRPr="007B348B">
              <w:rPr>
                <w:rFonts w:eastAsia="SimSun" w:hint="eastAsia"/>
                <w:lang w:eastAsia="zh-CN"/>
              </w:rPr>
              <w:t>I in TS 38.141-2</w:t>
            </w:r>
            <w:r w:rsidRPr="007B348B">
              <w:rPr>
                <w:rFonts w:eastAsia="SimSun"/>
                <w:lang w:eastAsia="zh-CN"/>
              </w:rPr>
              <w:t xml:space="preserve"> on </w:t>
            </w:r>
            <w:r>
              <w:t>TRP measurement procedures</w:t>
            </w:r>
            <w:r>
              <w:rPr>
                <w:rFonts w:eastAsia="SimSun" w:hint="eastAsia"/>
                <w:lang w:eastAsia="zh-CN"/>
              </w:rPr>
              <w:t>)</w:t>
            </w:r>
            <w:r>
              <w:t xml:space="preserve"> for FR1 and FR2 by improving the</w:t>
            </w:r>
            <w:r>
              <w:rPr>
                <w:rFonts w:eastAsia="SimSun" w:hint="eastAsia"/>
                <w:lang w:eastAsia="zh-CN"/>
              </w:rPr>
              <w:t>ir</w:t>
            </w:r>
            <w:r>
              <w:t xml:space="preserve"> applicability</w:t>
            </w:r>
            <w:r>
              <w:rPr>
                <w:rFonts w:eastAsia="SimSun" w:hint="eastAsia"/>
                <w:lang w:eastAsia="zh-CN"/>
              </w:rPr>
              <w:t xml:space="preserve"> and description</w:t>
            </w:r>
            <w:r>
              <w:t xml:space="preserve"> and not removing any of the existing TRP test methods.</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0DDEE6B5" w:rsidR="006635B6" w:rsidRDefault="007B348B" w:rsidP="006635B6">
      <w:pPr>
        <w:pStyle w:val="BodyText"/>
        <w:snapToGrid w:val="0"/>
        <w:rPr>
          <w:rFonts w:eastAsia="SimSun"/>
          <w:szCs w:val="20"/>
          <w:lang w:val="en-GB" w:eastAsia="zh-CN"/>
        </w:rPr>
      </w:pPr>
      <w:r>
        <w:rPr>
          <w:color w:val="000000"/>
          <w:szCs w:val="20"/>
        </w:rPr>
        <w:t xml:space="preserve">This topic was discussed at TSG RAN4#113 [2] and the WF was agreed [3]. </w:t>
      </w:r>
      <w:r w:rsidR="006635B6" w:rsidRPr="00DC28D5">
        <w:rPr>
          <w:color w:val="000000"/>
          <w:szCs w:val="20"/>
        </w:rPr>
        <w:t xml:space="preserve">This </w:t>
      </w:r>
      <w:r w:rsidR="006635B6">
        <w:rPr>
          <w:color w:val="000000"/>
          <w:szCs w:val="20"/>
        </w:rPr>
        <w:t>contribution provides proposal</w:t>
      </w:r>
      <w:r>
        <w:rPr>
          <w:color w:val="000000"/>
          <w:szCs w:val="20"/>
        </w:rPr>
        <w:t>s</w:t>
      </w:r>
      <w:r w:rsidR="006635B6">
        <w:rPr>
          <w:color w:val="000000"/>
          <w:szCs w:val="20"/>
        </w:rPr>
        <w:t xml:space="preserve"> to </w:t>
      </w:r>
      <w:r>
        <w:rPr>
          <w:color w:val="000000"/>
          <w:szCs w:val="20"/>
        </w:rPr>
        <w:t>progress this topic</w:t>
      </w:r>
      <w:r w:rsidR="006635B6">
        <w:rPr>
          <w:color w:val="000000"/>
          <w:szCs w:val="20"/>
        </w:rPr>
        <w:t xml:space="preser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715CA013" w14:textId="0A1D84CF" w:rsidR="005D1FA3" w:rsidRDefault="0006576C" w:rsidP="00DC28D5">
      <w:pPr>
        <w:pStyle w:val="BodyText"/>
        <w:snapToGrid w:val="0"/>
        <w:rPr>
          <w:lang w:eastAsia="zh-CN"/>
        </w:rPr>
      </w:pPr>
      <w:r>
        <w:rPr>
          <w:color w:val="000000"/>
          <w:szCs w:val="20"/>
        </w:rPr>
        <w:t xml:space="preserve">As discussed in [4], </w:t>
      </w:r>
      <w:r w:rsidR="005D1FA3">
        <w:rPr>
          <w:color w:val="000000"/>
          <w:szCs w:val="20"/>
        </w:rPr>
        <w:t>work</w:t>
      </w:r>
      <w:r>
        <w:rPr>
          <w:color w:val="000000"/>
          <w:szCs w:val="20"/>
        </w:rPr>
        <w:t xml:space="preserve"> related to this topic is also being performed in </w:t>
      </w:r>
      <w:r w:rsidRPr="003E5AF8">
        <w:rPr>
          <w:lang w:eastAsia="zh-CN"/>
        </w:rPr>
        <w:t xml:space="preserve">ETSI ERM </w:t>
      </w:r>
      <w:r>
        <w:rPr>
          <w:lang w:eastAsia="zh-CN"/>
        </w:rPr>
        <w:t>WG</w:t>
      </w:r>
      <w:r w:rsidRPr="003E5AF8">
        <w:rPr>
          <w:lang w:eastAsia="zh-CN"/>
        </w:rPr>
        <w:t xml:space="preserve">RM </w:t>
      </w:r>
      <w:r w:rsidRPr="003E5AF8">
        <w:t xml:space="preserve">with </w:t>
      </w:r>
      <w:r>
        <w:t xml:space="preserve">the </w:t>
      </w:r>
      <w:r w:rsidRPr="003E5AF8">
        <w:t xml:space="preserve">findings </w:t>
      </w:r>
      <w:r>
        <w:t>being</w:t>
      </w:r>
      <w:r w:rsidRPr="003E5AF8">
        <w:t xml:space="preserve"> captured </w:t>
      </w:r>
      <w:r w:rsidRPr="00D46721">
        <w:t xml:space="preserve">in the ETSI TR </w:t>
      </w:r>
      <w:r w:rsidRPr="00D46721">
        <w:rPr>
          <w:lang w:eastAsia="zh-CN"/>
        </w:rPr>
        <w:t>103 974 [</w:t>
      </w:r>
      <w:r>
        <w:rPr>
          <w:lang w:eastAsia="zh-CN"/>
        </w:rPr>
        <w:t>5</w:t>
      </w:r>
      <w:r w:rsidRPr="00D46721">
        <w:rPr>
          <w:lang w:eastAsia="zh-CN"/>
        </w:rPr>
        <w:t>]</w:t>
      </w:r>
      <w:r>
        <w:rPr>
          <w:lang w:eastAsia="zh-CN"/>
        </w:rPr>
        <w:t xml:space="preserve">. </w:t>
      </w:r>
      <w:r w:rsidR="005D1FA3">
        <w:rPr>
          <w:lang w:eastAsia="zh-CN"/>
        </w:rPr>
        <w:t xml:space="preserve">As stated in [5], this work was initiated by a letter </w:t>
      </w:r>
      <w:r w:rsidR="005D1FA3" w:rsidRPr="005D1FA3">
        <w:rPr>
          <w:lang w:eastAsia="zh-CN"/>
        </w:rPr>
        <w:t>from the European Commission, Directorate for Internal market, Entrepreneurship and SMEs</w:t>
      </w:r>
      <w:r w:rsidR="005D1FA3">
        <w:rPr>
          <w:lang w:eastAsia="zh-CN"/>
        </w:rPr>
        <w:t>, in which it is stated [5, Annex A]:</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7005FF12" w14:textId="2E482837" w:rsidR="005D1FA3" w:rsidRDefault="005D1FA3" w:rsidP="00DC28D5">
            <w:pPr>
              <w:pStyle w:val="BodyText"/>
              <w:snapToGrid w:val="0"/>
              <w:rPr>
                <w:lang w:eastAsia="zh-CN"/>
              </w:rPr>
            </w:pPr>
            <w:r>
              <w:t xml:space="preserve">Regarding the presence of alternative testing methods, as indicated in the last radio equipment expert group, in general, the one testing method for each requirement is the preferred option. However, there can be cases where </w:t>
            </w:r>
            <w:proofErr w:type="gramStart"/>
            <w:r>
              <w:t>in order to</w:t>
            </w:r>
            <w:proofErr w:type="gramEnd"/>
            <w:r>
              <w:t xml:space="preserve"> foster innovation, or to ensure technological neutrality, two or more methods are proposed by European Standardisation Organisations. In these circumstances, it is important to get assurances that the various methods proposed are equivalent in terms of accuracy and reproducibility and reflect the state of the art. This is important to ensure that the different methods lead to comparable test results for establishing compliance. In this context, the Commission may undertake studies to assess if the various methods proposed meet these criteria and draw the necessary consequences.</w:t>
            </w:r>
          </w:p>
        </w:tc>
      </w:tr>
    </w:tbl>
    <w:p w14:paraId="0C97C15B" w14:textId="77777777" w:rsidR="005D1FA3" w:rsidRDefault="005D1FA3" w:rsidP="00DC28D5">
      <w:pPr>
        <w:pStyle w:val="BodyText"/>
        <w:snapToGrid w:val="0"/>
        <w:rPr>
          <w:lang w:eastAsia="zh-CN"/>
        </w:rPr>
      </w:pPr>
    </w:p>
    <w:p w14:paraId="4C615A3B" w14:textId="222816C0" w:rsidR="005D1FA3" w:rsidRDefault="005D1FA3" w:rsidP="00DC28D5">
      <w:pPr>
        <w:pStyle w:val="BodyText"/>
        <w:snapToGrid w:val="0"/>
        <w:rPr>
          <w:lang w:eastAsia="zh-CN"/>
        </w:rPr>
      </w:pPr>
      <w:r>
        <w:rPr>
          <w:lang w:eastAsia="zh-CN"/>
        </w:rPr>
        <w:t xml:space="preserve">Consequently, the objective of this work in </w:t>
      </w:r>
      <w:r w:rsidRPr="003E5AF8">
        <w:rPr>
          <w:lang w:eastAsia="zh-CN"/>
        </w:rPr>
        <w:t xml:space="preserve">ETSI ERM </w:t>
      </w:r>
      <w:r>
        <w:rPr>
          <w:lang w:eastAsia="zh-CN"/>
        </w:rPr>
        <w:t>WG</w:t>
      </w:r>
      <w:r w:rsidRPr="003E5AF8">
        <w:rPr>
          <w:lang w:eastAsia="zh-CN"/>
        </w:rPr>
        <w:t>RM</w:t>
      </w:r>
      <w:r>
        <w:rPr>
          <w:lang w:eastAsia="zh-CN"/>
        </w:rPr>
        <w:t xml:space="preserve"> is stated as follows [5]:</w:t>
      </w:r>
    </w:p>
    <w:tbl>
      <w:tblPr>
        <w:tblStyle w:val="TableGrid"/>
        <w:tblW w:w="0" w:type="auto"/>
        <w:tblLook w:val="04A0" w:firstRow="1" w:lastRow="0" w:firstColumn="1" w:lastColumn="0" w:noHBand="0" w:noVBand="1"/>
      </w:tblPr>
      <w:tblGrid>
        <w:gridCol w:w="9062"/>
      </w:tblGrid>
      <w:tr w:rsidR="005D1FA3" w14:paraId="47417DB8" w14:textId="77777777" w:rsidTr="005D1FA3">
        <w:tc>
          <w:tcPr>
            <w:tcW w:w="9062" w:type="dxa"/>
          </w:tcPr>
          <w:p w14:paraId="182B1140" w14:textId="1679F93F" w:rsidR="005D1FA3" w:rsidRPr="008B63D2" w:rsidRDefault="005D1FA3" w:rsidP="008B63D2">
            <w:pPr>
              <w:rPr>
                <w:i/>
                <w:iCs/>
              </w:rPr>
            </w:pPr>
            <w:r>
              <w:t xml:space="preserve">To investigate the impact of this letter on the work in ETSI, </w:t>
            </w:r>
            <w:r w:rsidRPr="00494AE8">
              <w:rPr>
                <w:i/>
                <w:iCs/>
              </w:rPr>
              <w:t>this Technical Report will provide a discussion on the conditions for harmonised standards to offer different test methods for one requirement, with the focus on typical radio parameters. One question to be answered is for example, how to ensure equivalent results of a radiated power measurement on different test sites (FAR, SAR, OATS).</w:t>
            </w:r>
          </w:p>
        </w:tc>
      </w:tr>
    </w:tbl>
    <w:p w14:paraId="777CFF17" w14:textId="77777777" w:rsidR="005D1FA3" w:rsidRDefault="005D1FA3" w:rsidP="00DC28D5">
      <w:pPr>
        <w:pStyle w:val="BodyText"/>
        <w:snapToGrid w:val="0"/>
        <w:rPr>
          <w:lang w:eastAsia="zh-CN"/>
        </w:rPr>
      </w:pPr>
    </w:p>
    <w:p w14:paraId="5A0B8495" w14:textId="611462F6" w:rsidR="008B63D2" w:rsidRDefault="008B63D2" w:rsidP="00DC28D5">
      <w:pPr>
        <w:pStyle w:val="BodyText"/>
        <w:snapToGrid w:val="0"/>
        <w:rPr>
          <w:lang w:eastAsia="zh-CN"/>
        </w:rPr>
      </w:pPr>
      <w:r>
        <w:rPr>
          <w:lang w:eastAsia="zh-CN"/>
        </w:rPr>
        <w:t>The</w:t>
      </w:r>
      <w:r w:rsidRPr="005D1FA3">
        <w:rPr>
          <w:lang w:eastAsia="zh-CN"/>
        </w:rPr>
        <w:t xml:space="preserve"> European Commission, Directorate for Internal market, Entrepreneurship and SMEs</w:t>
      </w:r>
      <w:r>
        <w:rPr>
          <w:lang w:eastAsia="zh-CN"/>
        </w:rPr>
        <w:t xml:space="preserve"> acknowledged in the letter that two or more methods can be proposed to foster innovation or to ensure technological neutrality. </w:t>
      </w:r>
      <w:r w:rsidR="004D665D">
        <w:rPr>
          <w:lang w:eastAsia="zh-CN"/>
        </w:rPr>
        <w:t xml:space="preserve">Test sites should be allowed to select among different test methods for each test, provided that the different test methods are equivalent in term of accuracy and </w:t>
      </w:r>
      <w:r w:rsidR="004D665D">
        <w:t>reproducibility and reflect the state of the art</w:t>
      </w:r>
      <w:r w:rsidR="004D665D">
        <w:rPr>
          <w:lang w:eastAsia="zh-CN"/>
        </w:rPr>
        <w:t xml:space="preserve">. </w:t>
      </w:r>
      <w:r>
        <w:rPr>
          <w:lang w:eastAsia="zh-CN"/>
        </w:rPr>
        <w:t>Therefore, it is proposed th</w:t>
      </w:r>
      <w:r w:rsidR="00DD5B41">
        <w:rPr>
          <w:lang w:eastAsia="zh-CN"/>
        </w:rPr>
        <w:t>at</w:t>
      </w:r>
      <w:r>
        <w:rPr>
          <w:lang w:eastAsia="zh-CN"/>
        </w:rPr>
        <w:t xml:space="preserve"> RAN4 work should not be aimed to limit to one test method for each requirement, since this may not foster innovation or ensure technological neutrality as all </w:t>
      </w:r>
      <w:r w:rsidR="00DD5B41">
        <w:rPr>
          <w:lang w:eastAsia="zh-CN"/>
        </w:rPr>
        <w:t>test sites</w:t>
      </w:r>
      <w:r>
        <w:rPr>
          <w:lang w:eastAsia="zh-CN"/>
        </w:rPr>
        <w:t xml:space="preserve"> will be mandated to use the same test method.</w:t>
      </w:r>
    </w:p>
    <w:p w14:paraId="5874C1BB" w14:textId="2D4F5A89" w:rsidR="00DD5B41" w:rsidRDefault="00DD5B41" w:rsidP="00DC28D5">
      <w:pPr>
        <w:pStyle w:val="BodyText"/>
        <w:snapToGrid w:val="0"/>
        <w:rPr>
          <w:lang w:eastAsia="zh-CN"/>
        </w:rPr>
      </w:pPr>
      <w:r>
        <w:rPr>
          <w:lang w:eastAsia="zh-CN"/>
        </w:rPr>
        <w:t xml:space="preserve">On the other hand, both and </w:t>
      </w:r>
      <w:r w:rsidRPr="003E5AF8">
        <w:rPr>
          <w:lang w:eastAsia="zh-CN"/>
        </w:rPr>
        <w:t xml:space="preserve">ETSI ERM </w:t>
      </w:r>
      <w:r>
        <w:rPr>
          <w:lang w:eastAsia="zh-CN"/>
        </w:rPr>
        <w:t>WG</w:t>
      </w:r>
      <w:r w:rsidRPr="003E5AF8">
        <w:rPr>
          <w:lang w:eastAsia="zh-CN"/>
        </w:rPr>
        <w:t>RM</w:t>
      </w:r>
      <w:r>
        <w:rPr>
          <w:lang w:eastAsia="zh-CN"/>
        </w:rPr>
        <w:t xml:space="preserve"> and the</w:t>
      </w:r>
      <w:r w:rsidRPr="005D1FA3">
        <w:rPr>
          <w:lang w:eastAsia="zh-CN"/>
        </w:rPr>
        <w:t xml:space="preserve"> European Commission, Directorate for Internal market, Entrepreneurship and SMEs</w:t>
      </w:r>
      <w:r>
        <w:rPr>
          <w:lang w:eastAsia="zh-CN"/>
        </w:rPr>
        <w:t xml:space="preserve"> emphasized the importance to </w:t>
      </w:r>
      <w:r>
        <w:t>ensure that the different test methods allowed for each requirement lead to comparable/equivalent test results</w:t>
      </w:r>
      <w:r w:rsidRPr="00DD5B41">
        <w:t xml:space="preserve"> </w:t>
      </w:r>
      <w:r>
        <w:t xml:space="preserve">for establishing compliance. Therefore, it is proposed that RAN4 work should be aimed to ensure that the different test methods </w:t>
      </w:r>
      <w:r w:rsidR="004D665D">
        <w:t>applicable to</w:t>
      </w:r>
      <w:r>
        <w:t xml:space="preserve"> each requirement lead to </w:t>
      </w:r>
      <w:r>
        <w:lastRenderedPageBreak/>
        <w:t>comparable/equivalent test results, by improving the</w:t>
      </w:r>
      <w:r>
        <w:rPr>
          <w:rFonts w:eastAsia="SimSun" w:hint="eastAsia"/>
          <w:lang w:eastAsia="zh-CN"/>
        </w:rPr>
        <w:t>ir</w:t>
      </w:r>
      <w:r>
        <w:t xml:space="preserve"> applicability</w:t>
      </w:r>
      <w:r>
        <w:rPr>
          <w:rFonts w:eastAsia="SimSun" w:hint="eastAsia"/>
          <w:lang w:eastAsia="zh-CN"/>
        </w:rPr>
        <w:t xml:space="preserve"> and description</w:t>
      </w:r>
      <w:r>
        <w:rPr>
          <w:rFonts w:eastAsia="SimSun"/>
          <w:lang w:eastAsia="zh-CN"/>
        </w:rPr>
        <w:t xml:space="preserve"> in TR 37.941</w:t>
      </w:r>
      <w:r w:rsidR="00D63B46">
        <w:rPr>
          <w:rFonts w:eastAsia="SimSun"/>
          <w:lang w:eastAsia="zh-CN"/>
        </w:rPr>
        <w:t xml:space="preserve"> [6] and corresponding test specifications</w:t>
      </w:r>
      <w:r>
        <w:rPr>
          <w:rFonts w:eastAsia="SimSun"/>
          <w:lang w:eastAsia="zh-CN"/>
        </w:rPr>
        <w:t>.</w:t>
      </w:r>
    </w:p>
    <w:p w14:paraId="600A0CD0" w14:textId="65ABEAB6" w:rsidR="00DC28D5" w:rsidRDefault="00D63B46" w:rsidP="00DC28D5">
      <w:pPr>
        <w:pStyle w:val="BodyText"/>
        <w:snapToGrid w:val="0"/>
        <w:rPr>
          <w:rFonts w:eastAsia="SimSun"/>
          <w:szCs w:val="20"/>
          <w:lang w:val="en-GB" w:eastAsia="zh-CN"/>
        </w:rPr>
      </w:pPr>
      <w:r>
        <w:rPr>
          <w:lang w:eastAsia="zh-CN"/>
        </w:rPr>
        <w:t xml:space="preserve">Moreover, the test requirements for establishing compliance are calculated as the core requirements plus the test tolerances, and the test tolerances are </w:t>
      </w:r>
      <w:r w:rsidR="003D13E1">
        <w:rPr>
          <w:lang w:eastAsia="zh-CN"/>
        </w:rPr>
        <w:t xml:space="preserve">individually determined for each </w:t>
      </w:r>
      <w:r w:rsidR="004D665D">
        <w:rPr>
          <w:lang w:eastAsia="zh-CN"/>
        </w:rPr>
        <w:t>requirement</w:t>
      </w:r>
      <w:r w:rsidR="003D13E1">
        <w:rPr>
          <w:lang w:eastAsia="zh-CN"/>
        </w:rPr>
        <w:t xml:space="preserve"> </w:t>
      </w:r>
      <w:r w:rsidR="004D665D">
        <w:rPr>
          <w:lang w:eastAsia="zh-CN"/>
        </w:rPr>
        <w:t>considering the regulatory requirements (tests for regulatory requirements have 0 dB test tolerance)</w:t>
      </w:r>
      <w:r w:rsidR="003D13E1">
        <w:rPr>
          <w:lang w:eastAsia="zh-CN"/>
        </w:rPr>
        <w:t xml:space="preserve"> </w:t>
      </w:r>
      <w:r w:rsidR="004D665D">
        <w:rPr>
          <w:lang w:eastAsia="zh-CN"/>
        </w:rPr>
        <w:t xml:space="preserve">and </w:t>
      </w:r>
      <w:r w:rsidR="003D13E1">
        <w:rPr>
          <w:lang w:eastAsia="zh-CN"/>
        </w:rPr>
        <w:t xml:space="preserve">the </w:t>
      </w:r>
      <w:r w:rsidR="007A0EA8">
        <w:rPr>
          <w:lang w:eastAsia="zh-CN"/>
        </w:rPr>
        <w:t xml:space="preserve">allowed </w:t>
      </w:r>
      <w:r w:rsidR="003D13E1">
        <w:rPr>
          <w:lang w:eastAsia="zh-CN"/>
        </w:rPr>
        <w:t>measurement uncertainties for the different test methods</w:t>
      </w:r>
      <w:r w:rsidR="00F86605">
        <w:t>.</w:t>
      </w:r>
      <w:r w:rsidR="003D13E1">
        <w:t xml:space="preserve"> </w:t>
      </w:r>
      <w:r w:rsidR="004074B6">
        <w:rPr>
          <w:lang w:eastAsia="zh-CN"/>
        </w:rPr>
        <w:t>Note that</w:t>
      </w:r>
      <w:r w:rsidR="007A0EA8">
        <w:rPr>
          <w:lang w:eastAsia="zh-CN"/>
        </w:rPr>
        <w:t xml:space="preserve"> the actual measurement uncertaint</w:t>
      </w:r>
      <w:r w:rsidR="004074B6">
        <w:rPr>
          <w:lang w:eastAsia="zh-CN"/>
        </w:rPr>
        <w:t>y</w:t>
      </w:r>
      <w:r w:rsidR="007A0EA8">
        <w:rPr>
          <w:lang w:eastAsia="zh-CN"/>
        </w:rPr>
        <w:t xml:space="preserve"> of each test equipment may </w:t>
      </w:r>
      <w:r w:rsidR="004D665D">
        <w:rPr>
          <w:lang w:eastAsia="zh-CN"/>
        </w:rPr>
        <w:t xml:space="preserve">still </w:t>
      </w:r>
      <w:r w:rsidR="007A0EA8">
        <w:rPr>
          <w:lang w:eastAsia="zh-CN"/>
        </w:rPr>
        <w:t xml:space="preserve">be different </w:t>
      </w:r>
      <w:r w:rsidR="004D665D">
        <w:rPr>
          <w:lang w:eastAsia="zh-CN"/>
        </w:rPr>
        <w:t>even for the same</w:t>
      </w:r>
      <w:r w:rsidR="007A0EA8">
        <w:rPr>
          <w:lang w:eastAsia="zh-CN"/>
        </w:rPr>
        <w:t xml:space="preserve"> test method, and test sites should be allowed to </w:t>
      </w:r>
      <w:r w:rsidR="004D665D">
        <w:rPr>
          <w:lang w:eastAsia="zh-CN"/>
        </w:rPr>
        <w:t>select</w:t>
      </w:r>
      <w:r w:rsidR="007A0EA8">
        <w:rPr>
          <w:lang w:eastAsia="zh-CN"/>
        </w:rPr>
        <w:t xml:space="preserve"> different </w:t>
      </w:r>
      <w:r w:rsidR="004074B6">
        <w:rPr>
          <w:lang w:eastAsia="zh-CN"/>
        </w:rPr>
        <w:t xml:space="preserve">test equipment vendors provided that the actual measurement uncertainty is lowered than the allowed one for each </w:t>
      </w:r>
      <w:r w:rsidR="004D665D">
        <w:rPr>
          <w:lang w:eastAsia="zh-CN"/>
        </w:rPr>
        <w:t>test</w:t>
      </w:r>
      <w:r w:rsidR="0083781A">
        <w:rPr>
          <w:lang w:eastAsia="zh-CN"/>
        </w:rPr>
        <w:t xml:space="preserve"> method</w:t>
      </w:r>
      <w:r w:rsidR="004074B6">
        <w:rPr>
          <w:lang w:eastAsia="zh-CN"/>
        </w:rPr>
        <w:t xml:space="preserve">, but the same test requirement shall apply whichever test </w:t>
      </w:r>
      <w:r w:rsidR="0083781A">
        <w:rPr>
          <w:lang w:eastAsia="zh-CN"/>
        </w:rPr>
        <w:t>method\</w:t>
      </w:r>
      <w:r w:rsidR="004074B6">
        <w:rPr>
          <w:lang w:eastAsia="zh-CN"/>
        </w:rPr>
        <w:t xml:space="preserve">equipment is used in the test. </w:t>
      </w:r>
      <w:r w:rsidR="004074B6">
        <w:t xml:space="preserve">Although the allowed </w:t>
      </w:r>
      <w:r w:rsidR="004074B6">
        <w:rPr>
          <w:lang w:eastAsia="zh-CN"/>
        </w:rPr>
        <w:t xml:space="preserve">measurement uncertainties for the test methods are different, and some of them have been revised since they are defined in the earliest releases of </w:t>
      </w:r>
      <w:r w:rsidR="004074B6">
        <w:rPr>
          <w:rFonts w:eastAsia="SimSun"/>
          <w:lang w:eastAsia="zh-CN"/>
        </w:rPr>
        <w:t>TR 37.941</w:t>
      </w:r>
      <w:r w:rsidR="004074B6">
        <w:rPr>
          <w:lang w:eastAsia="zh-CN"/>
        </w:rPr>
        <w:t>, the allowed measurements uncertainties and test tolerances (and hence the test requirements) in the test specifications have not been changed</w:t>
      </w:r>
      <w:r w:rsidR="004074B6" w:rsidRPr="007A0EA8">
        <w:rPr>
          <w:lang w:eastAsia="zh-CN"/>
        </w:rPr>
        <w:t xml:space="preserve"> </w:t>
      </w:r>
      <w:r w:rsidR="004074B6">
        <w:rPr>
          <w:lang w:eastAsia="zh-CN"/>
        </w:rPr>
        <w:t xml:space="preserve">since they are defined in the earliest releases. </w:t>
      </w:r>
      <w:r w:rsidR="003D13E1">
        <w:rPr>
          <w:lang w:eastAsia="zh-CN"/>
        </w:rPr>
        <w:t xml:space="preserve">Therefore, it is proposed that </w:t>
      </w:r>
      <w:r w:rsidR="007A0EA8">
        <w:rPr>
          <w:lang w:eastAsia="zh-CN"/>
        </w:rPr>
        <w:t xml:space="preserve">RAN4 work should not change any </w:t>
      </w:r>
      <w:r w:rsidR="0083781A">
        <w:rPr>
          <w:lang w:eastAsia="zh-CN"/>
        </w:rPr>
        <w:t xml:space="preserve">allowed </w:t>
      </w:r>
      <w:r w:rsidR="007A0EA8">
        <w:rPr>
          <w:lang w:eastAsia="zh-CN"/>
        </w:rPr>
        <w:t>measurements uncertainties and test tolerances (and hence test requirements) defined in the test specifications.</w:t>
      </w:r>
    </w:p>
    <w:p w14:paraId="0406B3BA" w14:textId="77777777" w:rsidR="00555BD5" w:rsidRDefault="00555BD5" w:rsidP="00555BD5">
      <w:pPr>
        <w:pStyle w:val="BodyText"/>
        <w:snapToGrid w:val="0"/>
        <w:rPr>
          <w:rFonts w:eastAsia="SimSun"/>
          <w:szCs w:val="20"/>
          <w:lang w:val="en-GB"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92EF154" w14:textId="54E397CD" w:rsidR="00EA5B26" w:rsidRDefault="002400FE" w:rsidP="002400FE">
      <w:pPr>
        <w:pStyle w:val="BodyText"/>
        <w:snapToGrid w:val="0"/>
        <w:rPr>
          <w:color w:val="000000"/>
          <w:szCs w:val="20"/>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d proposal</w:t>
      </w:r>
      <w:r w:rsidR="007A0EA8">
        <w:rPr>
          <w:color w:val="000000"/>
          <w:szCs w:val="20"/>
        </w:rPr>
        <w:t>s</w:t>
      </w:r>
      <w:r w:rsidR="00F86605">
        <w:rPr>
          <w:color w:val="000000"/>
          <w:szCs w:val="20"/>
        </w:rPr>
        <w:t xml:space="preserve"> to </w:t>
      </w:r>
      <w:r w:rsidR="007A0EA8">
        <w:rPr>
          <w:color w:val="000000"/>
          <w:szCs w:val="20"/>
        </w:rPr>
        <w:t>progress</w:t>
      </w:r>
      <w:r w:rsidR="00F86605">
        <w:rPr>
          <w:color w:val="000000"/>
          <w:szCs w:val="20"/>
        </w:rPr>
        <w:t xml:space="preserve"> the objective of the WI for</w:t>
      </w:r>
      <w:r w:rsidR="00F86605" w:rsidRPr="00F86605">
        <w:rPr>
          <w:lang w:eastAsia="zh-CN"/>
        </w:rPr>
        <w:t xml:space="preserve"> </w:t>
      </w:r>
      <w:r w:rsidR="007A0EA8">
        <w:t>TRP simplification</w:t>
      </w:r>
      <w:r w:rsidR="007A0EA8">
        <w:rPr>
          <w:color w:val="000000"/>
          <w:szCs w:val="20"/>
        </w:rPr>
        <w:t xml:space="preserve"> </w:t>
      </w:r>
      <w:r w:rsidR="00F86605">
        <w:rPr>
          <w:color w:val="000000"/>
          <w:szCs w:val="20"/>
        </w:rPr>
        <w:t>in RAN4.</w:t>
      </w:r>
    </w:p>
    <w:p w14:paraId="59240BBD" w14:textId="77777777" w:rsidR="007A0EA8" w:rsidRPr="00EA5B26" w:rsidRDefault="007A0EA8" w:rsidP="007A0EA8">
      <w:pPr>
        <w:pStyle w:val="BodyText"/>
        <w:snapToGrid w:val="0"/>
        <w:rPr>
          <w:rFonts w:eastAsia="SimSun"/>
          <w:b/>
          <w:bCs/>
          <w:szCs w:val="20"/>
          <w:lang w:val="en-GB" w:eastAsia="zh-CN"/>
        </w:rPr>
      </w:pPr>
      <w:r w:rsidRPr="00EA5B26">
        <w:rPr>
          <w:b/>
          <w:bCs/>
          <w:color w:val="000000"/>
          <w:szCs w:val="20"/>
        </w:rPr>
        <w:t>Proposal</w:t>
      </w:r>
      <w:r>
        <w:rPr>
          <w:b/>
          <w:bCs/>
          <w:color w:val="000000"/>
          <w:szCs w:val="20"/>
        </w:rPr>
        <w:t xml:space="preserve"> 1</w:t>
      </w:r>
      <w:r w:rsidRPr="00EA5B26">
        <w:rPr>
          <w:b/>
          <w:bCs/>
          <w:color w:val="000000"/>
          <w:szCs w:val="20"/>
        </w:rPr>
        <w:t xml:space="preserve">: </w:t>
      </w:r>
      <w:r w:rsidRPr="007A0EA8">
        <w:rPr>
          <w:b/>
          <w:bCs/>
          <w:color w:val="000000"/>
          <w:szCs w:val="20"/>
        </w:rPr>
        <w:t>RAN4 work should not be aimed to limit to one test method for each requirement, since this may not foster innovation or ensure technological neutrality as all test sites will be mandated to use the same test method</w:t>
      </w:r>
      <w:r w:rsidRPr="00EA5B26">
        <w:rPr>
          <w:b/>
          <w:bCs/>
        </w:rPr>
        <w:t>.</w:t>
      </w:r>
    </w:p>
    <w:p w14:paraId="56E3469F" w14:textId="62098B9B" w:rsidR="007A0EA8" w:rsidRPr="00EA5B26" w:rsidRDefault="007A0EA8" w:rsidP="007A0EA8">
      <w:pPr>
        <w:pStyle w:val="BodyText"/>
        <w:snapToGrid w:val="0"/>
        <w:rPr>
          <w:rFonts w:eastAsia="SimSun"/>
          <w:b/>
          <w:bCs/>
          <w:szCs w:val="20"/>
          <w:lang w:val="en-GB" w:eastAsia="zh-CN"/>
        </w:rPr>
      </w:pPr>
      <w:r w:rsidRPr="00EA5B26">
        <w:rPr>
          <w:b/>
          <w:bCs/>
          <w:color w:val="000000"/>
          <w:szCs w:val="20"/>
        </w:rPr>
        <w:t>Proposal</w:t>
      </w:r>
      <w:r>
        <w:rPr>
          <w:b/>
          <w:bCs/>
          <w:color w:val="000000"/>
          <w:szCs w:val="20"/>
        </w:rPr>
        <w:t xml:space="preserve"> 2</w:t>
      </w:r>
      <w:r w:rsidRPr="00EA5B26">
        <w:rPr>
          <w:b/>
          <w:bCs/>
          <w:color w:val="000000"/>
          <w:szCs w:val="20"/>
        </w:rPr>
        <w:t xml:space="preserve">: </w:t>
      </w:r>
      <w:r w:rsidRPr="007A0EA8">
        <w:rPr>
          <w:b/>
          <w:bCs/>
          <w:color w:val="000000"/>
          <w:szCs w:val="20"/>
        </w:rPr>
        <w:t xml:space="preserve">RAN4 work should be aimed to ensure that the different test methods </w:t>
      </w:r>
      <w:r w:rsidR="004D665D">
        <w:rPr>
          <w:b/>
          <w:bCs/>
          <w:color w:val="000000"/>
          <w:szCs w:val="20"/>
        </w:rPr>
        <w:t>applicable to</w:t>
      </w:r>
      <w:r w:rsidRPr="007A0EA8">
        <w:rPr>
          <w:b/>
          <w:bCs/>
          <w:color w:val="000000"/>
          <w:szCs w:val="20"/>
        </w:rPr>
        <w:t xml:space="preserve"> each requirement lead to comparable/equivalent test results, by improving their applicability and description in TR 37.941 and corresponding test specifications</w:t>
      </w:r>
      <w:r w:rsidRPr="00EA5B26">
        <w:rPr>
          <w:b/>
          <w:bCs/>
        </w:rPr>
        <w:t>.</w:t>
      </w:r>
    </w:p>
    <w:p w14:paraId="2C72A8B6" w14:textId="5416A4D5" w:rsidR="002400FE" w:rsidRPr="00EA5B26" w:rsidRDefault="00EA5B26" w:rsidP="002400FE">
      <w:pPr>
        <w:pStyle w:val="BodyText"/>
        <w:snapToGrid w:val="0"/>
        <w:rPr>
          <w:rFonts w:eastAsia="SimSun"/>
          <w:b/>
          <w:bCs/>
          <w:szCs w:val="20"/>
          <w:lang w:val="en-GB" w:eastAsia="zh-CN"/>
        </w:rPr>
      </w:pPr>
      <w:r w:rsidRPr="00EA5B26">
        <w:rPr>
          <w:b/>
          <w:bCs/>
          <w:color w:val="000000"/>
          <w:szCs w:val="20"/>
        </w:rPr>
        <w:t>Proposal</w:t>
      </w:r>
      <w:r w:rsidR="007A0EA8">
        <w:rPr>
          <w:b/>
          <w:bCs/>
          <w:color w:val="000000"/>
          <w:szCs w:val="20"/>
        </w:rPr>
        <w:t xml:space="preserve"> 3</w:t>
      </w:r>
      <w:r w:rsidRPr="00EA5B26">
        <w:rPr>
          <w:b/>
          <w:bCs/>
          <w:color w:val="000000"/>
          <w:szCs w:val="20"/>
        </w:rPr>
        <w:t>:</w:t>
      </w:r>
      <w:r w:rsidR="00F86605" w:rsidRPr="00EA5B26">
        <w:rPr>
          <w:b/>
          <w:bCs/>
          <w:color w:val="000000"/>
          <w:szCs w:val="20"/>
        </w:rPr>
        <w:t xml:space="preserve"> </w:t>
      </w:r>
      <w:r w:rsidR="007A0EA8" w:rsidRPr="007A0EA8">
        <w:rPr>
          <w:b/>
          <w:bCs/>
          <w:color w:val="000000"/>
          <w:szCs w:val="20"/>
        </w:rPr>
        <w:t xml:space="preserve">RAN4 work should not change any </w:t>
      </w:r>
      <w:r w:rsidR="0083781A">
        <w:rPr>
          <w:b/>
          <w:bCs/>
          <w:color w:val="000000"/>
          <w:szCs w:val="20"/>
        </w:rPr>
        <w:t xml:space="preserve">allowed </w:t>
      </w:r>
      <w:r w:rsidR="007A0EA8" w:rsidRPr="007A0EA8">
        <w:rPr>
          <w:b/>
          <w:bCs/>
          <w:color w:val="000000"/>
          <w:szCs w:val="20"/>
        </w:rPr>
        <w:t xml:space="preserve">measurements uncertainties and test tolerances (and hence test requirements) </w:t>
      </w:r>
      <w:r w:rsidR="007A0EA8">
        <w:rPr>
          <w:b/>
          <w:bCs/>
          <w:color w:val="000000"/>
          <w:szCs w:val="20"/>
        </w:rPr>
        <w:t xml:space="preserve">defined </w:t>
      </w:r>
      <w:r w:rsidR="007A0EA8" w:rsidRPr="007A0EA8">
        <w:rPr>
          <w:b/>
          <w:bCs/>
          <w:color w:val="000000"/>
          <w:szCs w:val="20"/>
        </w:rPr>
        <w:t>in the test specifications</w:t>
      </w:r>
      <w:r w:rsidR="002400FE" w:rsidRPr="00EA5B26">
        <w:rPr>
          <w:b/>
          <w:bCs/>
        </w:rPr>
        <w:t>.</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1E42E8C9"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ED28B9">
        <w:rPr>
          <w:szCs w:val="20"/>
        </w:rPr>
        <w:t>4</w:t>
      </w:r>
      <w:r w:rsidR="007B348B">
        <w:rPr>
          <w:szCs w:val="20"/>
        </w:rPr>
        <w:t>3270</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7B348B" w:rsidRPr="007B348B">
        <w:rPr>
          <w:szCs w:val="20"/>
        </w:rPr>
        <w:t>ZTE Corporation,</w:t>
      </w:r>
      <w:r w:rsidR="00C417AA">
        <w:rPr>
          <w:szCs w:val="20"/>
        </w:rPr>
        <w:t xml:space="preserve"> </w:t>
      </w:r>
      <w:r w:rsidR="007B348B" w:rsidRPr="007B348B">
        <w:rPr>
          <w:szCs w:val="20"/>
        </w:rPr>
        <w:t>HiSilicon, Huawei, Ericsson, Nokia, NEC</w:t>
      </w:r>
      <w:r w:rsidRPr="00030788">
        <w:rPr>
          <w:szCs w:val="20"/>
        </w:rPr>
        <w:t>.</w:t>
      </w:r>
    </w:p>
    <w:p w14:paraId="026B6CC1" w14:textId="308CA280" w:rsidR="00E2324E" w:rsidRDefault="00E2324E" w:rsidP="00E2324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41</w:t>
      </w:r>
      <w:r w:rsidR="00C417AA">
        <w:rPr>
          <w:szCs w:val="20"/>
        </w:rPr>
        <w:t>9591</w:t>
      </w:r>
      <w:r w:rsidRPr="00030788">
        <w:rPr>
          <w:szCs w:val="20"/>
        </w:rPr>
        <w:t>, “</w:t>
      </w:r>
      <w:r w:rsidR="00C417AA" w:rsidRPr="00C417AA">
        <w:rPr>
          <w:szCs w:val="20"/>
        </w:rPr>
        <w:t>Topic summary for [113][304] NR_BS_RF_Part3_OTA_TRP</w:t>
      </w:r>
      <w:r w:rsidRPr="00030788">
        <w:rPr>
          <w:szCs w:val="20"/>
        </w:rPr>
        <w:t xml:space="preserve">”, </w:t>
      </w:r>
      <w:r w:rsidRPr="00E2324E">
        <w:rPr>
          <w:szCs w:val="20"/>
        </w:rPr>
        <w:t>ZTE</w:t>
      </w:r>
      <w:r w:rsidRPr="00030788">
        <w:rPr>
          <w:szCs w:val="20"/>
        </w:rPr>
        <w:t>.</w:t>
      </w:r>
    </w:p>
    <w:p w14:paraId="4B35A95D" w14:textId="74EFCC06" w:rsidR="00E2324E" w:rsidRDefault="00E2324E" w:rsidP="00E2324E">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41</w:t>
      </w:r>
      <w:r w:rsidR="00C417AA">
        <w:rPr>
          <w:szCs w:val="20"/>
        </w:rPr>
        <w:t>9828</w:t>
      </w:r>
      <w:r w:rsidRPr="00030788">
        <w:rPr>
          <w:szCs w:val="20"/>
        </w:rPr>
        <w:t>, “</w:t>
      </w:r>
      <w:r w:rsidR="00C417AA" w:rsidRPr="00C417AA">
        <w:rPr>
          <w:szCs w:val="20"/>
        </w:rPr>
        <w:t>Way Forward for [113][304] NR_BS_RF_Part3_OTA_TRP</w:t>
      </w:r>
      <w:r w:rsidRPr="00030788">
        <w:rPr>
          <w:szCs w:val="20"/>
        </w:rPr>
        <w:t xml:space="preserve">”, </w:t>
      </w:r>
      <w:r w:rsidR="00C417AA" w:rsidRPr="007B348B">
        <w:rPr>
          <w:szCs w:val="20"/>
        </w:rPr>
        <w:t>ZTE Corporation</w:t>
      </w:r>
      <w:r w:rsidRPr="00030788">
        <w:rPr>
          <w:szCs w:val="20"/>
        </w:rPr>
        <w:t>.</w:t>
      </w:r>
    </w:p>
    <w:p w14:paraId="64AF1EE3" w14:textId="58861852" w:rsidR="00E2324E" w:rsidRDefault="00E2324E" w:rsidP="00E2324E">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41</w:t>
      </w:r>
      <w:r w:rsidR="0006576C">
        <w:rPr>
          <w:szCs w:val="20"/>
        </w:rPr>
        <w:t>9678</w:t>
      </w:r>
      <w:r w:rsidRPr="00030788">
        <w:rPr>
          <w:szCs w:val="20"/>
        </w:rPr>
        <w:t>, “</w:t>
      </w:r>
      <w:r w:rsidR="0006576C" w:rsidRPr="0006576C">
        <w:rPr>
          <w:szCs w:val="20"/>
        </w:rPr>
        <w:t>Discussion on potential simplification of BS TRP test methods</w:t>
      </w:r>
      <w:r w:rsidRPr="00030788">
        <w:rPr>
          <w:szCs w:val="20"/>
        </w:rPr>
        <w:t xml:space="preserve">”, </w:t>
      </w:r>
      <w:r w:rsidR="0006576C" w:rsidRPr="00277814">
        <w:rPr>
          <w:szCs w:val="20"/>
        </w:rPr>
        <w:t>Huawei, HiSilicon</w:t>
      </w:r>
      <w:r w:rsidRPr="00030788">
        <w:rPr>
          <w:szCs w:val="20"/>
        </w:rPr>
        <w:t>.</w:t>
      </w:r>
    </w:p>
    <w:p w14:paraId="2D40DCF5" w14:textId="143D38CB" w:rsidR="00E2324E" w:rsidRDefault="00E2324E" w:rsidP="00E2324E">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r>
      <w:r w:rsidR="0006576C" w:rsidRPr="00397F38">
        <w:t xml:space="preserve">ETSI TR </w:t>
      </w:r>
      <w:r w:rsidR="0006576C" w:rsidRPr="00111D69">
        <w:t>103 974</w:t>
      </w:r>
      <w:r w:rsidR="00BF43BD" w:rsidRPr="00BF43BD">
        <w:t xml:space="preserve"> </w:t>
      </w:r>
      <w:r w:rsidR="00BF43BD" w:rsidRPr="00B27937">
        <w:t>v</w:t>
      </w:r>
      <w:r w:rsidR="00BF43BD">
        <w:t>0</w:t>
      </w:r>
      <w:r w:rsidR="00BF43BD" w:rsidRPr="00B27937">
        <w:t>.</w:t>
      </w:r>
      <w:r w:rsidR="00BF43BD">
        <w:t>0.4</w:t>
      </w:r>
      <w:r w:rsidR="00BF43BD" w:rsidRPr="00B27937">
        <w:t>:</w:t>
      </w:r>
      <w:r w:rsidR="0006576C" w:rsidRPr="00111D69">
        <w:t xml:space="preserve"> </w:t>
      </w:r>
      <w:r w:rsidR="00BF43BD">
        <w:t>“</w:t>
      </w:r>
      <w:r w:rsidR="0006576C" w:rsidRPr="00111D69">
        <w:t>On the equivalence of measurement results with different test methods, v.0.0.4</w:t>
      </w:r>
      <w:r w:rsidR="00BF43BD">
        <w:t>”.</w:t>
      </w:r>
    </w:p>
    <w:p w14:paraId="19E5C22E" w14:textId="77777777" w:rsidR="004074B6" w:rsidRDefault="004074B6" w:rsidP="00E2324E">
      <w:pPr>
        <w:tabs>
          <w:tab w:val="center" w:pos="4153"/>
          <w:tab w:val="right" w:pos="8306"/>
        </w:tabs>
        <w:ind w:left="567" w:hanging="567"/>
        <w:rPr>
          <w:szCs w:val="20"/>
        </w:rPr>
      </w:pPr>
    </w:p>
    <w:sectPr w:rsidR="004074B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BE648" w14:textId="77777777" w:rsidR="008F7DDB" w:rsidRPr="004E3B67" w:rsidRDefault="008F7DDB" w:rsidP="00DA44AD">
      <w:pPr>
        <w:rPr>
          <w:rFonts w:eastAsia="SimSun" w:cs="Arial"/>
          <w:color w:val="0000FF"/>
          <w:kern w:val="2"/>
          <w:lang w:eastAsia="zh-CN"/>
        </w:rPr>
      </w:pPr>
      <w:r>
        <w:separator/>
      </w:r>
    </w:p>
  </w:endnote>
  <w:endnote w:type="continuationSeparator" w:id="0">
    <w:p w14:paraId="6201FDD3" w14:textId="77777777" w:rsidR="008F7DDB" w:rsidRPr="004E3B67" w:rsidRDefault="008F7DD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631F3" w14:textId="77777777" w:rsidR="008F7DDB" w:rsidRPr="004E3B67" w:rsidRDefault="008F7DDB" w:rsidP="00DA44AD">
      <w:pPr>
        <w:rPr>
          <w:rFonts w:eastAsia="SimSun" w:cs="Arial"/>
          <w:color w:val="0000FF"/>
          <w:kern w:val="2"/>
          <w:lang w:eastAsia="zh-CN"/>
        </w:rPr>
      </w:pPr>
      <w:r>
        <w:separator/>
      </w:r>
    </w:p>
  </w:footnote>
  <w:footnote w:type="continuationSeparator" w:id="0">
    <w:p w14:paraId="594FD7E1" w14:textId="77777777" w:rsidR="008F7DDB" w:rsidRPr="004E3B67" w:rsidRDefault="008F7DD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3"/>
  </w:num>
  <w:num w:numId="2" w16cid:durableId="381253757">
    <w:abstractNumId w:val="21"/>
  </w:num>
  <w:num w:numId="3" w16cid:durableId="1039011145">
    <w:abstractNumId w:val="20"/>
  </w:num>
  <w:num w:numId="4" w16cid:durableId="1044599023">
    <w:abstractNumId w:val="1"/>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19"/>
  </w:num>
  <w:num w:numId="10" w16cid:durableId="514420685">
    <w:abstractNumId w:val="16"/>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2"/>
  </w:num>
  <w:num w:numId="17" w16cid:durableId="794255143">
    <w:abstractNumId w:val="15"/>
  </w:num>
  <w:num w:numId="18" w16cid:durableId="305597488">
    <w:abstractNumId w:val="18"/>
  </w:num>
  <w:num w:numId="19" w16cid:durableId="1914848784">
    <w:abstractNumId w:val="7"/>
  </w:num>
  <w:num w:numId="20" w16cid:durableId="1956674998">
    <w:abstractNumId w:val="17"/>
  </w:num>
  <w:num w:numId="21" w16cid:durableId="1464928414">
    <w:abstractNumId w:val="14"/>
  </w:num>
  <w:num w:numId="22" w16cid:durableId="420759272">
    <w:abstractNumId w:val="16"/>
  </w:num>
  <w:num w:numId="23" w16cid:durableId="1567495096">
    <w:abstractNumId w:val="3"/>
  </w:num>
  <w:num w:numId="24" w16cid:durableId="1540430602">
    <w:abstractNumId w:val="3"/>
  </w:num>
  <w:num w:numId="25" w16cid:durableId="1019351584">
    <w:abstractNumId w:val="2"/>
  </w:num>
  <w:num w:numId="26" w16cid:durableId="55601291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13E1"/>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074B6"/>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781A"/>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8F7DD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E6D64"/>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2025-01-31T15:20:00Z</dcterms:created>
  <dcterms:modified xsi:type="dcterms:W3CDTF">2025-02-07T12:18:00Z</dcterms:modified>
</cp:coreProperties>
</file>