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5A4B90A2"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C2704B">
        <w:rPr>
          <w:rFonts w:cs="Arial"/>
          <w:sz w:val="24"/>
          <w:szCs w:val="24"/>
          <w:lang w:val="de-DE"/>
        </w:rPr>
        <w:t>1</w:t>
      </w:r>
      <w:r w:rsidR="00006351" w:rsidRPr="00DB3907">
        <w:rPr>
          <w:rFonts w:cs="Arial"/>
          <w:sz w:val="24"/>
          <w:szCs w:val="24"/>
          <w:lang w:val="de-DE"/>
        </w:rPr>
        <w:tab/>
      </w:r>
      <w:r w:rsidR="00B94928" w:rsidRPr="00B94928">
        <w:rPr>
          <w:rFonts w:cs="Arial"/>
          <w:sz w:val="24"/>
          <w:szCs w:val="24"/>
          <w:lang w:val="de-DE"/>
        </w:rPr>
        <w:t>R4-2409052</w:t>
      </w:r>
    </w:p>
    <w:p w14:paraId="1BDB0B17" w14:textId="5BA62F9C" w:rsidR="007B2CE0" w:rsidRPr="00C3099F" w:rsidRDefault="00C2704B" w:rsidP="00C3099F">
      <w:pPr>
        <w:tabs>
          <w:tab w:val="left" w:pos="1985"/>
        </w:tabs>
        <w:spacing w:after="0"/>
        <w:jc w:val="both"/>
        <w:rPr>
          <w:rFonts w:ascii="Arial" w:eastAsia="MS Mincho" w:hAnsi="Arial" w:cs="Arial"/>
          <w:b/>
          <w:sz w:val="24"/>
          <w:szCs w:val="24"/>
          <w:lang w:eastAsia="zh-TW"/>
        </w:rPr>
      </w:pPr>
      <w:r w:rsidRPr="00C2704B">
        <w:rPr>
          <w:rFonts w:ascii="Arial" w:hAnsi="Arial"/>
          <w:b/>
          <w:sz w:val="24"/>
          <w:szCs w:val="24"/>
          <w:lang w:eastAsia="zh-CN"/>
        </w:rPr>
        <w:t>Fukuoka, Japan, 20th – 24th May, 2024</w:t>
      </w:r>
      <w:r w:rsidR="001674F2" w:rsidRPr="001674F2">
        <w:rPr>
          <w:rFonts w:ascii="Arial" w:hAnsi="Arial"/>
          <w:b/>
          <w:sz w:val="24"/>
          <w:szCs w:val="24"/>
          <w:lang w:eastAsia="zh-CN"/>
        </w:rPr>
        <w:cr/>
      </w:r>
    </w:p>
    <w:p w14:paraId="16783F2C" w14:textId="5DA04D59"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779C8">
        <w:rPr>
          <w:rFonts w:ascii="Arial" w:hAnsi="Arial"/>
          <w:sz w:val="24"/>
          <w:lang w:val="en-US"/>
        </w:rPr>
        <w:t>1</w:t>
      </w:r>
      <w:r w:rsidR="00C2704B">
        <w:rPr>
          <w:rFonts w:ascii="Arial" w:hAnsi="Arial"/>
          <w:sz w:val="24"/>
          <w:lang w:val="en-US"/>
        </w:rPr>
        <w:t>0</w:t>
      </w:r>
      <w:r w:rsidR="00F779C8">
        <w:rPr>
          <w:rFonts w:ascii="Arial" w:hAnsi="Arial"/>
          <w:sz w:val="24"/>
          <w:lang w:val="en-US"/>
        </w:rPr>
        <w:t>.</w:t>
      </w:r>
      <w:r w:rsidR="00C2704B">
        <w:rPr>
          <w:rFonts w:ascii="Arial" w:hAnsi="Arial"/>
          <w:sz w:val="24"/>
          <w:lang w:val="en-US"/>
        </w:rPr>
        <w:t>1.1.4.</w:t>
      </w:r>
      <w:r w:rsidR="00F062BA">
        <w:rPr>
          <w:rFonts w:ascii="Arial" w:hAnsi="Arial"/>
          <w:sz w:val="24"/>
          <w:lang w:val="en-US"/>
        </w:rPr>
        <w:t>3</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5F984DEE"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F062BA">
        <w:rPr>
          <w:rFonts w:ascii="Arial" w:hAnsi="Arial"/>
          <w:sz w:val="24"/>
          <w:lang w:val="en-US"/>
        </w:rPr>
        <w:t xml:space="preserve">SRS antenna switching requirements for 6Rx </w:t>
      </w:r>
      <w:r w:rsidR="00012D60">
        <w:rPr>
          <w:rFonts w:ascii="Arial" w:hAnsi="Arial"/>
          <w:sz w:val="24"/>
          <w:lang w:val="en-US"/>
        </w:rPr>
        <w:t>UE</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5D101C6E" w14:textId="77777777" w:rsidR="0035636C" w:rsidRDefault="0035636C" w:rsidP="0035636C">
      <w:pPr>
        <w:jc w:val="both"/>
        <w:rPr>
          <w:lang w:val="en-US"/>
        </w:rPr>
      </w:pPr>
      <w:r>
        <w:rPr>
          <w:lang w:val="en-US"/>
        </w:rPr>
        <w:t>In RAN#103, a</w:t>
      </w:r>
      <w:r w:rsidRPr="00FF60EE">
        <w:rPr>
          <w:lang w:val="en-US"/>
        </w:rPr>
        <w:t xml:space="preserve"> new WID on RF enhancements for NR FR1/FR2 and EN-DC was </w:t>
      </w:r>
      <w:r>
        <w:rPr>
          <w:lang w:val="en-US"/>
        </w:rPr>
        <w:t>approved</w:t>
      </w:r>
      <w:r w:rsidRPr="00FF60EE">
        <w:rPr>
          <w:lang w:val="en-US"/>
        </w:rPr>
        <w:t xml:space="preserve"> </w:t>
      </w:r>
      <w:r>
        <w:rPr>
          <w:lang w:val="en-US"/>
        </w:rPr>
        <w:t>as one of</w:t>
      </w:r>
      <w:r w:rsidRPr="00FF60EE">
        <w:rPr>
          <w:lang w:val="en-US"/>
        </w:rPr>
        <w:t xml:space="preserve"> Release 19 work items [1].</w:t>
      </w:r>
      <w:r>
        <w:rPr>
          <w:lang w:val="en-US"/>
        </w:rPr>
        <w:t xml:space="preserve"> There are three main topics in the WID, which are </w:t>
      </w:r>
      <w:r w:rsidRPr="00FF60EE">
        <w:rPr>
          <w:lang w:val="en-US"/>
        </w:rPr>
        <w:t>High power UE (HPUE) for CA in terrestrial network (TN),</w:t>
      </w:r>
      <w:r>
        <w:rPr>
          <w:lang w:val="en-US"/>
        </w:rPr>
        <w:t xml:space="preserve"> </w:t>
      </w:r>
      <w:r w:rsidRPr="00FF60EE">
        <w:rPr>
          <w:lang w:val="en-US"/>
        </w:rPr>
        <w:t>power boosting and/or MPR reduction, and 6Rx for handheld and FWA UEs.</w:t>
      </w:r>
      <w:r>
        <w:rPr>
          <w:lang w:val="en-US"/>
        </w:rPr>
        <w:t xml:space="preserve"> In this contribution, we will focus on the topic about </w:t>
      </w:r>
      <w:r w:rsidRPr="00FF60EE">
        <w:rPr>
          <w:lang w:val="en-US"/>
        </w:rPr>
        <w:t>6Rx for handheld and FWA UEs</w:t>
      </w:r>
      <w:r>
        <w:rPr>
          <w:lang w:val="en-US"/>
        </w:rPr>
        <w:t xml:space="preserve"> and the corresponding WID objective is captured as follows. </w:t>
      </w:r>
    </w:p>
    <w:tbl>
      <w:tblPr>
        <w:tblStyle w:val="TableGrid"/>
        <w:tblW w:w="0" w:type="auto"/>
        <w:tblLook w:val="04A0" w:firstRow="1" w:lastRow="0" w:firstColumn="1" w:lastColumn="0" w:noHBand="0" w:noVBand="1"/>
      </w:tblPr>
      <w:tblGrid>
        <w:gridCol w:w="9621"/>
      </w:tblGrid>
      <w:tr w:rsidR="0035636C" w:rsidRPr="0035636C" w14:paraId="590A802B" w14:textId="77777777" w:rsidTr="00C93874">
        <w:tc>
          <w:tcPr>
            <w:tcW w:w="9621" w:type="dxa"/>
          </w:tcPr>
          <w:p w14:paraId="4E1F8133" w14:textId="77777777" w:rsidR="0035636C" w:rsidRPr="0035636C" w:rsidRDefault="0035636C" w:rsidP="00C93874">
            <w:pPr>
              <w:rPr>
                <w:b/>
              </w:rPr>
            </w:pPr>
            <w:r w:rsidRPr="0035636C">
              <w:rPr>
                <w:rFonts w:hint="eastAsia"/>
                <w:b/>
              </w:rPr>
              <w:t>6Rx</w:t>
            </w:r>
            <w:r w:rsidRPr="0035636C">
              <w:rPr>
                <w:b/>
              </w:rPr>
              <w:t xml:space="preserve"> for handheld and FWA UE</w:t>
            </w:r>
          </w:p>
          <w:p w14:paraId="29AC682E" w14:textId="77777777" w:rsidR="0035636C" w:rsidRPr="0035636C" w:rsidRDefault="0035636C" w:rsidP="00C93874">
            <w:pPr>
              <w:pStyle w:val="ListParagraph"/>
              <w:widowControl w:val="0"/>
              <w:numPr>
                <w:ilvl w:val="0"/>
                <w:numId w:val="56"/>
              </w:numPr>
              <w:overflowPunct/>
              <w:autoSpaceDE/>
              <w:autoSpaceDN/>
              <w:adjustRightInd/>
              <w:spacing w:after="0"/>
              <w:contextualSpacing w:val="0"/>
              <w:textAlignment w:val="auto"/>
            </w:pPr>
            <w:r w:rsidRPr="0035636C">
              <w:rPr>
                <w:rFonts w:hint="eastAsia"/>
              </w:rPr>
              <w:t>Specify</w:t>
            </w:r>
            <w:r w:rsidRPr="0035636C">
              <w:t xml:space="preserve"> the core requirements to enable 6Rx for higher frequency bands (&gt;2.5GHz) targeting at support of handheld UE for NR FR1 single carrier scenario</w:t>
            </w:r>
          </w:p>
          <w:p w14:paraId="562580B4" w14:textId="77777777" w:rsidR="0035636C" w:rsidRPr="0035636C" w:rsidRDefault="0035636C"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E</w:t>
            </w:r>
            <w:r w:rsidRPr="0035636C">
              <w:t>xample bands: n41, n77/n78, n79, n104</w:t>
            </w:r>
          </w:p>
          <w:p w14:paraId="77C76AFB" w14:textId="77777777" w:rsidR="0035636C" w:rsidRPr="0035636C" w:rsidRDefault="0035636C"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S</w:t>
            </w:r>
            <w:r w:rsidRPr="0035636C">
              <w:t>upport 4 MIMO layers at least, and study the gain and feasibility and if feasible, support 6 MIMO layers</w:t>
            </w:r>
          </w:p>
          <w:p w14:paraId="3860071C" w14:textId="77777777" w:rsidR="0035636C" w:rsidRPr="0035636C" w:rsidRDefault="0035636C" w:rsidP="00C93874">
            <w:pPr>
              <w:pStyle w:val="ListParagraph"/>
              <w:widowControl w:val="0"/>
              <w:numPr>
                <w:ilvl w:val="1"/>
                <w:numId w:val="56"/>
              </w:numPr>
              <w:overflowPunct/>
              <w:autoSpaceDE/>
              <w:autoSpaceDN/>
              <w:adjustRightInd/>
              <w:spacing w:after="0"/>
              <w:contextualSpacing w:val="0"/>
              <w:textAlignment w:val="auto"/>
            </w:pPr>
            <w:r w:rsidRPr="0035636C">
              <w:t>Specify the Rx requirements including reference sensitivity requirements for support 6Rx</w:t>
            </w:r>
          </w:p>
          <w:p w14:paraId="56FD949D" w14:textId="77777777" w:rsidR="0035636C" w:rsidRPr="0035636C" w:rsidRDefault="0035636C" w:rsidP="00C93874">
            <w:pPr>
              <w:pStyle w:val="ListParagraph"/>
              <w:widowControl w:val="0"/>
              <w:numPr>
                <w:ilvl w:val="2"/>
                <w:numId w:val="56"/>
              </w:numPr>
              <w:overflowPunct/>
              <w:autoSpaceDE/>
              <w:autoSpaceDN/>
              <w:adjustRightInd/>
              <w:spacing w:after="0"/>
              <w:contextualSpacing w:val="0"/>
              <w:textAlignment w:val="auto"/>
            </w:pPr>
            <w:r w:rsidRPr="0035636C">
              <w:t>Note: the specified requirements can be applicable to both handheld UE and FWA devices</w:t>
            </w:r>
          </w:p>
          <w:p w14:paraId="593B23E6" w14:textId="77777777" w:rsidR="0035636C" w:rsidRPr="00F062BA" w:rsidRDefault="0035636C" w:rsidP="00C93874">
            <w:pPr>
              <w:pStyle w:val="ListParagraph"/>
              <w:widowControl w:val="0"/>
              <w:numPr>
                <w:ilvl w:val="1"/>
                <w:numId w:val="56"/>
              </w:numPr>
              <w:overflowPunct/>
              <w:autoSpaceDE/>
              <w:autoSpaceDN/>
              <w:adjustRightInd/>
              <w:spacing w:after="0"/>
              <w:contextualSpacing w:val="0"/>
              <w:textAlignment w:val="auto"/>
              <w:rPr>
                <w:highlight w:val="yellow"/>
              </w:rPr>
            </w:pPr>
            <w:r w:rsidRPr="00F062BA">
              <w:rPr>
                <w:highlight w:val="yellow"/>
              </w:rPr>
              <w:t>Specify the requirements to support SRS antenna switching including t1r6, t2r6, t3r6, t4r6 depending on UE capability</w:t>
            </w:r>
          </w:p>
          <w:p w14:paraId="4CDD18BA" w14:textId="77777777" w:rsidR="0035636C" w:rsidRPr="0035636C" w:rsidRDefault="0035636C" w:rsidP="00C93874">
            <w:pPr>
              <w:pStyle w:val="ListParagraph"/>
              <w:widowControl w:val="0"/>
              <w:numPr>
                <w:ilvl w:val="1"/>
                <w:numId w:val="56"/>
              </w:numPr>
              <w:overflowPunct/>
              <w:autoSpaceDE/>
              <w:autoSpaceDN/>
              <w:adjustRightInd/>
              <w:contextualSpacing w:val="0"/>
              <w:textAlignment w:val="auto"/>
            </w:pPr>
            <w:r w:rsidRPr="0035636C">
              <w:rPr>
                <w:rFonts w:hint="eastAsia"/>
              </w:rPr>
              <w:t>Study the issue of insertion loss imbalance across SRS ports</w:t>
            </w:r>
            <w:r w:rsidRPr="0035636C">
              <w:t>,</w:t>
            </w:r>
            <w:r w:rsidRPr="0035636C">
              <w:rPr>
                <w:rFonts w:hint="eastAsia"/>
              </w:rPr>
              <w:t xml:space="preserve"> and </w:t>
            </w:r>
            <w:r w:rsidRPr="0035636C">
              <w:t xml:space="preserve">if justified, </w:t>
            </w:r>
            <w:r w:rsidRPr="0035636C">
              <w:rPr>
                <w:rFonts w:hint="eastAsia"/>
              </w:rPr>
              <w:t>specify the</w:t>
            </w:r>
            <w:r w:rsidRPr="0035636C">
              <w:t xml:space="preserve"> corresponding</w:t>
            </w:r>
            <w:r w:rsidRPr="0035636C">
              <w:rPr>
                <w:rFonts w:hint="eastAsia"/>
              </w:rPr>
              <w:t xml:space="preserve"> solution</w:t>
            </w:r>
            <w:r w:rsidRPr="0035636C">
              <w:t>.</w:t>
            </w:r>
          </w:p>
        </w:tc>
      </w:tr>
    </w:tbl>
    <w:p w14:paraId="02E3E158" w14:textId="698120F9" w:rsidR="0035636C" w:rsidRPr="00E1700F" w:rsidRDefault="0035636C" w:rsidP="0035636C">
      <w:pPr>
        <w:jc w:val="both"/>
        <w:rPr>
          <w:lang w:val="en-US"/>
        </w:rPr>
      </w:pPr>
      <w:r>
        <w:rPr>
          <w:lang w:val="en-US"/>
        </w:rPr>
        <w:t>In RAN4#110bis</w:t>
      </w:r>
      <w:r w:rsidRPr="00060A4E">
        <w:rPr>
          <w:lang w:val="en-US"/>
        </w:rPr>
        <w:t>,</w:t>
      </w:r>
      <w:r>
        <w:rPr>
          <w:lang w:val="en-US"/>
        </w:rPr>
        <w:t xml:space="preserve"> the discussion on </w:t>
      </w:r>
      <w:r w:rsidRPr="00FF60EE">
        <w:rPr>
          <w:lang w:val="en-US"/>
        </w:rPr>
        <w:t>6Rx for handheld and FWA UEs</w:t>
      </w:r>
      <w:r>
        <w:rPr>
          <w:lang w:val="en-US"/>
        </w:rPr>
        <w:t xml:space="preserve"> has been discussed but there is no much progress. Some open issues are divided into four main topics and captured in the approved WF [2]. One of four main topics is to further discuss the </w:t>
      </w:r>
      <w:r w:rsidR="00F062BA">
        <w:rPr>
          <w:lang w:val="en-US"/>
        </w:rPr>
        <w:t>SRS antenna switching</w:t>
      </w:r>
      <w:r>
        <w:rPr>
          <w:lang w:val="en-US"/>
        </w:rPr>
        <w:t xml:space="preserve"> requirement on 6Rx for </w:t>
      </w:r>
      <w:r w:rsidRPr="00FF60EE">
        <w:rPr>
          <w:lang w:val="en-US"/>
        </w:rPr>
        <w:t>handheld and FWA UEs</w:t>
      </w:r>
      <w:r>
        <w:rPr>
          <w:lang w:val="en-US"/>
        </w:rPr>
        <w:t>, and the major issue</w:t>
      </w:r>
      <w:r w:rsidR="00F062BA">
        <w:rPr>
          <w:lang w:val="en-US"/>
        </w:rPr>
        <w:t>s</w:t>
      </w:r>
      <w:r>
        <w:rPr>
          <w:lang w:val="en-US"/>
        </w:rPr>
        <w:t xml:space="preserve"> </w:t>
      </w:r>
      <w:r w:rsidR="00F062BA">
        <w:rPr>
          <w:lang w:val="en-US"/>
        </w:rPr>
        <w:t>are</w:t>
      </w:r>
      <w:r>
        <w:rPr>
          <w:lang w:val="en-US"/>
        </w:rPr>
        <w:t xml:space="preserve"> to determine </w:t>
      </w:r>
      <w:r w:rsidR="00F062BA">
        <w:rPr>
          <w:lang w:val="en-US"/>
        </w:rPr>
        <w:t xml:space="preserve">SRS antenna switching configuration and </w:t>
      </w:r>
      <w:r w:rsidRPr="00E1700F">
        <w:rPr>
          <w:lang w:val="en-US"/>
        </w:rPr>
        <w:t>Δ</w:t>
      </w:r>
      <w:r w:rsidR="00F062BA">
        <w:rPr>
          <w:lang w:val="en-US"/>
        </w:rPr>
        <w:t>T</w:t>
      </w:r>
      <w:r w:rsidR="00F062BA" w:rsidRPr="00F062BA">
        <w:rPr>
          <w:vertAlign w:val="subscript"/>
          <w:lang w:val="en-US"/>
        </w:rPr>
        <w:t>RxSRS</w:t>
      </w:r>
      <w:r>
        <w:rPr>
          <w:lang w:val="en-US"/>
        </w:rPr>
        <w:t xml:space="preserve"> value for </w:t>
      </w:r>
      <w:r w:rsidRPr="00FF60EE">
        <w:rPr>
          <w:lang w:val="en-US"/>
        </w:rPr>
        <w:t>handheld and FWA UEs</w:t>
      </w:r>
      <w:r>
        <w:rPr>
          <w:lang w:val="en-US"/>
        </w:rPr>
        <w:t xml:space="preserve">. </w:t>
      </w:r>
      <w:r>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35636C" w14:paraId="6306CE9C" w14:textId="77777777" w:rsidTr="00C93874">
        <w:tc>
          <w:tcPr>
            <w:tcW w:w="9621" w:type="dxa"/>
          </w:tcPr>
          <w:p w14:paraId="2D987D74" w14:textId="77777777" w:rsidR="0035636C" w:rsidRPr="00AB3D40" w:rsidRDefault="0035636C" w:rsidP="0035636C">
            <w:pPr>
              <w:pStyle w:val="Heading1"/>
              <w:numPr>
                <w:ilvl w:val="0"/>
                <w:numId w:val="0"/>
              </w:numPr>
              <w:ind w:left="432" w:hanging="432"/>
              <w:rPr>
                <w:lang w:eastAsia="zh-CN"/>
              </w:rPr>
            </w:pPr>
            <w:r>
              <w:lastRenderedPageBreak/>
              <w:t>Topic 2:</w:t>
            </w:r>
            <w:r>
              <w:tab/>
            </w:r>
            <w:r w:rsidRPr="002301EB">
              <w:rPr>
                <w:lang w:val="pt-BR"/>
              </w:rPr>
              <w:t>SRS antenna switching and ΔT</w:t>
            </w:r>
            <w:r w:rsidRPr="002301EB">
              <w:rPr>
                <w:vertAlign w:val="subscript"/>
                <w:lang w:val="pt-BR"/>
              </w:rPr>
              <w:t>RxSRS</w:t>
            </w:r>
          </w:p>
          <w:p w14:paraId="4E118CC7" w14:textId="77777777" w:rsidR="0035636C" w:rsidRPr="00EF3FF4" w:rsidRDefault="0035636C" w:rsidP="0035636C">
            <w:pPr>
              <w:pStyle w:val="Heading2"/>
              <w:numPr>
                <w:ilvl w:val="0"/>
                <w:numId w:val="0"/>
              </w:numPr>
              <w:ind w:left="576" w:hanging="576"/>
              <w:rPr>
                <w:lang w:eastAsia="zh-CN"/>
              </w:rPr>
            </w:pPr>
            <w:r>
              <w:t>Sub-topic 2-1:</w:t>
            </w:r>
            <w:r>
              <w:tab/>
            </w:r>
            <w:r w:rsidRPr="002301EB">
              <w:t>SRS antenna switching configurations</w:t>
            </w:r>
          </w:p>
          <w:p w14:paraId="12528CA1" w14:textId="77777777" w:rsidR="0035636C" w:rsidRDefault="0035636C" w:rsidP="0035636C">
            <w:pPr>
              <w:rPr>
                <w:lang w:eastAsia="zh-CN"/>
              </w:rPr>
            </w:pPr>
            <w:r>
              <w:rPr>
                <w:b/>
                <w:lang w:eastAsia="zh-CN"/>
              </w:rPr>
              <w:t>Way forward</w:t>
            </w:r>
            <w:r>
              <w:rPr>
                <w:lang w:eastAsia="zh-CN"/>
              </w:rPr>
              <w:t>: Further discuss the following options with a focus on 1tr6 and t2r6 for RAN4#111.</w:t>
            </w:r>
          </w:p>
          <w:p w14:paraId="03E9CA45" w14:textId="77777777" w:rsidR="0035636C" w:rsidRDefault="0035636C" w:rsidP="0035636C">
            <w:pPr>
              <w:pStyle w:val="B10"/>
              <w:rPr>
                <w:lang w:eastAsia="zh-CN"/>
              </w:rPr>
            </w:pPr>
            <w:r>
              <w:rPr>
                <w:lang w:eastAsia="zh-CN"/>
              </w:rPr>
              <w:t>-</w:t>
            </w:r>
            <w:r>
              <w:rPr>
                <w:lang w:eastAsia="zh-CN"/>
              </w:rPr>
              <w:tab/>
              <w:t xml:space="preserve">Option 1: </w:t>
            </w:r>
            <w:r w:rsidRPr="004F339B">
              <w:rPr>
                <w:lang w:eastAsia="zh-CN"/>
              </w:rPr>
              <w:t>Preclude t3r6 and t4r6 SRS antenna switching configuration for 6Rx in Rel-19 and update the WID objective in the next plenary.</w:t>
            </w:r>
          </w:p>
          <w:p w14:paraId="3B015B02" w14:textId="77777777" w:rsidR="0035636C" w:rsidRDefault="0035636C" w:rsidP="0035636C">
            <w:pPr>
              <w:pStyle w:val="B10"/>
              <w:rPr>
                <w:lang w:eastAsia="zh-CN"/>
              </w:rPr>
            </w:pPr>
            <w:r>
              <w:rPr>
                <w:lang w:eastAsia="zh-CN"/>
              </w:rPr>
              <w:t>-</w:t>
            </w:r>
            <w:r>
              <w:rPr>
                <w:lang w:eastAsia="zh-CN"/>
              </w:rPr>
              <w:tab/>
              <w:t xml:space="preserve">Option 2: </w:t>
            </w:r>
            <w:r w:rsidRPr="004F339B">
              <w:rPr>
                <w:lang w:eastAsia="zh-CN"/>
              </w:rPr>
              <w:t>Preclude 3T6R AS-SRS from 6 Rx ∆T</w:t>
            </w:r>
            <w:r w:rsidRPr="004F339B">
              <w:rPr>
                <w:vertAlign w:val="subscript"/>
                <w:lang w:eastAsia="zh-CN"/>
              </w:rPr>
              <w:t>RxSRS</w:t>
            </w:r>
            <w:r w:rsidRPr="004F339B">
              <w:rPr>
                <w:lang w:eastAsia="zh-CN"/>
              </w:rPr>
              <w:t xml:space="preserve"> requirements discussion in Rel-19 and update the WID, while inform RAN1 to start the work on enabling 4T6R AS-SRS, while RAN2 can wait for future inputs from RAN1 and RAN4.</w:t>
            </w:r>
          </w:p>
          <w:p w14:paraId="3E0D406E" w14:textId="77777777" w:rsidR="0035636C" w:rsidRDefault="0035636C" w:rsidP="0035636C">
            <w:pPr>
              <w:pStyle w:val="B10"/>
              <w:rPr>
                <w:lang w:eastAsia="zh-CN"/>
              </w:rPr>
            </w:pPr>
            <w:r>
              <w:rPr>
                <w:lang w:eastAsia="zh-CN"/>
              </w:rPr>
              <w:t>-</w:t>
            </w:r>
            <w:r>
              <w:rPr>
                <w:lang w:eastAsia="zh-CN"/>
              </w:rPr>
              <w:tab/>
            </w:r>
            <w:r w:rsidRPr="004F339B">
              <w:rPr>
                <w:lang w:eastAsia="zh-CN"/>
              </w:rPr>
              <w:t>Option 3: RAN4 discussion on 6 Rx ∆T</w:t>
            </w:r>
            <w:r w:rsidRPr="004F339B">
              <w:rPr>
                <w:vertAlign w:val="subscript"/>
                <w:lang w:eastAsia="zh-CN"/>
              </w:rPr>
              <w:t>RxSRS</w:t>
            </w:r>
            <w:r w:rsidRPr="004F339B">
              <w:rPr>
                <w:lang w:eastAsia="zh-CN"/>
              </w:rPr>
              <w:t xml:space="preserve"> requirements should focus on 1T6R and 2T6R before RAN1 conclusion on how to support 4T6R can be available</w:t>
            </w:r>
            <w:r>
              <w:rPr>
                <w:lang w:eastAsia="zh-CN"/>
              </w:rPr>
              <w:t>.</w:t>
            </w:r>
          </w:p>
          <w:p w14:paraId="1D6D9A99" w14:textId="77777777" w:rsidR="0035636C" w:rsidRDefault="0035636C" w:rsidP="0035636C">
            <w:pPr>
              <w:pStyle w:val="B10"/>
              <w:rPr>
                <w:lang w:eastAsia="zh-CN"/>
              </w:rPr>
            </w:pPr>
            <w:r>
              <w:rPr>
                <w:lang w:eastAsia="zh-CN"/>
              </w:rPr>
              <w:t>-</w:t>
            </w:r>
            <w:r>
              <w:rPr>
                <w:lang w:eastAsia="zh-CN"/>
              </w:rPr>
              <w:tab/>
              <w:t>Option 4: To specify the ∆T</w:t>
            </w:r>
            <w:r w:rsidRPr="004F339B">
              <w:rPr>
                <w:vertAlign w:val="subscript"/>
                <w:lang w:eastAsia="zh-CN"/>
              </w:rPr>
              <w:t>RxSRS</w:t>
            </w:r>
            <w:r>
              <w:rPr>
                <w:lang w:eastAsia="zh-CN"/>
              </w:rPr>
              <w:t xml:space="preserve"> for 6Rx, it is necessary to analyse the 6Rx SRS antenna switching IL below scenarios.</w:t>
            </w:r>
          </w:p>
          <w:p w14:paraId="10D0A2DF" w14:textId="77777777" w:rsidR="0035636C" w:rsidRDefault="0035636C" w:rsidP="0035636C">
            <w:pPr>
              <w:pStyle w:val="B2"/>
              <w:rPr>
                <w:lang w:eastAsia="zh-CN"/>
              </w:rPr>
            </w:pPr>
            <w:r>
              <w:rPr>
                <w:lang w:eastAsia="zh-CN"/>
              </w:rPr>
              <w:t>-</w:t>
            </w:r>
            <w:r>
              <w:rPr>
                <w:lang w:eastAsia="zh-CN"/>
              </w:rPr>
              <w:tab/>
              <w:t>t1r6</w:t>
            </w:r>
          </w:p>
          <w:p w14:paraId="2F04FCD6" w14:textId="77777777" w:rsidR="0035636C" w:rsidRDefault="0035636C" w:rsidP="0035636C">
            <w:pPr>
              <w:pStyle w:val="B2"/>
              <w:rPr>
                <w:lang w:eastAsia="zh-CN"/>
              </w:rPr>
            </w:pPr>
            <w:r>
              <w:rPr>
                <w:lang w:eastAsia="zh-CN"/>
              </w:rPr>
              <w:t>-</w:t>
            </w:r>
            <w:r>
              <w:rPr>
                <w:lang w:eastAsia="zh-CN"/>
              </w:rPr>
              <w:tab/>
              <w:t>t2r6</w:t>
            </w:r>
          </w:p>
          <w:p w14:paraId="6D645D94" w14:textId="77777777" w:rsidR="0035636C" w:rsidRDefault="0035636C" w:rsidP="0035636C">
            <w:pPr>
              <w:pStyle w:val="B2"/>
              <w:rPr>
                <w:lang w:eastAsia="zh-CN"/>
              </w:rPr>
            </w:pPr>
            <w:r>
              <w:rPr>
                <w:lang w:eastAsia="zh-CN"/>
              </w:rPr>
              <w:t>-</w:t>
            </w:r>
            <w:r>
              <w:rPr>
                <w:lang w:eastAsia="zh-CN"/>
              </w:rPr>
              <w:tab/>
              <w:t>t4r6</w:t>
            </w:r>
          </w:p>
          <w:p w14:paraId="3E66EDAD" w14:textId="77777777" w:rsidR="0035636C" w:rsidRDefault="0035636C" w:rsidP="0035636C">
            <w:pPr>
              <w:pStyle w:val="B2"/>
              <w:rPr>
                <w:lang w:eastAsia="zh-TW"/>
              </w:rPr>
            </w:pPr>
            <w:r>
              <w:rPr>
                <w:lang w:eastAsia="zh-CN"/>
              </w:rPr>
              <w:t>-</w:t>
            </w:r>
            <w:r>
              <w:rPr>
                <w:lang w:eastAsia="zh-CN"/>
              </w:rPr>
              <w:tab/>
              <w:t>t1r6-t2r6</w:t>
            </w:r>
          </w:p>
          <w:p w14:paraId="0DB8E9E1" w14:textId="77777777" w:rsidR="0035636C" w:rsidRDefault="0035636C" w:rsidP="0035636C">
            <w:pPr>
              <w:pStyle w:val="B2"/>
              <w:rPr>
                <w:lang w:eastAsia="zh-CN"/>
              </w:rPr>
            </w:pPr>
            <w:r>
              <w:rPr>
                <w:lang w:eastAsia="zh-CN"/>
              </w:rPr>
              <w:t>-</w:t>
            </w:r>
            <w:r>
              <w:rPr>
                <w:lang w:eastAsia="zh-CN"/>
              </w:rPr>
              <w:tab/>
              <w:t>t1r6-t2r6-t4r6</w:t>
            </w:r>
          </w:p>
          <w:p w14:paraId="09F12306" w14:textId="77777777" w:rsidR="0035636C" w:rsidRDefault="0035636C" w:rsidP="0035636C">
            <w:pPr>
              <w:pStyle w:val="B2"/>
              <w:rPr>
                <w:lang w:eastAsia="zh-CN"/>
              </w:rPr>
            </w:pPr>
            <w:r>
              <w:rPr>
                <w:lang w:eastAsia="zh-CN"/>
              </w:rPr>
              <w:t>-</w:t>
            </w:r>
            <w:r>
              <w:rPr>
                <w:lang w:eastAsia="zh-CN"/>
              </w:rPr>
              <w:tab/>
              <w:t>t2r6-t4r6</w:t>
            </w:r>
          </w:p>
          <w:p w14:paraId="299405C9" w14:textId="77777777" w:rsidR="0035636C" w:rsidRDefault="0035636C" w:rsidP="0035636C">
            <w:pPr>
              <w:pStyle w:val="B2"/>
              <w:rPr>
                <w:lang w:eastAsia="zh-CN"/>
              </w:rPr>
            </w:pPr>
            <w:r>
              <w:rPr>
                <w:lang w:eastAsia="zh-CN"/>
              </w:rPr>
              <w:t>-</w:t>
            </w:r>
            <w:r>
              <w:rPr>
                <w:lang w:eastAsia="zh-CN"/>
              </w:rPr>
              <w:tab/>
              <w:t>t1r6-t4r6</w:t>
            </w:r>
          </w:p>
          <w:p w14:paraId="2EAEAF09" w14:textId="77777777" w:rsidR="00042C8D" w:rsidRPr="00EF3FF4" w:rsidRDefault="00042C8D" w:rsidP="00042C8D">
            <w:pPr>
              <w:pStyle w:val="Heading2"/>
              <w:numPr>
                <w:ilvl w:val="0"/>
                <w:numId w:val="0"/>
              </w:numPr>
              <w:ind w:left="576" w:hanging="576"/>
              <w:rPr>
                <w:lang w:eastAsia="zh-CN"/>
              </w:rPr>
            </w:pPr>
            <w:r>
              <w:t>Sub-topic 2-2:</w:t>
            </w:r>
            <w:r>
              <w:tab/>
            </w:r>
            <w:r w:rsidRPr="002301EB">
              <w:rPr>
                <w:lang w:val="pt-BR"/>
              </w:rPr>
              <w:t>ΔT</w:t>
            </w:r>
            <w:r w:rsidRPr="002301EB">
              <w:rPr>
                <w:vertAlign w:val="subscript"/>
                <w:lang w:val="pt-BR"/>
              </w:rPr>
              <w:t>RxSRS</w:t>
            </w:r>
            <w:r w:rsidRPr="002301EB">
              <w:t xml:space="preserve"> values</w:t>
            </w:r>
          </w:p>
          <w:p w14:paraId="0015E535" w14:textId="3566520F" w:rsidR="00042C8D" w:rsidRPr="00FF60EE" w:rsidRDefault="00042C8D" w:rsidP="00042C8D">
            <w:pPr>
              <w:rPr>
                <w:lang w:eastAsia="zh-CN"/>
              </w:rPr>
            </w:pPr>
            <w:r>
              <w:rPr>
                <w:b/>
                <w:lang w:eastAsia="zh-CN"/>
              </w:rPr>
              <w:t>Way forward</w:t>
            </w:r>
            <w:r>
              <w:rPr>
                <w:lang w:eastAsia="zh-CN"/>
              </w:rPr>
              <w:t>: Further discuss the ∆T</w:t>
            </w:r>
            <w:r w:rsidRPr="00F207B7">
              <w:rPr>
                <w:vertAlign w:val="subscript"/>
                <w:lang w:eastAsia="zh-CN"/>
              </w:rPr>
              <w:t>RxSRS</w:t>
            </w:r>
            <w:r>
              <w:rPr>
                <w:lang w:eastAsia="zh-CN"/>
              </w:rPr>
              <w:t xml:space="preserve"> requirements.</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17E2DD59" w14:textId="74E0E7F2" w:rsidR="00F26954" w:rsidRPr="00A84269" w:rsidRDefault="00F26954" w:rsidP="00F26954">
      <w:pPr>
        <w:jc w:val="both"/>
        <w:rPr>
          <w:iCs/>
        </w:rPr>
      </w:pPr>
      <w:r>
        <w:rPr>
          <w:bCs/>
          <w:iCs/>
        </w:rPr>
        <w:t xml:space="preserve">In Rel-15, </w:t>
      </w:r>
      <w:r w:rsidRPr="000E7955">
        <w:rPr>
          <w:iCs/>
        </w:rPr>
        <w:t>SRS Tx switching feature</w:t>
      </w:r>
      <w:r>
        <w:rPr>
          <w:iCs/>
        </w:rPr>
        <w:t xml:space="preserve"> </w:t>
      </w:r>
      <w:r>
        <w:rPr>
          <w:iCs/>
          <w:lang w:val="en-US" w:eastAsia="zh-TW"/>
        </w:rPr>
        <w:t xml:space="preserve">is introduced </w:t>
      </w:r>
      <w:r>
        <w:rPr>
          <w:iCs/>
        </w:rPr>
        <w:t>to obtain more accurate channel state information (CSI) by utilizing channel reciprocity for TDD bands</w:t>
      </w:r>
      <w:r>
        <w:rPr>
          <w:bCs/>
          <w:iCs/>
        </w:rPr>
        <w:t>. The motivation to introduce SRS Tx switching feature is that</w:t>
      </w:r>
      <w:r>
        <w:rPr>
          <w:iCs/>
        </w:rPr>
        <w:t xml:space="preserve"> </w:t>
      </w:r>
      <w:r w:rsidRPr="000E7955">
        <w:rPr>
          <w:iCs/>
        </w:rPr>
        <w:t xml:space="preserve">Tx antenna port </w:t>
      </w:r>
      <w:r>
        <w:rPr>
          <w:iCs/>
        </w:rPr>
        <w:t xml:space="preserve">number is </w:t>
      </w:r>
      <w:r w:rsidRPr="000E7955">
        <w:rPr>
          <w:iCs/>
        </w:rPr>
        <w:t xml:space="preserve">usually less than Rx antenna port </w:t>
      </w:r>
      <w:r>
        <w:rPr>
          <w:iCs/>
        </w:rPr>
        <w:t>number</w:t>
      </w:r>
      <w:r w:rsidRPr="00F26954">
        <w:rPr>
          <w:iCs/>
        </w:rPr>
        <w:t xml:space="preserve"> </w:t>
      </w:r>
      <w:r>
        <w:rPr>
          <w:iCs/>
        </w:rPr>
        <w:t>from</w:t>
      </w:r>
      <w:r w:rsidRPr="000E7955">
        <w:rPr>
          <w:iCs/>
        </w:rPr>
        <w:t xml:space="preserve"> UE implementation</w:t>
      </w:r>
      <w:r>
        <w:rPr>
          <w:iCs/>
        </w:rPr>
        <w:t xml:space="preserve"> perspective. </w:t>
      </w:r>
      <w:r w:rsidR="007959A9">
        <w:rPr>
          <w:iCs/>
        </w:rPr>
        <w:t>In other words, i</w:t>
      </w:r>
      <w:r>
        <w:rPr>
          <w:iCs/>
        </w:rPr>
        <w:t xml:space="preserve">n order to obtain more </w:t>
      </w:r>
      <w:r w:rsidR="007959A9">
        <w:rPr>
          <w:iCs/>
        </w:rPr>
        <w:t xml:space="preserve">accurate </w:t>
      </w:r>
      <w:r>
        <w:rPr>
          <w:iCs/>
        </w:rPr>
        <w:t xml:space="preserve">CSI </w:t>
      </w:r>
      <w:r w:rsidR="007959A9">
        <w:rPr>
          <w:iCs/>
        </w:rPr>
        <w:t xml:space="preserve">for DL-MIMO transmission </w:t>
      </w:r>
      <w:r>
        <w:rPr>
          <w:iCs/>
        </w:rPr>
        <w:t xml:space="preserve">at the base station side, the UE </w:t>
      </w:r>
      <w:r w:rsidR="007959A9">
        <w:rPr>
          <w:iCs/>
        </w:rPr>
        <w:t>can be</w:t>
      </w:r>
      <w:r w:rsidR="007959A9" w:rsidRPr="000E7955">
        <w:rPr>
          <w:iCs/>
        </w:rPr>
        <w:t xml:space="preserve"> </w:t>
      </w:r>
      <w:r w:rsidR="007959A9">
        <w:rPr>
          <w:iCs/>
        </w:rPr>
        <w:t>schedul</w:t>
      </w:r>
      <w:r w:rsidR="007959A9" w:rsidRPr="000E7955">
        <w:rPr>
          <w:iCs/>
        </w:rPr>
        <w:t xml:space="preserve">ed to perform antenna switching for SRS transmission in </w:t>
      </w:r>
      <w:r w:rsidR="007959A9">
        <w:rPr>
          <w:iCs/>
        </w:rPr>
        <w:t>the corresponding</w:t>
      </w:r>
      <w:r w:rsidR="007959A9" w:rsidRPr="000E7955">
        <w:rPr>
          <w:iCs/>
        </w:rPr>
        <w:t xml:space="preserve"> Rx antenna port</w:t>
      </w:r>
      <w:r w:rsidR="007959A9">
        <w:rPr>
          <w:iCs/>
        </w:rPr>
        <w:t xml:space="preserve"> sequentially instead of simultaneous SRS transmission on the corresponding Rx ports. From </w:t>
      </w:r>
      <w:r w:rsidR="00A84269">
        <w:rPr>
          <w:iCs/>
        </w:rPr>
        <w:t xml:space="preserve">UE capability signalling </w:t>
      </w:r>
      <w:r w:rsidR="007959A9">
        <w:rPr>
          <w:iCs/>
        </w:rPr>
        <w:t xml:space="preserve">perspective, </w:t>
      </w:r>
      <w:r w:rsidR="007959A9" w:rsidRPr="000E7955">
        <w:rPr>
          <w:iCs/>
        </w:rPr>
        <w:t>SRS Tx switching feature</w:t>
      </w:r>
      <w:r w:rsidR="007959A9">
        <w:rPr>
          <w:iCs/>
        </w:rPr>
        <w:t xml:space="preserve"> can be indicated </w:t>
      </w:r>
      <w:r w:rsidR="00A84269">
        <w:rPr>
          <w:iCs/>
        </w:rPr>
        <w:t xml:space="preserve">by the corresponding IE </w:t>
      </w:r>
      <w:r w:rsidR="00A84269" w:rsidRPr="000A34EF">
        <w:rPr>
          <w:bCs/>
          <w:i/>
        </w:rPr>
        <w:t>srs-TxSwitch</w:t>
      </w:r>
      <w:r w:rsidR="00A84269">
        <w:rPr>
          <w:bCs/>
          <w:iCs/>
        </w:rPr>
        <w:t>/</w:t>
      </w:r>
      <w:r w:rsidR="00A84269" w:rsidRPr="00AF04F0">
        <w:rPr>
          <w:bCs/>
          <w:i/>
        </w:rPr>
        <w:t>srs-TxSwitch-v1610</w:t>
      </w:r>
      <w:r w:rsidR="00A84269">
        <w:rPr>
          <w:bCs/>
          <w:iCs/>
        </w:rPr>
        <w:t xml:space="preserve"> with </w:t>
      </w:r>
      <w:r w:rsidR="007959A9">
        <w:rPr>
          <w:bCs/>
          <w:iCs/>
        </w:rPr>
        <w:t>“xTyR”, e.g., 1T2R/1T4R/ 2T4R/2T2R/4T4R/1T4R-2T4R, where “x” is the capable antenna port for SRS transmission and “y” means the total number of receive antenna where SRS transmission can be performed for the target band or the target band in the band combination.</w:t>
      </w:r>
      <w:r w:rsidR="00A84269">
        <w:rPr>
          <w:bCs/>
          <w:iCs/>
        </w:rPr>
        <w:t xml:space="preserve"> In Rel-17, the xTyR has been extended to </w:t>
      </w:r>
      <w:r w:rsidR="00BE537E">
        <w:rPr>
          <w:bCs/>
          <w:iCs/>
        </w:rPr>
        <w:t xml:space="preserve">support </w:t>
      </w:r>
      <w:r w:rsidR="00A84269">
        <w:rPr>
          <w:bCs/>
          <w:iCs/>
        </w:rPr>
        <w:t xml:space="preserve">at most “1T8R” in the corresponding IE </w:t>
      </w:r>
      <w:r w:rsidR="00A84269" w:rsidRPr="00A84269">
        <w:rPr>
          <w:bCs/>
          <w:i/>
        </w:rPr>
        <w:t>srs-AntennaSwitchingBeyond4Rx-r17</w:t>
      </w:r>
      <w:r w:rsidR="00A84269">
        <w:rPr>
          <w:bCs/>
          <w:iCs/>
        </w:rPr>
        <w:t>.</w:t>
      </w:r>
    </w:p>
    <w:p w14:paraId="399F38D1" w14:textId="140EF555" w:rsidR="00F2042E" w:rsidRDefault="001D5490" w:rsidP="00F26954">
      <w:pPr>
        <w:jc w:val="both"/>
        <w:rPr>
          <w:color w:val="000000" w:themeColor="text1"/>
        </w:rPr>
      </w:pPr>
      <w:r>
        <w:rPr>
          <w:bCs/>
          <w:iCs/>
        </w:rPr>
        <w:t xml:space="preserve">From implementation perspective, if the UE is configured to perform SRS antenna switching, SRS Tx transmission may go through different </w:t>
      </w:r>
      <w:r w:rsidR="000A1387">
        <w:rPr>
          <w:bCs/>
          <w:iCs/>
        </w:rPr>
        <w:t xml:space="preserve">number of </w:t>
      </w:r>
      <w:r>
        <w:rPr>
          <w:bCs/>
          <w:iCs/>
        </w:rPr>
        <w:t>RFFE antenna swi</w:t>
      </w:r>
      <w:r w:rsidR="000A1387">
        <w:rPr>
          <w:bCs/>
          <w:iCs/>
        </w:rPr>
        <w:t>t</w:t>
      </w:r>
      <w:r>
        <w:rPr>
          <w:bCs/>
          <w:iCs/>
        </w:rPr>
        <w:t xml:space="preserve">ch components, e.g., SPXT, DPXT where X=2,3,4,…8 </w:t>
      </w:r>
      <w:r>
        <w:rPr>
          <w:rFonts w:hint="eastAsia"/>
          <w:bCs/>
          <w:iCs/>
          <w:lang w:eastAsia="zh-TW"/>
        </w:rPr>
        <w:t>,</w:t>
      </w:r>
      <w:r>
        <w:rPr>
          <w:bCs/>
          <w:iCs/>
          <w:lang w:eastAsia="zh-TW"/>
        </w:rPr>
        <w:t xml:space="preserve"> </w:t>
      </w:r>
      <w:r>
        <w:rPr>
          <w:bCs/>
          <w:iCs/>
        </w:rPr>
        <w:t xml:space="preserve">at each </w:t>
      </w:r>
      <w:r w:rsidR="000A1387">
        <w:rPr>
          <w:bCs/>
          <w:iCs/>
        </w:rPr>
        <w:t>associated</w:t>
      </w:r>
      <w:r>
        <w:rPr>
          <w:bCs/>
          <w:iCs/>
        </w:rPr>
        <w:t xml:space="preserve"> Rx path on PCB board, which may cause different insertion loss for each SRS Tx path. </w:t>
      </w:r>
      <w:r w:rsidR="00F2042E">
        <w:rPr>
          <w:bCs/>
          <w:iCs/>
        </w:rPr>
        <w:t xml:space="preserve">In addition, the PCB </w:t>
      </w:r>
      <w:r w:rsidR="000A1387">
        <w:rPr>
          <w:bCs/>
          <w:iCs/>
        </w:rPr>
        <w:t>tracing</w:t>
      </w:r>
      <w:r w:rsidR="00F2042E">
        <w:rPr>
          <w:bCs/>
          <w:iCs/>
        </w:rPr>
        <w:t xml:space="preserve"> loss may also be different for each SRS Tx </w:t>
      </w:r>
      <w:r w:rsidR="000A1387">
        <w:rPr>
          <w:bCs/>
          <w:iCs/>
        </w:rPr>
        <w:t xml:space="preserve">associated Rx </w:t>
      </w:r>
      <w:r w:rsidR="00F2042E">
        <w:rPr>
          <w:bCs/>
          <w:iCs/>
        </w:rPr>
        <w:t xml:space="preserve">path. Hence, </w:t>
      </w:r>
      <w:r w:rsidR="002B2C99">
        <w:rPr>
          <w:bCs/>
          <w:iCs/>
        </w:rPr>
        <w:t xml:space="preserve">in order </w:t>
      </w:r>
      <w:r w:rsidR="002B2C99">
        <w:rPr>
          <w:color w:val="000000" w:themeColor="text1"/>
        </w:rPr>
        <w:t>to accommodate different UE hardware implementation for</w:t>
      </w:r>
      <w:r w:rsidR="00F2042E">
        <w:rPr>
          <w:bCs/>
          <w:iCs/>
        </w:rPr>
        <w:t xml:space="preserve"> both the SRS insertion loss and PCB </w:t>
      </w:r>
      <w:r w:rsidR="000A1387">
        <w:rPr>
          <w:bCs/>
          <w:iCs/>
        </w:rPr>
        <w:t>tracing</w:t>
      </w:r>
      <w:r w:rsidR="00F2042E">
        <w:rPr>
          <w:bCs/>
          <w:iCs/>
        </w:rPr>
        <w:t xml:space="preserve"> loss, RAN4 define </w:t>
      </w:r>
      <w:r w:rsidR="00F2042E" w:rsidRPr="00EA2D80">
        <w:rPr>
          <w:color w:val="000000" w:themeColor="text1"/>
        </w:rPr>
        <w:t>Δ</w:t>
      </w:r>
      <w:r w:rsidR="00F2042E">
        <w:rPr>
          <w:color w:val="000000" w:themeColor="text1"/>
        </w:rPr>
        <w:t>T</w:t>
      </w:r>
      <w:r w:rsidR="00F2042E">
        <w:rPr>
          <w:color w:val="000000" w:themeColor="text1"/>
          <w:vertAlign w:val="subscript"/>
        </w:rPr>
        <w:t>RxSRS</w:t>
      </w:r>
      <w:r w:rsidR="00F2042E">
        <w:rPr>
          <w:color w:val="000000" w:themeColor="text1"/>
        </w:rPr>
        <w:t xml:space="preserve"> requirement within the lower bound of </w:t>
      </w:r>
      <w:r w:rsidR="00F2042E" w:rsidRPr="009C1C72">
        <w:rPr>
          <w:lang w:eastAsia="zh-CN"/>
        </w:rPr>
        <w:t>P</w:t>
      </w:r>
      <w:r w:rsidR="00F2042E" w:rsidRPr="009C1C72">
        <w:rPr>
          <w:vertAlign w:val="subscript"/>
          <w:lang w:eastAsia="zh-CN"/>
        </w:rPr>
        <w:t>CMAX</w:t>
      </w:r>
      <w:r w:rsidR="00F2042E">
        <w:rPr>
          <w:color w:val="000000" w:themeColor="text1"/>
        </w:rPr>
        <w:t xml:space="preserve"> equation shown as follows in TS 38.101-1 sub clause 6.2.4</w:t>
      </w:r>
      <w:r w:rsidR="002B2C99">
        <w:rPr>
          <w:color w:val="000000" w:themeColor="text1"/>
        </w:rPr>
        <w:t xml:space="preserve">, which </w:t>
      </w:r>
      <w:r w:rsidR="00C06D1B">
        <w:rPr>
          <w:color w:val="000000" w:themeColor="text1"/>
        </w:rPr>
        <w:t>means</w:t>
      </w:r>
      <w:r w:rsidR="002B2C99">
        <w:rPr>
          <w:color w:val="000000" w:themeColor="text1"/>
        </w:rPr>
        <w:t xml:space="preserve"> the </w:t>
      </w:r>
      <w:r w:rsidR="00C06D1B" w:rsidRPr="00EA2D80">
        <w:rPr>
          <w:color w:val="000000" w:themeColor="text1"/>
        </w:rPr>
        <w:t>Δ</w:t>
      </w:r>
      <w:r w:rsidR="00C06D1B">
        <w:rPr>
          <w:color w:val="000000" w:themeColor="text1"/>
        </w:rPr>
        <w:t>T</w:t>
      </w:r>
      <w:r w:rsidR="00C06D1B">
        <w:rPr>
          <w:color w:val="000000" w:themeColor="text1"/>
          <w:vertAlign w:val="subscript"/>
        </w:rPr>
        <w:t>RxSRS</w:t>
      </w:r>
      <w:r w:rsidR="00C06D1B">
        <w:rPr>
          <w:color w:val="000000" w:themeColor="text1"/>
        </w:rPr>
        <w:t xml:space="preserve"> value power reduction is allowed when the UE performing SRS Tx </w:t>
      </w:r>
      <w:r w:rsidR="000A1387">
        <w:rPr>
          <w:color w:val="000000" w:themeColor="text1"/>
        </w:rPr>
        <w:t xml:space="preserve">antenna </w:t>
      </w:r>
      <w:r w:rsidR="00C06D1B">
        <w:rPr>
          <w:color w:val="000000" w:themeColor="text1"/>
        </w:rPr>
        <w:t xml:space="preserve">switching. According to different </w:t>
      </w:r>
      <w:r w:rsidR="00C06D1B">
        <w:rPr>
          <w:bCs/>
          <w:iCs/>
        </w:rPr>
        <w:t>“xTyR” capability, the</w:t>
      </w:r>
      <w:r w:rsidR="00C06D1B">
        <w:rPr>
          <w:color w:val="000000" w:themeColor="text1"/>
        </w:rPr>
        <w:t xml:space="preserve"> </w:t>
      </w:r>
      <w:r w:rsidR="000A1387">
        <w:rPr>
          <w:color w:val="000000" w:themeColor="text1"/>
        </w:rPr>
        <w:t>corresponding</w:t>
      </w:r>
      <w:r w:rsidR="00C06D1B">
        <w:rPr>
          <w:color w:val="000000" w:themeColor="text1"/>
        </w:rPr>
        <w:t xml:space="preserve"> </w:t>
      </w:r>
      <w:r w:rsidR="00C06D1B" w:rsidRPr="00EA2D80">
        <w:rPr>
          <w:color w:val="000000" w:themeColor="text1"/>
        </w:rPr>
        <w:t>Δ</w:t>
      </w:r>
      <w:r w:rsidR="00C06D1B">
        <w:rPr>
          <w:color w:val="000000" w:themeColor="text1"/>
        </w:rPr>
        <w:t>T</w:t>
      </w:r>
      <w:r w:rsidR="00C06D1B">
        <w:rPr>
          <w:color w:val="000000" w:themeColor="text1"/>
          <w:vertAlign w:val="subscript"/>
        </w:rPr>
        <w:t>RxSRS</w:t>
      </w:r>
      <w:r w:rsidR="00C06D1B">
        <w:rPr>
          <w:color w:val="000000" w:themeColor="text1"/>
        </w:rPr>
        <w:t xml:space="preserve"> values are defined in TS 38.101-1 sub clause 6.2.4.</w:t>
      </w:r>
    </w:p>
    <w:p w14:paraId="2EF4615F" w14:textId="77777777" w:rsidR="00F2042E" w:rsidRPr="00A1115A" w:rsidRDefault="00F2042E" w:rsidP="00F2042E">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70484470" w14:textId="77777777" w:rsidR="00F2042E" w:rsidRPr="009C1C72" w:rsidRDefault="00F2042E" w:rsidP="00F2042E">
      <w:pPr>
        <w:pStyle w:val="EQ"/>
        <w:jc w:val="center"/>
        <w:rPr>
          <w:lang w:eastAsia="zh-CN"/>
        </w:rPr>
      </w:pPr>
      <w:r w:rsidRPr="00A1115A">
        <w:rPr>
          <w:lang w:eastAsia="zh-CN"/>
        </w:rPr>
        <w:lastRenderedPageBreak/>
        <w:tab/>
      </w:r>
      <w:r w:rsidRPr="009C1C72">
        <w:rPr>
          <w:lang w:eastAsia="zh-CN"/>
        </w:rPr>
        <w:t>P</w:t>
      </w:r>
      <w:r w:rsidRPr="009C1C72">
        <w:rPr>
          <w:vertAlign w:val="subscript"/>
          <w:lang w:eastAsia="zh-CN"/>
        </w:rPr>
        <w:t>CMAX_L,f,c</w:t>
      </w:r>
      <w:r w:rsidRPr="009C1C72">
        <w:rPr>
          <w:lang w:eastAsia="zh-CN"/>
        </w:rPr>
        <w:t xml:space="preserve"> = MIN {P</w:t>
      </w:r>
      <w:r w:rsidRPr="009C1C72">
        <w:rPr>
          <w:vertAlign w:val="subscript"/>
          <w:lang w:eastAsia="zh-CN"/>
        </w:rPr>
        <w:t>EMAX,c</w:t>
      </w:r>
      <w:r w:rsidRPr="009C1C72">
        <w:rPr>
          <w:lang w:eastAsia="zh-CN"/>
        </w:rPr>
        <w:t>– ∆T</w:t>
      </w:r>
      <w:r w:rsidRPr="009C1C72">
        <w:rPr>
          <w:vertAlign w:val="subscript"/>
          <w:lang w:eastAsia="zh-CN"/>
        </w:rPr>
        <w:t>C,c</w:t>
      </w:r>
      <w:r w:rsidRPr="009C1C72">
        <w:rPr>
          <w:lang w:eastAsia="zh-CN"/>
        </w:rPr>
        <w:t>,  (P</w:t>
      </w:r>
      <w:r w:rsidRPr="009C1C72">
        <w:rPr>
          <w:vertAlign w:val="subscript"/>
          <w:lang w:eastAsia="zh-CN"/>
        </w:rPr>
        <w:t>PowerClass</w:t>
      </w:r>
      <w:r w:rsidRPr="009C1C72">
        <w:rPr>
          <w:lang w:eastAsia="zh-CN"/>
        </w:rPr>
        <w:t xml:space="preserve"> – ΔP</w:t>
      </w:r>
      <w:r w:rsidRPr="009C1C72">
        <w:rPr>
          <w:vertAlign w:val="subscript"/>
          <w:lang w:eastAsia="zh-CN"/>
        </w:rPr>
        <w:t>PowerClass</w:t>
      </w:r>
      <w:r w:rsidRPr="009C1C72">
        <w:t xml:space="preserve"> + ΔP</w:t>
      </w:r>
      <w:r w:rsidRPr="009C1C72">
        <w:rPr>
          <w:vertAlign w:val="subscript"/>
        </w:rPr>
        <w:t>PowerBoost</w:t>
      </w:r>
      <w:r w:rsidRPr="009C1C72">
        <w:rPr>
          <w:lang w:eastAsia="zh-CN"/>
        </w:rPr>
        <w:t>) – MAX(MAX(MPR</w:t>
      </w:r>
      <w:r w:rsidRPr="009C1C72">
        <w:rPr>
          <w:vertAlign w:val="subscript"/>
          <w:lang w:eastAsia="zh-CN"/>
        </w:rPr>
        <w:t>c</w:t>
      </w:r>
      <w:r w:rsidRPr="009C1C72">
        <w:rPr>
          <w:lang w:eastAsia="zh-CN"/>
        </w:rPr>
        <w:t>+∆MPR</w:t>
      </w:r>
      <w:r w:rsidRPr="009C1C72">
        <w:rPr>
          <w:vertAlign w:val="subscript"/>
          <w:lang w:eastAsia="zh-CN"/>
        </w:rPr>
        <w:t>c</w:t>
      </w:r>
      <w:r w:rsidRPr="009C1C72">
        <w:rPr>
          <w:lang w:eastAsia="zh-CN"/>
        </w:rPr>
        <w:t>, A-MPR</w:t>
      </w:r>
      <w:r w:rsidRPr="009C1C72">
        <w:rPr>
          <w:vertAlign w:val="subscript"/>
          <w:lang w:eastAsia="zh-CN"/>
        </w:rPr>
        <w:t>c</w:t>
      </w:r>
      <w:r w:rsidRPr="009C1C72">
        <w:rPr>
          <w:lang w:eastAsia="zh-CN"/>
        </w:rPr>
        <w:t>)+ ΔT</w:t>
      </w:r>
      <w:r w:rsidRPr="009C1C72">
        <w:rPr>
          <w:vertAlign w:val="subscript"/>
          <w:lang w:eastAsia="zh-CN"/>
        </w:rPr>
        <w:t>IB,c</w:t>
      </w:r>
      <w:r w:rsidRPr="009C1C72">
        <w:rPr>
          <w:lang w:eastAsia="zh-CN"/>
        </w:rPr>
        <w:t xml:space="preserve"> + ∆T</w:t>
      </w:r>
      <w:r w:rsidRPr="009C1C72">
        <w:rPr>
          <w:vertAlign w:val="subscript"/>
          <w:lang w:eastAsia="zh-CN"/>
        </w:rPr>
        <w:t xml:space="preserve">C,c </w:t>
      </w:r>
      <w:r w:rsidRPr="009C1C72">
        <w:rPr>
          <w:lang w:eastAsia="zh-CN"/>
        </w:rPr>
        <w:t>+</w:t>
      </w:r>
      <w:r w:rsidRPr="009C1C72">
        <w:rPr>
          <w:vertAlign w:val="subscript"/>
          <w:lang w:eastAsia="zh-CN"/>
        </w:rPr>
        <w:t xml:space="preserve"> </w:t>
      </w:r>
      <w:r w:rsidRPr="00456D10">
        <w:rPr>
          <w:highlight w:val="yellow"/>
        </w:rPr>
        <w:t>∆T</w:t>
      </w:r>
      <w:r w:rsidRPr="00456D10">
        <w:rPr>
          <w:highlight w:val="yellow"/>
          <w:vertAlign w:val="subscript"/>
          <w:lang w:eastAsia="zh-CN"/>
        </w:rPr>
        <w:t>RxSRS</w:t>
      </w:r>
      <w:r w:rsidRPr="009C1C72">
        <w:rPr>
          <w:lang w:eastAsia="zh-CN"/>
        </w:rPr>
        <w:t>, P-MPR</w:t>
      </w:r>
      <w:r w:rsidRPr="009C1C72">
        <w:rPr>
          <w:vertAlign w:val="subscript"/>
          <w:lang w:eastAsia="zh-CN"/>
        </w:rPr>
        <w:t>c</w:t>
      </w:r>
      <w:r w:rsidRPr="009C1C72">
        <w:rPr>
          <w:lang w:eastAsia="zh-CN"/>
        </w:rPr>
        <w:t>) }</w:t>
      </w:r>
    </w:p>
    <w:p w14:paraId="1F766F1B" w14:textId="77777777" w:rsidR="00F2042E" w:rsidRPr="00A1115A" w:rsidRDefault="00F2042E" w:rsidP="00F2042E">
      <w:pPr>
        <w:pStyle w:val="EQ"/>
        <w:jc w:val="center"/>
        <w:rPr>
          <w:lang w:eastAsia="zh-CN"/>
        </w:rPr>
      </w:pPr>
      <w:r w:rsidRPr="009C1C72">
        <w:rPr>
          <w:noProof w:val="0"/>
          <w:lang w:eastAsia="zh-CN"/>
        </w:rPr>
        <w:t>P</w:t>
      </w:r>
      <w:r w:rsidRPr="009C1C72">
        <w:rPr>
          <w:noProof w:val="0"/>
          <w:vertAlign w:val="subscript"/>
          <w:lang w:eastAsia="zh-CN"/>
        </w:rPr>
        <w:t>CMAX_H,f,c</w:t>
      </w:r>
      <w:r w:rsidRPr="009C1C72">
        <w:rPr>
          <w:noProof w:val="0"/>
          <w:lang w:eastAsia="zh-CN"/>
        </w:rPr>
        <w:t xml:space="preserve"> = MIN {P</w:t>
      </w:r>
      <w:r w:rsidRPr="009C1C72">
        <w:rPr>
          <w:noProof w:val="0"/>
          <w:vertAlign w:val="subscript"/>
          <w:lang w:eastAsia="zh-CN"/>
        </w:rPr>
        <w:t>EMAX,c</w:t>
      </w:r>
      <w:r w:rsidRPr="009C1C72">
        <w:rPr>
          <w:noProof w:val="0"/>
          <w:lang w:eastAsia="zh-CN"/>
        </w:rPr>
        <w:t>,  P</w:t>
      </w:r>
      <w:r w:rsidRPr="009C1C72">
        <w:rPr>
          <w:noProof w:val="0"/>
          <w:vertAlign w:val="subscript"/>
          <w:lang w:eastAsia="zh-CN"/>
        </w:rPr>
        <w:t>PowerClass</w:t>
      </w:r>
      <w:r w:rsidRPr="009C1C72">
        <w:rPr>
          <w:noProof w:val="0"/>
          <w:lang w:eastAsia="zh-CN"/>
        </w:rPr>
        <w:t xml:space="preserve"> – ΔP</w:t>
      </w:r>
      <w:r w:rsidRPr="009C1C72">
        <w:rPr>
          <w:noProof w:val="0"/>
          <w:vertAlign w:val="subscript"/>
          <w:lang w:eastAsia="zh-CN"/>
        </w:rPr>
        <w:t>PowerClass</w:t>
      </w:r>
      <w:r w:rsidRPr="009C1C72">
        <w:rPr>
          <w:noProof w:val="0"/>
          <w:lang w:eastAsia="zh-CN"/>
        </w:rPr>
        <w:t xml:space="preserve"> </w:t>
      </w:r>
      <w:r w:rsidRPr="009C1C72">
        <w:rPr>
          <w:noProof w:val="0"/>
        </w:rPr>
        <w:t>+ ΔP</w:t>
      </w:r>
      <w:r w:rsidRPr="009C1C72">
        <w:rPr>
          <w:noProof w:val="0"/>
          <w:vertAlign w:val="subscript"/>
        </w:rPr>
        <w:t>PowerBoost</w:t>
      </w:r>
      <w:r w:rsidRPr="009C1C72">
        <w:rPr>
          <w:noProof w:val="0"/>
          <w:lang w:eastAsia="zh-CN"/>
        </w:rPr>
        <w:t>}</w:t>
      </w:r>
    </w:p>
    <w:p w14:paraId="5C1E5FDD" w14:textId="7ECCA7BA" w:rsidR="00293BA5" w:rsidRPr="00293BA5" w:rsidRDefault="00C06D1B" w:rsidP="00F26954">
      <w:pPr>
        <w:jc w:val="both"/>
        <w:rPr>
          <w:iCs/>
          <w:lang w:val="en-US" w:eastAsia="zh-TW"/>
        </w:rPr>
      </w:pPr>
      <w:r>
        <w:rPr>
          <w:lang w:val="en-US" w:eastAsia="zh-TW"/>
        </w:rPr>
        <w:t xml:space="preserve">In RAN4#110bis, </w:t>
      </w:r>
      <w:r w:rsidRPr="00FF60EE">
        <w:rPr>
          <w:lang w:val="en-US"/>
        </w:rPr>
        <w:t>6Rx for handheld and FWA UEs</w:t>
      </w:r>
      <w:r>
        <w:rPr>
          <w:lang w:val="en-US"/>
        </w:rPr>
        <w:t xml:space="preserve"> has been discussed and some open issues about </w:t>
      </w:r>
      <w:r w:rsidR="005E3B82">
        <w:rPr>
          <w:lang w:val="en-US"/>
        </w:rPr>
        <w:t xml:space="preserve">SRS antenna switching configuration and </w:t>
      </w:r>
      <w:r w:rsidR="005E3B82" w:rsidRPr="00EA2D80">
        <w:rPr>
          <w:color w:val="000000" w:themeColor="text1"/>
        </w:rPr>
        <w:t>Δ</w:t>
      </w:r>
      <w:r w:rsidR="005E3B82">
        <w:rPr>
          <w:color w:val="000000" w:themeColor="text1"/>
        </w:rPr>
        <w:t>T</w:t>
      </w:r>
      <w:r w:rsidR="005E3B82">
        <w:rPr>
          <w:color w:val="000000" w:themeColor="text1"/>
          <w:vertAlign w:val="subscript"/>
        </w:rPr>
        <w:t>RxSRS</w:t>
      </w:r>
      <w:r w:rsidR="005E3B82">
        <w:rPr>
          <w:color w:val="000000" w:themeColor="text1"/>
        </w:rPr>
        <w:t xml:space="preserve"> requirement</w:t>
      </w:r>
      <w:r>
        <w:rPr>
          <w:lang w:val="en-US"/>
        </w:rPr>
        <w:t xml:space="preserve"> are captured in the WF. </w:t>
      </w:r>
      <w:r w:rsidR="00667518">
        <w:rPr>
          <w:lang w:val="en-US"/>
        </w:rPr>
        <w:t xml:space="preserve">For </w:t>
      </w:r>
      <w:r w:rsidR="00293BA5">
        <w:rPr>
          <w:lang w:val="en-US"/>
        </w:rPr>
        <w:t>SRS antenna switching configuration, the main point is to determine whether the “3T6R” and “4T6R” SRS antenna switching configuration in the WID should be continued discussing in RAN4 and four options are listed in the WF. The reason is that some companies during RAN4#110bis identify that RAN1 has not introduced the “3T6R” and “4T6R” SRS antenna switching configuration, and there is also no “3T6R” and “4T6R” in the current definition of IE</w:t>
      </w:r>
      <w:r w:rsidR="00293BA5" w:rsidRPr="00A84269">
        <w:rPr>
          <w:bCs/>
          <w:i/>
        </w:rPr>
        <w:t xml:space="preserve"> srs-AntennaSwitchingBeyond4Rx-r17</w:t>
      </w:r>
      <w:r w:rsidR="00293BA5">
        <w:rPr>
          <w:bCs/>
          <w:iCs/>
        </w:rPr>
        <w:t xml:space="preserve">. </w:t>
      </w:r>
      <w:r w:rsidR="00AA4344">
        <w:rPr>
          <w:bCs/>
          <w:iCs/>
        </w:rPr>
        <w:t>In addition, a</w:t>
      </w:r>
      <w:r w:rsidR="00293BA5">
        <w:rPr>
          <w:bCs/>
          <w:iCs/>
        </w:rPr>
        <w:t xml:space="preserve"> LS [</w:t>
      </w:r>
      <w:r w:rsidR="00BF552F">
        <w:rPr>
          <w:bCs/>
          <w:iCs/>
        </w:rPr>
        <w:t>3</w:t>
      </w:r>
      <w:r w:rsidR="00293BA5">
        <w:rPr>
          <w:bCs/>
          <w:iCs/>
        </w:rPr>
        <w:t>]</w:t>
      </w:r>
      <w:r w:rsidR="00474781">
        <w:rPr>
          <w:bCs/>
          <w:iCs/>
        </w:rPr>
        <w:t xml:space="preserve"> is approved to </w:t>
      </w:r>
      <w:r w:rsidR="00185DF1">
        <w:rPr>
          <w:bCs/>
          <w:iCs/>
        </w:rPr>
        <w:t>send to RAN1</w:t>
      </w:r>
      <w:r w:rsidR="00474781">
        <w:rPr>
          <w:bCs/>
          <w:iCs/>
        </w:rPr>
        <w:t xml:space="preserve"> to consider introduc</w:t>
      </w:r>
      <w:r w:rsidR="00185DF1">
        <w:rPr>
          <w:bCs/>
          <w:iCs/>
        </w:rPr>
        <w:t>ing</w:t>
      </w:r>
      <w:r w:rsidR="00474781">
        <w:rPr>
          <w:bCs/>
          <w:iCs/>
        </w:rPr>
        <w:t xml:space="preserve"> </w:t>
      </w:r>
      <w:r w:rsidR="00604DB5">
        <w:rPr>
          <w:bCs/>
          <w:iCs/>
        </w:rPr>
        <w:t>“</w:t>
      </w:r>
      <w:r w:rsidR="00474781">
        <w:rPr>
          <w:lang w:val="en-US"/>
        </w:rPr>
        <w:t>3T6R” and “4T6R” SRS antenna switching configuration.</w:t>
      </w:r>
    </w:p>
    <w:p w14:paraId="18D734BB" w14:textId="5B572851" w:rsidR="00185DF1" w:rsidRDefault="00293BA5" w:rsidP="00F26954">
      <w:pPr>
        <w:jc w:val="both"/>
        <w:rPr>
          <w:lang w:val="en-US" w:eastAsia="zh-TW"/>
        </w:rPr>
      </w:pPr>
      <w:r>
        <w:rPr>
          <w:lang w:val="en-US"/>
        </w:rPr>
        <w:t xml:space="preserve">In our view, </w:t>
      </w:r>
      <w:r w:rsidR="00DF681F">
        <w:rPr>
          <w:lang w:val="en-US"/>
        </w:rPr>
        <w:t>since the LS is just sen</w:t>
      </w:r>
      <w:r w:rsidR="00F3150B">
        <w:rPr>
          <w:lang w:val="en-US"/>
        </w:rPr>
        <w:t>t</w:t>
      </w:r>
      <w:r w:rsidR="00DF681F">
        <w:rPr>
          <w:lang w:val="en-US"/>
        </w:rPr>
        <w:t xml:space="preserve"> to RAN1</w:t>
      </w:r>
      <w:r w:rsidR="00604DB5">
        <w:rPr>
          <w:lang w:val="en-US"/>
        </w:rPr>
        <w:t xml:space="preserve">, it may be </w:t>
      </w:r>
      <w:r w:rsidR="007F36BC">
        <w:rPr>
          <w:lang w:val="en-US"/>
        </w:rPr>
        <w:t>still uncertain</w:t>
      </w:r>
      <w:r w:rsidR="00604DB5">
        <w:rPr>
          <w:lang w:val="en-US"/>
        </w:rPr>
        <w:t xml:space="preserve"> whether to introduce </w:t>
      </w:r>
      <w:r w:rsidR="00604DB5">
        <w:rPr>
          <w:bCs/>
          <w:iCs/>
        </w:rPr>
        <w:t>“</w:t>
      </w:r>
      <w:r w:rsidR="00604DB5">
        <w:rPr>
          <w:lang w:val="en-US"/>
        </w:rPr>
        <w:t xml:space="preserve">3T6R” and “4T6R” SRS antenna switching configuration in Rel-19. Considering saving the precious meeting resource, it would be better to focus on </w:t>
      </w:r>
      <w:r w:rsidR="00604DB5">
        <w:rPr>
          <w:bCs/>
          <w:iCs/>
        </w:rPr>
        <w:t>“</w:t>
      </w:r>
      <w:r w:rsidR="00604DB5">
        <w:rPr>
          <w:lang w:val="en-US"/>
        </w:rPr>
        <w:t>1T6R” and “2T6R” SRS antenna switching configuration</w:t>
      </w:r>
      <w:r w:rsidR="004E3DA4">
        <w:rPr>
          <w:lang w:val="en-US"/>
        </w:rPr>
        <w:t>s</w:t>
      </w:r>
      <w:r w:rsidR="00604DB5">
        <w:rPr>
          <w:lang w:val="en-US"/>
        </w:rPr>
        <w:t xml:space="preserve"> </w:t>
      </w:r>
      <w:r w:rsidR="00604DB5" w:rsidRPr="00604DB5">
        <w:rPr>
          <w:lang w:val="en-US"/>
        </w:rPr>
        <w:t xml:space="preserve">for 6 Rx </w:t>
      </w:r>
      <w:r w:rsidR="007F36BC" w:rsidRPr="00EA2D80">
        <w:rPr>
          <w:color w:val="000000" w:themeColor="text1"/>
        </w:rPr>
        <w:t>Δ</w:t>
      </w:r>
      <w:r w:rsidR="007F36BC">
        <w:rPr>
          <w:color w:val="000000" w:themeColor="text1"/>
        </w:rPr>
        <w:t>T</w:t>
      </w:r>
      <w:r w:rsidR="007F36BC">
        <w:rPr>
          <w:color w:val="000000" w:themeColor="text1"/>
          <w:vertAlign w:val="subscript"/>
        </w:rPr>
        <w:t>RxSRS</w:t>
      </w:r>
      <w:r w:rsidR="007F36BC" w:rsidRPr="00604DB5">
        <w:rPr>
          <w:lang w:val="en-US"/>
        </w:rPr>
        <w:t xml:space="preserve"> </w:t>
      </w:r>
      <w:r w:rsidR="00604DB5" w:rsidRPr="00604DB5">
        <w:rPr>
          <w:lang w:val="en-US"/>
        </w:rPr>
        <w:t>requirements in Rel-19</w:t>
      </w:r>
      <w:r w:rsidR="00604DB5">
        <w:rPr>
          <w:lang w:val="en-US"/>
        </w:rPr>
        <w:t>. Hence, it</w:t>
      </w:r>
      <w:r w:rsidR="00604DB5" w:rsidRPr="00604DB5">
        <w:rPr>
          <w:lang w:val="en-US"/>
        </w:rPr>
        <w:t xml:space="preserve"> is proposed to preclude 3T6R and 4T6R SRS antenna switching configuration</w:t>
      </w:r>
      <w:r w:rsidR="004E3DA4">
        <w:rPr>
          <w:lang w:val="en-US"/>
        </w:rPr>
        <w:t>s</w:t>
      </w:r>
      <w:r w:rsidR="00604DB5" w:rsidRPr="00604DB5">
        <w:rPr>
          <w:lang w:val="en-US"/>
        </w:rPr>
        <w:t xml:space="preserve"> for 6 Rx </w:t>
      </w:r>
      <w:r w:rsidR="007F36BC" w:rsidRPr="00EA2D80">
        <w:rPr>
          <w:color w:val="000000" w:themeColor="text1"/>
        </w:rPr>
        <w:t>Δ</w:t>
      </w:r>
      <w:r w:rsidR="007F36BC">
        <w:rPr>
          <w:color w:val="000000" w:themeColor="text1"/>
        </w:rPr>
        <w:t>T</w:t>
      </w:r>
      <w:r w:rsidR="007F36BC">
        <w:rPr>
          <w:color w:val="000000" w:themeColor="text1"/>
          <w:vertAlign w:val="subscript"/>
        </w:rPr>
        <w:t>RxSRS</w:t>
      </w:r>
      <w:r w:rsidR="007F36BC" w:rsidRPr="00604DB5">
        <w:rPr>
          <w:lang w:val="en-US"/>
        </w:rPr>
        <w:t xml:space="preserve"> </w:t>
      </w:r>
      <w:r w:rsidR="00604DB5" w:rsidRPr="00604DB5">
        <w:rPr>
          <w:lang w:val="en-US"/>
        </w:rPr>
        <w:t>requirements in Rel-19</w:t>
      </w:r>
    </w:p>
    <w:p w14:paraId="6D550D02" w14:textId="2B0EF196" w:rsidR="00A84269" w:rsidRPr="007F36BC" w:rsidRDefault="00185DF1" w:rsidP="007959A9">
      <w:pPr>
        <w:jc w:val="both"/>
        <w:rPr>
          <w:b/>
          <w:bCs/>
          <w:lang w:val="en-US" w:eastAsia="zh-TW"/>
        </w:rPr>
      </w:pPr>
      <w:r w:rsidRPr="007F36BC">
        <w:rPr>
          <w:b/>
          <w:bCs/>
          <w:lang w:val="en-US" w:eastAsia="x-none"/>
        </w:rPr>
        <w:t xml:space="preserve">Proposal 1: </w:t>
      </w:r>
      <w:r w:rsidR="007F36BC">
        <w:rPr>
          <w:b/>
          <w:bCs/>
          <w:lang w:val="en-US"/>
        </w:rPr>
        <w:t>It</w:t>
      </w:r>
      <w:r w:rsidR="007F36BC" w:rsidRPr="007F36BC">
        <w:rPr>
          <w:b/>
          <w:bCs/>
          <w:lang w:val="en-US"/>
        </w:rPr>
        <w:t xml:space="preserve"> is proposed to preclude 3T6R and 4T6R SRS antenna switching configuration</w:t>
      </w:r>
      <w:r w:rsidR="004E3DA4">
        <w:rPr>
          <w:b/>
          <w:bCs/>
          <w:lang w:val="en-US"/>
        </w:rPr>
        <w:t>s</w:t>
      </w:r>
      <w:r w:rsidR="007F36BC" w:rsidRPr="007F36BC">
        <w:rPr>
          <w:b/>
          <w:bCs/>
          <w:lang w:val="en-US"/>
        </w:rPr>
        <w:t xml:space="preserve"> for 6 Rx </w:t>
      </w:r>
      <w:r w:rsidR="007F36BC" w:rsidRPr="007F36BC">
        <w:rPr>
          <w:b/>
          <w:bCs/>
          <w:color w:val="000000" w:themeColor="text1"/>
        </w:rPr>
        <w:t>ΔT</w:t>
      </w:r>
      <w:r w:rsidR="007F36BC" w:rsidRPr="007F36BC">
        <w:rPr>
          <w:b/>
          <w:bCs/>
          <w:color w:val="000000" w:themeColor="text1"/>
          <w:vertAlign w:val="subscript"/>
        </w:rPr>
        <w:t>RxSRS</w:t>
      </w:r>
      <w:r w:rsidR="007F36BC" w:rsidRPr="007F36BC">
        <w:rPr>
          <w:b/>
          <w:bCs/>
          <w:lang w:val="en-US"/>
        </w:rPr>
        <w:t xml:space="preserve"> requirements in Rel-19</w:t>
      </w:r>
      <w:r w:rsidR="007F36BC" w:rsidRPr="007F36BC">
        <w:rPr>
          <w:b/>
          <w:bCs/>
          <w:lang w:val="en-US" w:eastAsia="zh-TW"/>
        </w:rPr>
        <w:t>.</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342DA945" w14:textId="5453B9E2" w:rsidR="00BF552F" w:rsidRPr="00604DB5" w:rsidRDefault="00BF552F" w:rsidP="00BF552F">
      <w:pPr>
        <w:jc w:val="both"/>
        <w:rPr>
          <w:b/>
          <w:bCs/>
          <w:lang w:val="en-US" w:eastAsia="x-none"/>
        </w:rPr>
      </w:pPr>
      <w:r w:rsidRPr="00604DB5">
        <w:rPr>
          <w:b/>
          <w:bCs/>
          <w:lang w:val="en-US" w:eastAsia="x-none"/>
        </w:rPr>
        <w:t xml:space="preserve">Proposal 1: It is proposed to preclude </w:t>
      </w:r>
      <w:r>
        <w:rPr>
          <w:b/>
          <w:bCs/>
          <w:lang w:val="en-US" w:eastAsia="x-none"/>
        </w:rPr>
        <w:t>3T6R</w:t>
      </w:r>
      <w:r w:rsidRPr="00604DB5">
        <w:rPr>
          <w:b/>
          <w:bCs/>
          <w:lang w:val="en-US" w:eastAsia="x-none"/>
        </w:rPr>
        <w:t xml:space="preserve"> and </w:t>
      </w:r>
      <w:r>
        <w:rPr>
          <w:b/>
          <w:bCs/>
          <w:lang w:val="en-US" w:eastAsia="x-none"/>
        </w:rPr>
        <w:t>4T6R</w:t>
      </w:r>
      <w:r w:rsidRPr="00604DB5">
        <w:rPr>
          <w:b/>
          <w:bCs/>
          <w:lang w:val="en-US" w:eastAsia="x-none"/>
        </w:rPr>
        <w:t xml:space="preserve"> SRS antenna switching configuration</w:t>
      </w:r>
      <w:r w:rsidR="004E3DA4">
        <w:rPr>
          <w:b/>
          <w:bCs/>
          <w:lang w:val="en-US" w:eastAsia="x-none"/>
        </w:rPr>
        <w:t>s</w:t>
      </w:r>
      <w:r w:rsidRPr="00604DB5">
        <w:rPr>
          <w:b/>
          <w:bCs/>
          <w:lang w:val="en-US" w:eastAsia="x-none"/>
        </w:rPr>
        <w:t xml:space="preserve"> for </w:t>
      </w:r>
      <w:r w:rsidRPr="00604DB5">
        <w:rPr>
          <w:b/>
          <w:bCs/>
          <w:lang w:eastAsia="zh-CN"/>
        </w:rPr>
        <w:t>6 Rx ∆T</w:t>
      </w:r>
      <w:r w:rsidRPr="00604DB5">
        <w:rPr>
          <w:b/>
          <w:bCs/>
          <w:vertAlign w:val="subscript"/>
          <w:lang w:eastAsia="zh-CN"/>
        </w:rPr>
        <w:t>RxSRS</w:t>
      </w:r>
      <w:r w:rsidRPr="00604DB5">
        <w:rPr>
          <w:b/>
          <w:bCs/>
          <w:lang w:eastAsia="zh-CN"/>
        </w:rPr>
        <w:t xml:space="preserve"> requirements</w:t>
      </w:r>
      <w:r w:rsidRPr="00604DB5">
        <w:rPr>
          <w:b/>
          <w:bCs/>
          <w:lang w:val="en-US" w:eastAsia="x-none"/>
        </w:rPr>
        <w:t xml:space="preserve"> in Rel-19</w:t>
      </w:r>
      <w:r>
        <w:rPr>
          <w:b/>
          <w:bCs/>
          <w:lang w:val="en-US" w:eastAsia="x-none"/>
        </w:rPr>
        <w:t>.</w:t>
      </w:r>
    </w:p>
    <w:p w14:paraId="56780286" w14:textId="60CCB3D5" w:rsidR="00A839C8" w:rsidRPr="00046E46" w:rsidRDefault="00A839C8" w:rsidP="00046E46">
      <w:pPr>
        <w:pStyle w:val="Heading1"/>
        <w:rPr>
          <w:lang w:val="en-US"/>
        </w:rPr>
      </w:pPr>
      <w:r w:rsidRPr="00046E46">
        <w:rPr>
          <w:lang w:val="en-US"/>
        </w:rPr>
        <w:t>Reference</w:t>
      </w:r>
    </w:p>
    <w:p w14:paraId="5B47855B" w14:textId="77777777" w:rsidR="00F32DED" w:rsidRDefault="00F32DED" w:rsidP="00F32DED">
      <w:pPr>
        <w:numPr>
          <w:ilvl w:val="0"/>
          <w:numId w:val="2"/>
        </w:numPr>
        <w:tabs>
          <w:tab w:val="left" w:pos="1080"/>
        </w:tabs>
        <w:rPr>
          <w:lang w:val="en-US" w:eastAsia="x-none"/>
        </w:rPr>
      </w:pPr>
      <w:r w:rsidRPr="00FF60EE">
        <w:rPr>
          <w:lang w:val="en-US" w:eastAsia="x-none"/>
        </w:rPr>
        <w:t>R</w:t>
      </w:r>
      <w:r>
        <w:rPr>
          <w:lang w:val="en-US" w:eastAsia="x-none"/>
        </w:rPr>
        <w:t xml:space="preserve">P-240828, </w:t>
      </w:r>
      <w:r w:rsidRPr="00FF60EE">
        <w:rPr>
          <w:lang w:val="en-US" w:eastAsia="x-none"/>
        </w:rPr>
        <w:t>“New WID: UE RF enhancements for FR1/FR2 and EN-DC , Phase 4”</w:t>
      </w:r>
      <w:r>
        <w:rPr>
          <w:lang w:val="en-US" w:eastAsia="x-none"/>
        </w:rPr>
        <w:t xml:space="preserve">, </w:t>
      </w:r>
      <w:r w:rsidRPr="00FF60EE">
        <w:rPr>
          <w:lang w:val="en-US" w:eastAsia="x-none"/>
        </w:rPr>
        <w:t xml:space="preserve">RAN4 chair (Huawei), </w:t>
      </w:r>
      <w:r>
        <w:rPr>
          <w:lang w:val="en-US" w:eastAsia="x-none"/>
        </w:rPr>
        <w:t>RAN#103</w:t>
      </w:r>
    </w:p>
    <w:p w14:paraId="61D3D457" w14:textId="77777777" w:rsidR="00F32DED" w:rsidRDefault="00F32DED" w:rsidP="00F32DED">
      <w:pPr>
        <w:numPr>
          <w:ilvl w:val="0"/>
          <w:numId w:val="2"/>
        </w:numPr>
        <w:tabs>
          <w:tab w:val="left" w:pos="1080"/>
        </w:tabs>
        <w:rPr>
          <w:lang w:val="en-US" w:eastAsia="x-none"/>
        </w:rPr>
      </w:pPr>
      <w:r>
        <w:rPr>
          <w:lang w:val="en-US" w:eastAsia="x-none"/>
        </w:rPr>
        <w:t>R4-2406585, “WF on requirements for 6Rx”, AT&amp;T, RAN4#110bis</w:t>
      </w:r>
    </w:p>
    <w:p w14:paraId="69789496" w14:textId="05105C0C" w:rsidR="00C549CC" w:rsidRPr="00674F75" w:rsidRDefault="00674F75" w:rsidP="00C549CC">
      <w:pPr>
        <w:numPr>
          <w:ilvl w:val="0"/>
          <w:numId w:val="2"/>
        </w:numPr>
        <w:tabs>
          <w:tab w:val="left" w:pos="1080"/>
        </w:tabs>
        <w:rPr>
          <w:lang w:val="en-US" w:eastAsia="x-none"/>
        </w:rPr>
      </w:pPr>
      <w:r>
        <w:rPr>
          <w:lang w:val="en-US" w:eastAsia="x-none"/>
        </w:rPr>
        <w:t>R4-2406718, “LS on 3T6R and 4T6R antenna switching SRS”, Huawei, RAN4#110bis</w:t>
      </w:r>
    </w:p>
    <w:sectPr w:rsidR="00C549CC" w:rsidRPr="00674F75"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84D9C" w14:textId="77777777" w:rsidR="004D2500" w:rsidRDefault="004D2500">
      <w:r>
        <w:separator/>
      </w:r>
    </w:p>
  </w:endnote>
  <w:endnote w:type="continuationSeparator" w:id="0">
    <w:p w14:paraId="1FDAC067" w14:textId="77777777" w:rsidR="004D2500" w:rsidRDefault="004D2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71D7A" w14:textId="77777777" w:rsidR="004D2500" w:rsidRDefault="004D2500">
      <w:r>
        <w:separator/>
      </w:r>
    </w:p>
  </w:footnote>
  <w:footnote w:type="continuationSeparator" w:id="0">
    <w:p w14:paraId="25499E5D" w14:textId="77777777" w:rsidR="004D2500" w:rsidRDefault="004D25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1D5554C"/>
    <w:multiLevelType w:val="hybridMultilevel"/>
    <w:tmpl w:val="2AF2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9"/>
  </w:num>
  <w:num w:numId="2" w16cid:durableId="1217398289">
    <w:abstractNumId w:val="41"/>
  </w:num>
  <w:num w:numId="3" w16cid:durableId="1848671440">
    <w:abstractNumId w:val="44"/>
  </w:num>
  <w:num w:numId="4" w16cid:durableId="287128541">
    <w:abstractNumId w:val="53"/>
  </w:num>
  <w:num w:numId="5" w16cid:durableId="704259481">
    <w:abstractNumId w:val="36"/>
  </w:num>
  <w:num w:numId="6" w16cid:durableId="494150064">
    <w:abstractNumId w:val="20"/>
  </w:num>
  <w:num w:numId="7" w16cid:durableId="32266730">
    <w:abstractNumId w:val="8"/>
  </w:num>
  <w:num w:numId="8" w16cid:durableId="897008261">
    <w:abstractNumId w:val="42"/>
  </w:num>
  <w:num w:numId="9" w16cid:durableId="1918588008">
    <w:abstractNumId w:val="22"/>
  </w:num>
  <w:num w:numId="10" w16cid:durableId="543835056">
    <w:abstractNumId w:val="33"/>
  </w:num>
  <w:num w:numId="11" w16cid:durableId="637493424">
    <w:abstractNumId w:val="56"/>
  </w:num>
  <w:num w:numId="12" w16cid:durableId="72287852">
    <w:abstractNumId w:val="18"/>
  </w:num>
  <w:num w:numId="13" w16cid:durableId="910506567">
    <w:abstractNumId w:val="14"/>
  </w:num>
  <w:num w:numId="14" w16cid:durableId="868878726">
    <w:abstractNumId w:val="31"/>
  </w:num>
  <w:num w:numId="15" w16cid:durableId="1417282263">
    <w:abstractNumId w:val="28"/>
  </w:num>
  <w:num w:numId="16" w16cid:durableId="1483235279">
    <w:abstractNumId w:val="3"/>
  </w:num>
  <w:num w:numId="17" w16cid:durableId="1391224398">
    <w:abstractNumId w:val="17"/>
  </w:num>
  <w:num w:numId="18" w16cid:durableId="580065971">
    <w:abstractNumId w:val="5"/>
  </w:num>
  <w:num w:numId="19" w16cid:durableId="2003700665">
    <w:abstractNumId w:val="54"/>
  </w:num>
  <w:num w:numId="20" w16cid:durableId="846746527">
    <w:abstractNumId w:val="30"/>
  </w:num>
  <w:num w:numId="21" w16cid:durableId="1524898150">
    <w:abstractNumId w:val="52"/>
  </w:num>
  <w:num w:numId="22" w16cid:durableId="75175246">
    <w:abstractNumId w:val="2"/>
  </w:num>
  <w:num w:numId="23" w16cid:durableId="601499786">
    <w:abstractNumId w:val="7"/>
  </w:num>
  <w:num w:numId="24" w16cid:durableId="2097164087">
    <w:abstractNumId w:val="45"/>
  </w:num>
  <w:num w:numId="25" w16cid:durableId="1759863025">
    <w:abstractNumId w:val="12"/>
  </w:num>
  <w:num w:numId="26" w16cid:durableId="2080593379">
    <w:abstractNumId w:val="46"/>
  </w:num>
  <w:num w:numId="27" w16cid:durableId="749083227">
    <w:abstractNumId w:val="24"/>
  </w:num>
  <w:num w:numId="28" w16cid:durableId="1626621793">
    <w:abstractNumId w:val="11"/>
  </w:num>
  <w:num w:numId="29" w16cid:durableId="1936208958">
    <w:abstractNumId w:val="10"/>
  </w:num>
  <w:num w:numId="30" w16cid:durableId="400178168">
    <w:abstractNumId w:val="51"/>
  </w:num>
  <w:num w:numId="31" w16cid:durableId="1491948527">
    <w:abstractNumId w:val="23"/>
  </w:num>
  <w:num w:numId="32" w16cid:durableId="91433850">
    <w:abstractNumId w:val="26"/>
  </w:num>
  <w:num w:numId="33" w16cid:durableId="1705252149">
    <w:abstractNumId w:val="34"/>
  </w:num>
  <w:num w:numId="34" w16cid:durableId="1341931594">
    <w:abstractNumId w:val="38"/>
  </w:num>
  <w:num w:numId="35" w16cid:durableId="2055157285">
    <w:abstractNumId w:val="49"/>
  </w:num>
  <w:num w:numId="36" w16cid:durableId="907494910">
    <w:abstractNumId w:val="55"/>
  </w:num>
  <w:num w:numId="37" w16cid:durableId="175579515">
    <w:abstractNumId w:val="13"/>
  </w:num>
  <w:num w:numId="38" w16cid:durableId="2080783788">
    <w:abstractNumId w:val="37"/>
  </w:num>
  <w:num w:numId="39" w16cid:durableId="496312924">
    <w:abstractNumId w:val="50"/>
  </w:num>
  <w:num w:numId="40" w16cid:durableId="1366060901">
    <w:abstractNumId w:val="39"/>
  </w:num>
  <w:num w:numId="41" w16cid:durableId="866598799">
    <w:abstractNumId w:val="25"/>
  </w:num>
  <w:num w:numId="42" w16cid:durableId="1087383631">
    <w:abstractNumId w:val="1"/>
  </w:num>
  <w:num w:numId="43" w16cid:durableId="986669777">
    <w:abstractNumId w:val="32"/>
  </w:num>
  <w:num w:numId="44" w16cid:durableId="1512717097">
    <w:abstractNumId w:val="19"/>
  </w:num>
  <w:num w:numId="45" w16cid:durableId="811950696">
    <w:abstractNumId w:val="21"/>
  </w:num>
  <w:num w:numId="46" w16cid:durableId="547497964">
    <w:abstractNumId w:val="35"/>
  </w:num>
  <w:num w:numId="47" w16cid:durableId="2133554907">
    <w:abstractNumId w:val="48"/>
  </w:num>
  <w:num w:numId="48" w16cid:durableId="1937009862">
    <w:abstractNumId w:val="40"/>
  </w:num>
  <w:num w:numId="49" w16cid:durableId="1936475883">
    <w:abstractNumId w:val="27"/>
  </w:num>
  <w:num w:numId="50" w16cid:durableId="1052271111">
    <w:abstractNumId w:val="16"/>
  </w:num>
  <w:num w:numId="51" w16cid:durableId="733743088">
    <w:abstractNumId w:val="0"/>
  </w:num>
  <w:num w:numId="52" w16cid:durableId="1782725393">
    <w:abstractNumId w:val="4"/>
  </w:num>
  <w:num w:numId="53" w16cid:durableId="319431744">
    <w:abstractNumId w:val="43"/>
  </w:num>
  <w:num w:numId="54" w16cid:durableId="2142645833">
    <w:abstractNumId w:val="15"/>
  </w:num>
  <w:num w:numId="55" w16cid:durableId="309406662">
    <w:abstractNumId w:val="9"/>
  </w:num>
  <w:num w:numId="56" w16cid:durableId="543709897">
    <w:abstractNumId w:val="6"/>
  </w:num>
  <w:num w:numId="57" w16cid:durableId="1278872949">
    <w:abstractNumId w:val="4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2D60"/>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5F0"/>
    <w:rsid w:val="000378CF"/>
    <w:rsid w:val="0003794F"/>
    <w:rsid w:val="00037C57"/>
    <w:rsid w:val="00037D87"/>
    <w:rsid w:val="00037F8C"/>
    <w:rsid w:val="0004010B"/>
    <w:rsid w:val="000402BB"/>
    <w:rsid w:val="000415CC"/>
    <w:rsid w:val="00041B7F"/>
    <w:rsid w:val="00041C36"/>
    <w:rsid w:val="000420FB"/>
    <w:rsid w:val="000428F0"/>
    <w:rsid w:val="00042C8D"/>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B95"/>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387"/>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971"/>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5DF1"/>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490"/>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84E"/>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BA5"/>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2C99"/>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36C"/>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3EA2"/>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81"/>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95"/>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500"/>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3DA4"/>
    <w:rsid w:val="004E4657"/>
    <w:rsid w:val="004E49A7"/>
    <w:rsid w:val="004E49C5"/>
    <w:rsid w:val="004E49C8"/>
    <w:rsid w:val="004E4CC0"/>
    <w:rsid w:val="004E4E14"/>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B82"/>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4DB5"/>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A09"/>
    <w:rsid w:val="00614E18"/>
    <w:rsid w:val="006151D3"/>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2B4"/>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518"/>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4F75"/>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1DB2"/>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2A3"/>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59A9"/>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6BC"/>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5E83"/>
    <w:rsid w:val="00996BE5"/>
    <w:rsid w:val="00996F50"/>
    <w:rsid w:val="0099731F"/>
    <w:rsid w:val="0099797E"/>
    <w:rsid w:val="00997D5F"/>
    <w:rsid w:val="009A0112"/>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2DF0"/>
    <w:rsid w:val="009B34E2"/>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6AE"/>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4269"/>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476"/>
    <w:rsid w:val="00AA397D"/>
    <w:rsid w:val="00AA3F20"/>
    <w:rsid w:val="00AA4344"/>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479"/>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AFC"/>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260"/>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928"/>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1C3"/>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537E"/>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52F"/>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6D1B"/>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33"/>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5B81"/>
    <w:rsid w:val="00DF6058"/>
    <w:rsid w:val="00DF6787"/>
    <w:rsid w:val="00DF681F"/>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2B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42E"/>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954"/>
    <w:rsid w:val="00F26F6A"/>
    <w:rsid w:val="00F27241"/>
    <w:rsid w:val="00F27418"/>
    <w:rsid w:val="00F27468"/>
    <w:rsid w:val="00F279BF"/>
    <w:rsid w:val="00F27C6C"/>
    <w:rsid w:val="00F302B9"/>
    <w:rsid w:val="00F3043F"/>
    <w:rsid w:val="00F30596"/>
    <w:rsid w:val="00F30B07"/>
    <w:rsid w:val="00F3150B"/>
    <w:rsid w:val="00F31521"/>
    <w:rsid w:val="00F31692"/>
    <w:rsid w:val="00F31B07"/>
    <w:rsid w:val="00F31CB0"/>
    <w:rsid w:val="00F322FF"/>
    <w:rsid w:val="00F323E3"/>
    <w:rsid w:val="00F325A7"/>
    <w:rsid w:val="00F326B6"/>
    <w:rsid w:val="00F3273D"/>
    <w:rsid w:val="00F32C8F"/>
    <w:rsid w:val="00F32DED"/>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21594</TotalTime>
  <Pages>3</Pages>
  <Words>1054</Words>
  <Characters>6011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1002</cp:revision>
  <cp:lastPrinted>2017-09-11T16:45:00Z</cp:lastPrinted>
  <dcterms:created xsi:type="dcterms:W3CDTF">2022-02-14T18:34:00Z</dcterms:created>
  <dcterms:modified xsi:type="dcterms:W3CDTF">2024-05-13T14:16:00Z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