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57B91" w14:textId="05709718" w:rsidR="00E17E48" w:rsidRDefault="00E17E48" w:rsidP="00E17E48">
      <w:pPr>
        <w:pStyle w:val="CRCoverPage"/>
        <w:tabs>
          <w:tab w:val="right" w:pos="9639"/>
        </w:tabs>
        <w:rPr>
          <w:rFonts w:cs="Arial"/>
          <w:b/>
          <w:noProof/>
          <w:sz w:val="24"/>
          <w:lang w:eastAsia="ja-JP"/>
        </w:rPr>
      </w:pPr>
      <w:bookmarkStart w:id="0" w:name="historyclause"/>
      <w:r w:rsidRPr="000246EA">
        <w:rPr>
          <w:rFonts w:cs="Arial"/>
          <w:b/>
          <w:noProof/>
          <w:sz w:val="24"/>
          <w:lang w:eastAsia="zh-CN"/>
        </w:rPr>
        <w:t xml:space="preserve">3GPP TSG-RAN </w:t>
      </w:r>
      <w:r>
        <w:rPr>
          <w:rFonts w:cs="Arial"/>
          <w:b/>
          <w:noProof/>
          <w:sz w:val="24"/>
          <w:lang w:eastAsia="zh-CN"/>
        </w:rPr>
        <w:t>WG</w:t>
      </w:r>
      <w:r w:rsidR="00521522">
        <w:rPr>
          <w:rFonts w:cs="Arial"/>
          <w:b/>
          <w:noProof/>
          <w:sz w:val="24"/>
          <w:lang w:eastAsia="zh-CN"/>
        </w:rPr>
        <w:t>4</w:t>
      </w:r>
      <w:r>
        <w:rPr>
          <w:rFonts w:cs="Arial"/>
          <w:b/>
          <w:noProof/>
          <w:sz w:val="24"/>
          <w:lang w:eastAsia="zh-CN"/>
        </w:rPr>
        <w:t xml:space="preserve"> </w:t>
      </w:r>
      <w:r w:rsidRPr="000246EA">
        <w:rPr>
          <w:rFonts w:cs="Arial"/>
          <w:b/>
          <w:noProof/>
          <w:sz w:val="24"/>
          <w:lang w:eastAsia="zh-CN"/>
        </w:rPr>
        <w:t>Meeting #1</w:t>
      </w:r>
      <w:r w:rsidR="00521522">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sidR="00521522">
        <w:rPr>
          <w:rFonts w:cs="Arial"/>
          <w:b/>
          <w:noProof/>
          <w:sz w:val="24"/>
          <w:lang w:eastAsia="zh-CN"/>
        </w:rPr>
        <w:t>4</w:t>
      </w:r>
      <w:r>
        <w:rPr>
          <w:rFonts w:cs="Arial"/>
          <w:b/>
          <w:noProof/>
          <w:sz w:val="24"/>
          <w:lang w:eastAsia="zh-CN"/>
        </w:rPr>
        <w:t>-24</w:t>
      </w:r>
      <w:r w:rsidR="0060328B">
        <w:rPr>
          <w:rFonts w:cs="Arial"/>
          <w:b/>
          <w:noProof/>
          <w:sz w:val="24"/>
          <w:lang w:eastAsia="zh-CN"/>
        </w:rPr>
        <w:t>02452</w:t>
      </w:r>
    </w:p>
    <w:p w14:paraId="69024DED" w14:textId="77777777" w:rsidR="00E17E48" w:rsidRDefault="00E17E48" w:rsidP="00E17E48">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53185EA3" w14:textId="77777777" w:rsidR="005014A2" w:rsidRDefault="005014A2">
      <w:pPr>
        <w:pStyle w:val="CH"/>
      </w:pPr>
    </w:p>
    <w:p w14:paraId="74909DC5" w14:textId="347A8A6F" w:rsidR="00D141E3" w:rsidRDefault="00F257E9" w:rsidP="00D141E3">
      <w:pPr>
        <w:pStyle w:val="CH"/>
        <w:ind w:left="852" w:hanging="852"/>
      </w:pPr>
      <w:r>
        <w:t>Title:</w:t>
      </w:r>
      <w:r>
        <w:tab/>
      </w:r>
      <w:r w:rsidR="002A6FB5">
        <w:t xml:space="preserve">Proposal for 2Rx </w:t>
      </w:r>
      <w:r w:rsidR="00C834AA">
        <w:t>Requirements</w:t>
      </w:r>
      <w:r w:rsidR="002A6FB5">
        <w:t xml:space="preserve"> for XR for bands that require 4Rx</w:t>
      </w:r>
    </w:p>
    <w:p w14:paraId="64476BC1" w14:textId="1C165EB3" w:rsidR="007B6528" w:rsidRDefault="00F257E9">
      <w:pPr>
        <w:pStyle w:val="CH"/>
      </w:pPr>
      <w:r>
        <w:t>Agenda item:</w:t>
      </w:r>
      <w:r>
        <w:tab/>
      </w:r>
      <w:r w:rsidR="00B4271D" w:rsidRPr="00B4271D">
        <w:t>6.3.1</w:t>
      </w:r>
    </w:p>
    <w:p w14:paraId="22FDA8EE" w14:textId="7685D853" w:rsidR="007B6528" w:rsidRDefault="00F257E9" w:rsidP="009673FD">
      <w:pPr>
        <w:pStyle w:val="CH"/>
        <w:ind w:left="2265" w:hanging="2265"/>
        <w:rPr>
          <w:b w:val="0"/>
        </w:rPr>
      </w:pPr>
      <w:r>
        <w:t>Source:</w:t>
      </w:r>
      <w:r>
        <w:tab/>
      </w:r>
      <w:r w:rsidR="008F0BF0">
        <w:t>T-Mobile USA</w:t>
      </w:r>
      <w:r w:rsidR="00B4271D">
        <w:t xml:space="preserve">, </w:t>
      </w:r>
      <w:r w:rsidR="00B4271D" w:rsidRPr="00B4271D">
        <w:t>Deutsche Telekom, Vodafone, AT&amp;T, Orange</w:t>
      </w:r>
      <w:r w:rsidR="009673FD">
        <w:t>, Spark</w:t>
      </w:r>
      <w:r w:rsidR="00A4696B">
        <w:t>, Telstra, TELUS</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445F81E4" w14:textId="7BD8D572" w:rsidR="00677E5C" w:rsidRPr="00677E5C" w:rsidRDefault="00677E5C" w:rsidP="00677E5C">
      <w:pPr>
        <w:overflowPunct w:val="0"/>
        <w:autoSpaceDE w:val="0"/>
        <w:autoSpaceDN w:val="0"/>
        <w:adjustRightInd w:val="0"/>
        <w:jc w:val="both"/>
        <w:textAlignment w:val="baseline"/>
        <w:rPr>
          <w:rFonts w:eastAsia="SimSun"/>
          <w:lang w:eastAsia="zh-CN"/>
        </w:rPr>
      </w:pPr>
      <w:r w:rsidRPr="00677E5C">
        <w:rPr>
          <w:rFonts w:eastAsia="SimSun"/>
          <w:lang w:eastAsia="zh-CN"/>
        </w:rPr>
        <w:t xml:space="preserve">The issue of 2Rx </w:t>
      </w:r>
      <w:r>
        <w:rPr>
          <w:rFonts w:eastAsia="SimSun"/>
          <w:lang w:eastAsia="zh-CN"/>
        </w:rPr>
        <w:t xml:space="preserve">for </w:t>
      </w:r>
      <w:r w:rsidRPr="00677E5C">
        <w:rPr>
          <w:rFonts w:eastAsia="SimSun"/>
          <w:lang w:eastAsia="zh-CN"/>
        </w:rPr>
        <w:t>XR UE</w:t>
      </w:r>
      <w:r>
        <w:rPr>
          <w:rFonts w:eastAsia="SimSun"/>
          <w:lang w:eastAsia="zh-CN"/>
        </w:rPr>
        <w:t>s in bands that require 4Rx</w:t>
      </w:r>
      <w:r w:rsidRPr="00677E5C">
        <w:rPr>
          <w:rFonts w:eastAsia="SimSun"/>
          <w:lang w:eastAsia="zh-CN"/>
        </w:rPr>
        <w:t xml:space="preserve"> has been discussed for several RAN meetings, and finally </w:t>
      </w:r>
      <w:r>
        <w:rPr>
          <w:rFonts w:eastAsia="SimSun"/>
          <w:lang w:eastAsia="zh-CN"/>
        </w:rPr>
        <w:t>a</w:t>
      </w:r>
      <w:r w:rsidRPr="00677E5C">
        <w:rPr>
          <w:rFonts w:eastAsia="SimSun"/>
          <w:lang w:eastAsia="zh-CN"/>
        </w:rPr>
        <w:t xml:space="preserve"> way forward (WF) was approved. The task to RAN4 [1]</w:t>
      </w:r>
      <w:r w:rsidR="00A72865">
        <w:rPr>
          <w:rFonts w:eastAsia="SimSun"/>
          <w:lang w:eastAsia="zh-CN"/>
        </w:rPr>
        <w:t xml:space="preserve"> </w:t>
      </w:r>
      <w:r w:rsidRPr="00677E5C">
        <w:rPr>
          <w:rFonts w:eastAsia="SimSun"/>
          <w:lang w:eastAsia="zh-CN"/>
        </w:rPr>
        <w:t>was</w:t>
      </w:r>
      <w:r>
        <w:rPr>
          <w:rFonts w:eastAsia="SimSun"/>
          <w:lang w:eastAsia="zh-CN"/>
        </w:rPr>
        <w:t>:</w:t>
      </w:r>
      <w:r w:rsidRPr="00677E5C">
        <w:rPr>
          <w:rFonts w:eastAsia="SimSun"/>
          <w:lang w:eastAsia="zh-CN"/>
        </w:rPr>
        <w:t xml:space="preserve"> </w:t>
      </w:r>
    </w:p>
    <w:tbl>
      <w:tblPr>
        <w:tblStyle w:val="TableGrid1"/>
        <w:tblW w:w="0" w:type="auto"/>
        <w:tblLook w:val="04A0" w:firstRow="1" w:lastRow="0" w:firstColumn="1" w:lastColumn="0" w:noHBand="0" w:noVBand="1"/>
      </w:tblPr>
      <w:tblGrid>
        <w:gridCol w:w="9631"/>
      </w:tblGrid>
      <w:tr w:rsidR="00677E5C" w:rsidRPr="00677E5C" w14:paraId="3F18426E" w14:textId="77777777" w:rsidTr="002836C1">
        <w:tc>
          <w:tcPr>
            <w:tcW w:w="9631" w:type="dxa"/>
          </w:tcPr>
          <w:p w14:paraId="1F06E411" w14:textId="77777777" w:rsidR="00677E5C" w:rsidRPr="00677E5C" w:rsidRDefault="00677E5C" w:rsidP="00677E5C">
            <w:pPr>
              <w:overflowPunct w:val="0"/>
              <w:autoSpaceDE w:val="0"/>
              <w:autoSpaceDN w:val="0"/>
              <w:adjustRightInd w:val="0"/>
              <w:spacing w:after="160" w:line="259" w:lineRule="auto"/>
              <w:contextualSpacing/>
              <w:textAlignment w:val="baseline"/>
              <w:rPr>
                <w:rFonts w:eastAsia="SimSun"/>
                <w:lang w:eastAsia="zh-CN"/>
              </w:rPr>
            </w:pPr>
            <w:r w:rsidRPr="00677E5C">
              <w:rPr>
                <w:rFonts w:eastAsia="SimSun"/>
                <w:b/>
                <w:bCs/>
                <w:u w:val="single"/>
                <w:lang w:eastAsia="zh-CN"/>
              </w:rPr>
              <w:t>Task RAN4</w:t>
            </w:r>
            <w:r w:rsidRPr="00677E5C">
              <w:rPr>
                <w:rFonts w:eastAsia="SimSun"/>
                <w:lang w:eastAsia="zh-CN"/>
              </w:rPr>
              <w:t xml:space="preserve"> to develop Release-18 draft CR(s) to RAN#103 for ‘2Rx non-REDCAP XR devices’:</w:t>
            </w:r>
          </w:p>
          <w:p w14:paraId="66682AA7" w14:textId="77777777" w:rsidR="00677E5C" w:rsidRPr="00677E5C" w:rsidRDefault="00677E5C" w:rsidP="00677E5C">
            <w:pPr>
              <w:numPr>
                <w:ilvl w:val="0"/>
                <w:numId w:val="21"/>
              </w:numPr>
              <w:overflowPunct w:val="0"/>
              <w:autoSpaceDE w:val="0"/>
              <w:autoSpaceDN w:val="0"/>
              <w:adjustRightInd w:val="0"/>
              <w:spacing w:after="160" w:line="259" w:lineRule="auto"/>
              <w:ind w:left="720"/>
              <w:contextualSpacing/>
              <w:textAlignment w:val="baseline"/>
              <w:rPr>
                <w:rFonts w:eastAsia="SimSun"/>
                <w:kern w:val="2"/>
                <w:lang w:val="x-none" w:eastAsia="x-none"/>
              </w:rPr>
            </w:pPr>
            <w:r w:rsidRPr="00677E5C">
              <w:rPr>
                <w:rFonts w:eastAsia="SimSun"/>
                <w:kern w:val="2"/>
                <w:lang w:val="x-none" w:eastAsia="x-none"/>
              </w:rPr>
              <w:t>Capture the definition of 2Rx non-REDCAP XR devices in [38.101-1] using the definition from RAN#101 (c.f. RP-232657)</w:t>
            </w:r>
          </w:p>
          <w:p w14:paraId="453937A3" w14:textId="77777777" w:rsidR="00677E5C" w:rsidRPr="00677E5C" w:rsidRDefault="00677E5C" w:rsidP="00677E5C">
            <w:pPr>
              <w:numPr>
                <w:ilvl w:val="0"/>
                <w:numId w:val="21"/>
              </w:numPr>
              <w:overflowPunct w:val="0"/>
              <w:autoSpaceDE w:val="0"/>
              <w:autoSpaceDN w:val="0"/>
              <w:adjustRightInd w:val="0"/>
              <w:spacing w:after="160" w:line="259" w:lineRule="auto"/>
              <w:ind w:left="720"/>
              <w:contextualSpacing/>
              <w:textAlignment w:val="baseline"/>
              <w:rPr>
                <w:rFonts w:ascii="Calibri" w:eastAsia="SimSun" w:hAnsi="Calibri"/>
                <w:kern w:val="2"/>
                <w:sz w:val="21"/>
                <w:szCs w:val="22"/>
                <w:lang w:val="x-none" w:eastAsia="x-none"/>
              </w:rPr>
            </w:pPr>
            <w:r w:rsidRPr="00677E5C">
              <w:rPr>
                <w:rFonts w:eastAsia="SimSun"/>
                <w:kern w:val="2"/>
                <w:lang w:val="x-none" w:eastAsia="x-none"/>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tc>
      </w:tr>
    </w:tbl>
    <w:p w14:paraId="20B9441D" w14:textId="77777777" w:rsidR="00677E5C" w:rsidRPr="00677E5C" w:rsidRDefault="00677E5C" w:rsidP="00677E5C">
      <w:pPr>
        <w:overflowPunct w:val="0"/>
        <w:autoSpaceDE w:val="0"/>
        <w:autoSpaceDN w:val="0"/>
        <w:adjustRightInd w:val="0"/>
        <w:spacing w:beforeLines="50" w:before="120"/>
        <w:jc w:val="both"/>
        <w:textAlignment w:val="baseline"/>
        <w:rPr>
          <w:rFonts w:eastAsia="SimSun"/>
          <w:lang w:val="x-none" w:eastAsia="zh-CN"/>
        </w:rPr>
      </w:pPr>
      <w:r w:rsidRPr="00677E5C">
        <w:rPr>
          <w:rFonts w:eastAsia="SimSun" w:hint="eastAsia"/>
          <w:lang w:val="x-none" w:eastAsia="zh-CN"/>
        </w:rPr>
        <w:t>F</w:t>
      </w:r>
      <w:r w:rsidRPr="00677E5C">
        <w:rPr>
          <w:rFonts w:eastAsia="SimSun"/>
          <w:lang w:val="x-none" w:eastAsia="zh-CN"/>
        </w:rPr>
        <w:t>rom evaluation perspective, there are two tasks for RAN4, i.e. feasibility of tightened conductive 2Rx REFSENS, and consideration on the OTA based requirement.</w:t>
      </w:r>
    </w:p>
    <w:p w14:paraId="7E76D151" w14:textId="17E22521" w:rsidR="00677E5C" w:rsidRPr="00677E5C" w:rsidRDefault="00677E5C" w:rsidP="00677E5C">
      <w:pPr>
        <w:overflowPunct w:val="0"/>
        <w:autoSpaceDE w:val="0"/>
        <w:autoSpaceDN w:val="0"/>
        <w:adjustRightInd w:val="0"/>
        <w:jc w:val="both"/>
        <w:textAlignment w:val="baseline"/>
        <w:rPr>
          <w:rFonts w:eastAsia="SimSun"/>
          <w:lang w:val="en-US" w:eastAsia="zh-CN"/>
        </w:rPr>
      </w:pPr>
      <w:r w:rsidRPr="00677E5C">
        <w:rPr>
          <w:rFonts w:eastAsia="SimSun"/>
          <w:lang w:val="x-none" w:eastAsia="zh-CN"/>
        </w:rPr>
        <w:t xml:space="preserve">This contribution provides analysis </w:t>
      </w:r>
      <w:r>
        <w:rPr>
          <w:rFonts w:eastAsia="SimSun"/>
          <w:lang w:val="x-none" w:eastAsia="zh-CN"/>
        </w:rPr>
        <w:t>for the</w:t>
      </w:r>
      <w:r>
        <w:rPr>
          <w:rFonts w:eastAsia="SimSun"/>
          <w:lang w:val="en-US" w:eastAsia="zh-CN"/>
        </w:rPr>
        <w:t xml:space="preserve"> 2Rx conducted REFSENS requirements. </w:t>
      </w:r>
    </w:p>
    <w:p w14:paraId="3AE7BC62" w14:textId="4D62A691" w:rsidR="00621F70" w:rsidRDefault="00C36430" w:rsidP="00C36430">
      <w:pPr>
        <w:pStyle w:val="Heading1"/>
      </w:pPr>
      <w:r>
        <w:t xml:space="preserve">2 </w:t>
      </w:r>
      <w:r w:rsidR="0011502F">
        <w:tab/>
      </w:r>
      <w:r>
        <w:t>Discussion</w:t>
      </w:r>
    </w:p>
    <w:p w14:paraId="5DDA4161" w14:textId="48945A73" w:rsidR="003A0884" w:rsidRDefault="003A0884" w:rsidP="00DA30DD">
      <w:bookmarkStart w:id="1" w:name="_Hlk159075323"/>
      <w:r>
        <w:t xml:space="preserve">If </w:t>
      </w:r>
      <w:r w:rsidR="00BE7B4D">
        <w:t xml:space="preserve">operators allow 2Rx </w:t>
      </w:r>
      <w:r w:rsidR="0085651E">
        <w:t xml:space="preserve">XR </w:t>
      </w:r>
      <w:r w:rsidR="00BE7B4D">
        <w:t>UEs onto their network</w:t>
      </w:r>
      <w:r w:rsidR="0085651E">
        <w:t xml:space="preserve"> in bands that currently require 4Rx</w:t>
      </w:r>
      <w:r w:rsidR="00BE7B4D">
        <w:t xml:space="preserve">, there is a desire to minimize the impact to the network in terms of throughput and capacity. Therefore, if </w:t>
      </w:r>
      <w:r w:rsidR="0085651E">
        <w:t xml:space="preserve">2 Rx is allowed for XR devices in these bands, there is interest in tightening the 2Rx requirements to minimize the impact, </w:t>
      </w:r>
      <w:r w:rsidR="009412FE">
        <w:t>and</w:t>
      </w:r>
      <w:r w:rsidR="0085651E">
        <w:t xml:space="preserve"> also to maximize the user experience. </w:t>
      </w:r>
    </w:p>
    <w:p w14:paraId="0C46502C" w14:textId="66D0E4EA" w:rsidR="003E1A16" w:rsidRDefault="003E1A16" w:rsidP="00DA30DD">
      <w:r>
        <w:t xml:space="preserve">One way to </w:t>
      </w:r>
      <w:r w:rsidR="00180370">
        <w:t>study</w:t>
      </w:r>
      <w:r>
        <w:t xml:space="preserve"> if it is feasible to tighten the conducted 2 Rx REFSENS requirements for XR devices in 4Rx bands </w:t>
      </w:r>
      <w:bookmarkEnd w:id="1"/>
      <w:r>
        <w:t>is through analysis. We anticipate that others will pursue this path, so we will not do so in this paper.</w:t>
      </w:r>
    </w:p>
    <w:p w14:paraId="6FF748B5" w14:textId="6D8083A0" w:rsidR="003E1A16" w:rsidRDefault="00180370" w:rsidP="00DA30DD">
      <w:r>
        <w:t>Another way to</w:t>
      </w:r>
      <w:r w:rsidR="003E1A16">
        <w:t xml:space="preserve"> </w:t>
      </w:r>
      <w:r>
        <w:t>study</w:t>
      </w:r>
      <w:r w:rsidR="003E1A16">
        <w:t xml:space="preserve"> if it is feasible to tighten the conducted 2 Rx REFSENS requirements for XR devices in 4Rx bands is by examining the REFSENS requirements of commercial devices in bands where 4Rx is currently mandatory. </w:t>
      </w:r>
      <w:r w:rsidR="00AB0065">
        <w:t>T-Mobile USA gathered data from se</w:t>
      </w:r>
      <w:r w:rsidR="00C861E9">
        <w:t xml:space="preserve">veral </w:t>
      </w:r>
      <w:r w:rsidR="00AB0065">
        <w:t xml:space="preserve">commercial handheld UEs. </w:t>
      </w:r>
      <w:r w:rsidR="00C861E9">
        <w:t xml:space="preserve">We would have preferred to have a larger set of device results, but </w:t>
      </w:r>
      <w:r w:rsidR="008D3DDB">
        <w:t xml:space="preserve">so far we have only received data for seven so far. </w:t>
      </w:r>
      <w:r w:rsidR="00AB0065">
        <w:t xml:space="preserve">All seven of these UEs supported NR band n41, but only two supported NR band n77. </w:t>
      </w:r>
    </w:p>
    <w:p w14:paraId="59E465E5" w14:textId="2E77E357" w:rsidR="00475730" w:rsidRDefault="00402E49" w:rsidP="00402E49">
      <w:pPr>
        <w:pStyle w:val="Heading2"/>
      </w:pPr>
      <w:r>
        <w:t xml:space="preserve">2.1 </w:t>
      </w:r>
      <w:r>
        <w:tab/>
      </w:r>
      <w:r>
        <w:tab/>
      </w:r>
      <w:r w:rsidR="00475730">
        <w:t>Conducted REFSENS Requirements</w:t>
      </w:r>
    </w:p>
    <w:p w14:paraId="5917760B" w14:textId="5538C5E9" w:rsidR="00475730" w:rsidRPr="00475730" w:rsidRDefault="00475730" w:rsidP="00475730">
      <w:r>
        <w:t xml:space="preserve">The conducted REFSENS requirements for FR1 can be found in </w:t>
      </w:r>
      <w:r w:rsidR="003C3F96">
        <w:t xml:space="preserve">TS </w:t>
      </w:r>
      <w:r>
        <w:t xml:space="preserve">38.101-1 </w:t>
      </w:r>
      <w:r w:rsidR="003C3F96">
        <w:t xml:space="preserve">clause </w:t>
      </w:r>
      <w:r w:rsidR="003C3F96" w:rsidRPr="003C3F96">
        <w:t>7.3.2</w:t>
      </w:r>
      <w:r w:rsidR="003C3F96">
        <w:t xml:space="preserve">. </w:t>
      </w:r>
    </w:p>
    <w:p w14:paraId="7B7AF8D1" w14:textId="7E0D588E" w:rsidR="00402E49" w:rsidRDefault="00475730" w:rsidP="00475730">
      <w:pPr>
        <w:pStyle w:val="Heading3"/>
      </w:pPr>
      <w:r>
        <w:t xml:space="preserve">2.1.1 </w:t>
      </w:r>
      <w:r>
        <w:tab/>
      </w:r>
      <w:r>
        <w:tab/>
      </w:r>
      <w:r w:rsidR="00402E49">
        <w:t>n41 conducted REFSENS requireme</w:t>
      </w:r>
      <w:r>
        <w:t>nt</w:t>
      </w:r>
    </w:p>
    <w:p w14:paraId="06A4CDE2" w14:textId="0BB1B9F5" w:rsidR="00402E49" w:rsidRDefault="00237D5B" w:rsidP="00DA30DD">
      <w:r>
        <w:t xml:space="preserve">For the 30 kHz SCS, the </w:t>
      </w:r>
      <w:r w:rsidR="00B87D1C" w:rsidRPr="00B87D1C">
        <w:rPr>
          <w:lang w:val="en-US"/>
        </w:rPr>
        <w:t>two antenna port reference sensitivity QPSK P</w:t>
      </w:r>
      <w:r w:rsidR="00B87D1C" w:rsidRPr="00B87D1C">
        <w:rPr>
          <w:vertAlign w:val="subscript"/>
          <w:lang w:val="en-US"/>
        </w:rPr>
        <w:t>REFSENS</w:t>
      </w:r>
      <w:r w:rsidR="00B87D1C">
        <w:t xml:space="preserve"> for n</w:t>
      </w:r>
      <w:r>
        <w:t>41</w:t>
      </w:r>
      <w:r w:rsidR="00B87D1C">
        <w:t xml:space="preserve"> is given by the formula:</w:t>
      </w:r>
    </w:p>
    <w:p w14:paraId="3EBFAE68" w14:textId="2F4F42EE" w:rsidR="00B87D1C" w:rsidRDefault="00BE645B" w:rsidP="007F7744">
      <w:pPr>
        <w:jc w:val="center"/>
      </w:pPr>
      <w:r w:rsidRPr="00BE645B">
        <w:rPr>
          <w:rFonts w:ascii="Arial" w:eastAsia="Times New Roman" w:hAnsi="Arial" w:cs="Arial"/>
          <w:sz w:val="18"/>
          <w:szCs w:val="18"/>
          <w:lang w:eastAsia="zh-TW"/>
        </w:rPr>
        <w:t>-95.1 + 10log</w:t>
      </w:r>
      <w:r w:rsidRPr="00BE645B">
        <w:rPr>
          <w:rFonts w:ascii="Arial" w:eastAsia="Times New Roman" w:hAnsi="Arial" w:cs="Arial"/>
          <w:sz w:val="18"/>
          <w:szCs w:val="18"/>
          <w:vertAlign w:val="subscript"/>
          <w:lang w:eastAsia="zh-TW"/>
        </w:rPr>
        <w:t>10</w:t>
      </w:r>
      <w:r w:rsidRPr="00BE645B">
        <w:rPr>
          <w:rFonts w:ascii="Arial" w:eastAsia="Times New Roman" w:hAnsi="Arial" w:cs="Arial"/>
          <w:sz w:val="18"/>
          <w:szCs w:val="18"/>
          <w:lang w:eastAsia="zh-TW"/>
        </w:rPr>
        <w:t>(N</w:t>
      </w:r>
      <w:r w:rsidRPr="00BE645B">
        <w:rPr>
          <w:rFonts w:ascii="Arial" w:eastAsia="Times New Roman" w:hAnsi="Arial" w:cs="Arial"/>
          <w:sz w:val="18"/>
          <w:szCs w:val="18"/>
          <w:vertAlign w:val="subscript"/>
          <w:lang w:eastAsia="zh-TW"/>
        </w:rPr>
        <w:t>RB</w:t>
      </w:r>
      <w:r w:rsidRPr="00BE645B">
        <w:rPr>
          <w:rFonts w:ascii="Arial" w:eastAsia="Times New Roman" w:hAnsi="Arial" w:cs="Arial"/>
          <w:sz w:val="18"/>
          <w:szCs w:val="18"/>
          <w:lang w:eastAsia="zh-TW"/>
        </w:rPr>
        <w:t>/24)</w:t>
      </w:r>
    </w:p>
    <w:p w14:paraId="479348CD" w14:textId="7AFF4536" w:rsidR="00AB0065" w:rsidRDefault="00474BF4" w:rsidP="00DA30DD">
      <w:r>
        <w:t>For 100 MHz this translates to</w:t>
      </w:r>
      <w:r w:rsidR="0014478F">
        <w:t xml:space="preserve"> a two antenna port REFSENS of </w:t>
      </w:r>
      <w:r>
        <w:t xml:space="preserve">-84.5 dBm. </w:t>
      </w:r>
    </w:p>
    <w:p w14:paraId="50CDA60F" w14:textId="4B283562" w:rsidR="00402E49" w:rsidRDefault="0014478F" w:rsidP="00DA30DD">
      <w:pPr>
        <w:rPr>
          <w:bCs/>
        </w:rPr>
      </w:pPr>
      <w:r>
        <w:t>The f</w:t>
      </w:r>
      <w:r w:rsidRPr="0014478F">
        <w:t>our antenna port reference sensitivity allowance ΔR</w:t>
      </w:r>
      <w:r w:rsidRPr="0014478F">
        <w:rPr>
          <w:bCs/>
          <w:vertAlign w:val="subscript"/>
        </w:rPr>
        <w:t>IB,4R</w:t>
      </w:r>
      <w:r>
        <w:rPr>
          <w:bCs/>
        </w:rPr>
        <w:t xml:space="preserve"> is -2.7 dB for n41. </w:t>
      </w:r>
      <w:r w:rsidR="0018372E">
        <w:rPr>
          <w:bCs/>
        </w:rPr>
        <w:t>So,</w:t>
      </w:r>
      <w:r>
        <w:rPr>
          <w:bCs/>
        </w:rPr>
        <w:t xml:space="preserve"> the four antenna port REFSENS is </w:t>
      </w:r>
      <w:r w:rsidR="006842C4">
        <w:rPr>
          <w:bCs/>
        </w:rPr>
        <w:t>-87.2 dBm</w:t>
      </w:r>
    </w:p>
    <w:p w14:paraId="6C502651" w14:textId="32DE75C5" w:rsidR="006842C4" w:rsidRDefault="006842C4" w:rsidP="006842C4">
      <w:pPr>
        <w:pStyle w:val="Heading3"/>
      </w:pPr>
      <w:bookmarkStart w:id="2" w:name="_Hlk159076836"/>
      <w:r>
        <w:lastRenderedPageBreak/>
        <w:t xml:space="preserve">2.1.2 </w:t>
      </w:r>
      <w:r>
        <w:tab/>
      </w:r>
      <w:r>
        <w:tab/>
        <w:t>n</w:t>
      </w:r>
      <w:r w:rsidR="00815A13">
        <w:t>77</w:t>
      </w:r>
      <w:r>
        <w:t xml:space="preserve"> </w:t>
      </w:r>
      <w:bookmarkEnd w:id="2"/>
      <w:r>
        <w:t>conducted REFSENS requirement</w:t>
      </w:r>
    </w:p>
    <w:p w14:paraId="59DAED6E" w14:textId="77777777" w:rsidR="006842C4" w:rsidRDefault="006842C4" w:rsidP="006842C4">
      <w:r>
        <w:t xml:space="preserve">For the 30 kHz SCS, the </w:t>
      </w:r>
      <w:r w:rsidRPr="00B87D1C">
        <w:rPr>
          <w:lang w:val="en-US"/>
        </w:rPr>
        <w:t>two antenna port reference sensitivity QPSK P</w:t>
      </w:r>
      <w:r w:rsidRPr="00B87D1C">
        <w:rPr>
          <w:vertAlign w:val="subscript"/>
          <w:lang w:val="en-US"/>
        </w:rPr>
        <w:t>REFSENS</w:t>
      </w:r>
      <w:r>
        <w:t xml:space="preserve"> for n41 is given by the formula:</w:t>
      </w:r>
    </w:p>
    <w:p w14:paraId="3ED3867A" w14:textId="4B5AC81F" w:rsidR="006842C4" w:rsidRDefault="006842C4" w:rsidP="006842C4">
      <w:pPr>
        <w:jc w:val="center"/>
      </w:pPr>
      <w:r w:rsidRPr="00BE645B">
        <w:rPr>
          <w:rFonts w:ascii="Arial" w:eastAsia="Times New Roman" w:hAnsi="Arial" w:cs="Arial"/>
          <w:sz w:val="18"/>
          <w:szCs w:val="18"/>
          <w:lang w:eastAsia="zh-TW"/>
        </w:rPr>
        <w:t>-95.</w:t>
      </w:r>
      <w:r w:rsidR="00975C55">
        <w:rPr>
          <w:rFonts w:ascii="Arial" w:eastAsia="Times New Roman" w:hAnsi="Arial" w:cs="Arial"/>
          <w:sz w:val="18"/>
          <w:szCs w:val="18"/>
          <w:lang w:eastAsia="zh-TW"/>
        </w:rPr>
        <w:t>6</w:t>
      </w:r>
      <w:r w:rsidRPr="00BE645B">
        <w:rPr>
          <w:rFonts w:ascii="Arial" w:eastAsia="Times New Roman" w:hAnsi="Arial" w:cs="Arial"/>
          <w:sz w:val="18"/>
          <w:szCs w:val="18"/>
          <w:lang w:eastAsia="zh-TW"/>
        </w:rPr>
        <w:t xml:space="preserve"> + 10log</w:t>
      </w:r>
      <w:r w:rsidRPr="00BE645B">
        <w:rPr>
          <w:rFonts w:ascii="Arial" w:eastAsia="Times New Roman" w:hAnsi="Arial" w:cs="Arial"/>
          <w:sz w:val="18"/>
          <w:szCs w:val="18"/>
          <w:vertAlign w:val="subscript"/>
          <w:lang w:eastAsia="zh-TW"/>
        </w:rPr>
        <w:t>10</w:t>
      </w:r>
      <w:r w:rsidRPr="00BE645B">
        <w:rPr>
          <w:rFonts w:ascii="Arial" w:eastAsia="Times New Roman" w:hAnsi="Arial" w:cs="Arial"/>
          <w:sz w:val="18"/>
          <w:szCs w:val="18"/>
          <w:lang w:eastAsia="zh-TW"/>
        </w:rPr>
        <w:t>(N</w:t>
      </w:r>
      <w:r w:rsidRPr="00BE645B">
        <w:rPr>
          <w:rFonts w:ascii="Arial" w:eastAsia="Times New Roman" w:hAnsi="Arial" w:cs="Arial"/>
          <w:sz w:val="18"/>
          <w:szCs w:val="18"/>
          <w:vertAlign w:val="subscript"/>
          <w:lang w:eastAsia="zh-TW"/>
        </w:rPr>
        <w:t>RB</w:t>
      </w:r>
      <w:r w:rsidRPr="00BE645B">
        <w:rPr>
          <w:rFonts w:ascii="Arial" w:eastAsia="Times New Roman" w:hAnsi="Arial" w:cs="Arial"/>
          <w:sz w:val="18"/>
          <w:szCs w:val="18"/>
          <w:lang w:eastAsia="zh-TW"/>
        </w:rPr>
        <w:t>/24)</w:t>
      </w:r>
    </w:p>
    <w:p w14:paraId="53DAD747" w14:textId="279F775C" w:rsidR="006842C4" w:rsidRDefault="006842C4" w:rsidP="006842C4">
      <w:r>
        <w:t>For 100 MHz this translates to a two antenna port REFSENS of -8</w:t>
      </w:r>
      <w:r w:rsidR="005C5243">
        <w:t>5</w:t>
      </w:r>
      <w:r>
        <w:t>.</w:t>
      </w:r>
      <w:r w:rsidR="005C5243">
        <w:t>0</w:t>
      </w:r>
      <w:r>
        <w:t xml:space="preserve"> dBm. </w:t>
      </w:r>
    </w:p>
    <w:p w14:paraId="0D819A49" w14:textId="6B7A3F77" w:rsidR="006842C4" w:rsidRDefault="006842C4" w:rsidP="006842C4">
      <w:pPr>
        <w:rPr>
          <w:bCs/>
        </w:rPr>
      </w:pPr>
      <w:r>
        <w:t>The f</w:t>
      </w:r>
      <w:r w:rsidRPr="0014478F">
        <w:t>our antenna port reference sensitivity allowance ΔR</w:t>
      </w:r>
      <w:r w:rsidRPr="0014478F">
        <w:rPr>
          <w:bCs/>
          <w:vertAlign w:val="subscript"/>
        </w:rPr>
        <w:t>IB,4R</w:t>
      </w:r>
      <w:r>
        <w:rPr>
          <w:bCs/>
        </w:rPr>
        <w:t xml:space="preserve"> is -2.</w:t>
      </w:r>
      <w:r w:rsidR="005C5243">
        <w:rPr>
          <w:bCs/>
        </w:rPr>
        <w:t>2</w:t>
      </w:r>
      <w:r>
        <w:rPr>
          <w:bCs/>
        </w:rPr>
        <w:t xml:space="preserve"> dB for n</w:t>
      </w:r>
      <w:r w:rsidR="005C5243">
        <w:rPr>
          <w:bCs/>
        </w:rPr>
        <w:t>77</w:t>
      </w:r>
      <w:r>
        <w:rPr>
          <w:bCs/>
        </w:rPr>
        <w:t xml:space="preserve">. </w:t>
      </w:r>
      <w:r w:rsidR="0018372E">
        <w:rPr>
          <w:bCs/>
        </w:rPr>
        <w:t>So,</w:t>
      </w:r>
      <w:r>
        <w:rPr>
          <w:bCs/>
        </w:rPr>
        <w:t xml:space="preserve"> the four antenna port REFSENS is -87.2 dBm</w:t>
      </w:r>
      <w:r w:rsidR="003A0884">
        <w:rPr>
          <w:bCs/>
        </w:rPr>
        <w:t>.</w:t>
      </w:r>
    </w:p>
    <w:p w14:paraId="7A5E259B" w14:textId="384E0CED" w:rsidR="003A0884" w:rsidRDefault="003A0884" w:rsidP="003A0884">
      <w:pPr>
        <w:pStyle w:val="Heading2"/>
      </w:pPr>
      <w:r>
        <w:t xml:space="preserve">2.2 </w:t>
      </w:r>
      <w:r>
        <w:tab/>
      </w:r>
      <w:r>
        <w:tab/>
        <w:t xml:space="preserve">Conducted REFSENS </w:t>
      </w:r>
      <w:r w:rsidR="0085651E">
        <w:t xml:space="preserve">for </w:t>
      </w:r>
      <w:r>
        <w:t>Commercial Device</w:t>
      </w:r>
      <w:r w:rsidR="0085651E">
        <w:t>s</w:t>
      </w:r>
      <w:r>
        <w:tab/>
      </w:r>
    </w:p>
    <w:p w14:paraId="293A3C71" w14:textId="7A88D2F4" w:rsidR="003A0884" w:rsidRDefault="003A0884" w:rsidP="006842C4">
      <w:pPr>
        <w:rPr>
          <w:bCs/>
        </w:rPr>
      </w:pPr>
      <w:r>
        <w:rPr>
          <w:bCs/>
        </w:rPr>
        <w:t xml:space="preserve">The conducted REFSENS data that we have is reported for a single stream through a single antenna port. We only have data from a limited number of devices, and they are of more recent vintage. We present the anonymized data here for the purposes of assessing if it would be possible to tighten the 2Rx REFSENS requirements for XR UEs in bands that required 4Rx. </w:t>
      </w:r>
      <w:r w:rsidR="003F39B4">
        <w:rPr>
          <w:bCs/>
        </w:rPr>
        <w:t>The data was all for 100 MHz channel bandwidth.</w:t>
      </w:r>
    </w:p>
    <w:p w14:paraId="676E9FC1" w14:textId="244F71C4" w:rsidR="006842C4" w:rsidRPr="0014478F" w:rsidRDefault="0085651E" w:rsidP="0085651E">
      <w:pPr>
        <w:pStyle w:val="Heading3"/>
      </w:pPr>
      <w:r>
        <w:t>2.</w:t>
      </w:r>
      <w:r w:rsidR="003F39B4">
        <w:t>2</w:t>
      </w:r>
      <w:r>
        <w:t>.</w:t>
      </w:r>
      <w:r w:rsidR="004526F3">
        <w:t>1</w:t>
      </w:r>
      <w:r>
        <w:t xml:space="preserve"> </w:t>
      </w:r>
      <w:r>
        <w:tab/>
      </w:r>
      <w:r>
        <w:tab/>
        <w:t>n41 conducted REFSENS for Commercial Devices</w:t>
      </w:r>
    </w:p>
    <w:p w14:paraId="4E4399AA" w14:textId="417CA816" w:rsidR="003E1A16" w:rsidRDefault="0030639B" w:rsidP="00DA30DD">
      <w:r>
        <w:t xml:space="preserve">Table </w:t>
      </w:r>
      <w:r w:rsidR="00F644F8">
        <w:t>2.</w:t>
      </w:r>
      <w:r w:rsidR="001505CD">
        <w:t>2</w:t>
      </w:r>
      <w:r w:rsidR="00F644F8">
        <w:t>.</w:t>
      </w:r>
      <w:r w:rsidR="004526F3">
        <w:t>1</w:t>
      </w:r>
      <w:r w:rsidR="00F644F8">
        <w:t>-1</w:t>
      </w:r>
      <w:r w:rsidR="003F39B4">
        <w:t xml:space="preserve"> </w:t>
      </w:r>
      <w:r w:rsidR="00F644F8">
        <w:t>shows</w:t>
      </w:r>
      <w:r w:rsidR="003F39B4">
        <w:t xml:space="preserve"> the measured single antenna port REFSENS for seven commercial UEs</w:t>
      </w:r>
      <w:r w:rsidR="00F644F8">
        <w:t xml:space="preserve"> for</w:t>
      </w:r>
      <w:r w:rsidR="003F39B4">
        <w:t xml:space="preserve"> each of their 4 antenna ports</w:t>
      </w:r>
      <w:r w:rsidR="007D2B21">
        <w:t xml:space="preserve"> for n41</w:t>
      </w:r>
      <w:r w:rsidR="003F39B4">
        <w:t xml:space="preserve">. </w:t>
      </w:r>
    </w:p>
    <w:p w14:paraId="0BCAA0AF" w14:textId="1170A8CE" w:rsidR="003F39B4" w:rsidRDefault="003F39B4" w:rsidP="003F39B4">
      <w:pPr>
        <w:pStyle w:val="Caption"/>
        <w:keepNext/>
      </w:pPr>
      <w:r>
        <w:t>Table 2.</w:t>
      </w:r>
      <w:r w:rsidR="001505CD">
        <w:t>2</w:t>
      </w:r>
      <w:r>
        <w:t>.</w:t>
      </w:r>
      <w:r w:rsidR="004526F3">
        <w:t>1</w:t>
      </w:r>
      <w:r>
        <w:t xml:space="preserve">-1 Measured single port REFSENS </w:t>
      </w:r>
      <w:r w:rsidR="008730D5">
        <w:t>for n41</w:t>
      </w:r>
    </w:p>
    <w:tbl>
      <w:tblPr>
        <w:tblW w:w="5000" w:type="dxa"/>
        <w:tblLook w:val="04A0" w:firstRow="1" w:lastRow="0" w:firstColumn="1" w:lastColumn="0" w:noHBand="0" w:noVBand="1"/>
      </w:tblPr>
      <w:tblGrid>
        <w:gridCol w:w="1160"/>
        <w:gridCol w:w="960"/>
        <w:gridCol w:w="960"/>
        <w:gridCol w:w="960"/>
        <w:gridCol w:w="960"/>
      </w:tblGrid>
      <w:tr w:rsidR="003F39B4" w:rsidRPr="003F39B4" w14:paraId="782E37D3" w14:textId="77777777" w:rsidTr="003F39B4">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1E675"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430612"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Port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44CCC36"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Port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430E21"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Port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81F203"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Port 4</w:t>
            </w:r>
          </w:p>
        </w:tc>
      </w:tr>
      <w:tr w:rsidR="003F39B4" w:rsidRPr="003F39B4" w14:paraId="78D87613"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0209895"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A</w:t>
            </w:r>
          </w:p>
        </w:tc>
        <w:tc>
          <w:tcPr>
            <w:tcW w:w="960" w:type="dxa"/>
            <w:tcBorders>
              <w:top w:val="nil"/>
              <w:left w:val="nil"/>
              <w:bottom w:val="single" w:sz="4" w:space="0" w:color="auto"/>
              <w:right w:val="single" w:sz="4" w:space="0" w:color="auto"/>
            </w:tcBorders>
            <w:shd w:val="clear" w:color="auto" w:fill="auto"/>
            <w:noWrap/>
            <w:vAlign w:val="bottom"/>
            <w:hideMark/>
          </w:tcPr>
          <w:p w14:paraId="1D8A5A95"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-87.3</w:t>
            </w:r>
          </w:p>
        </w:tc>
        <w:tc>
          <w:tcPr>
            <w:tcW w:w="960" w:type="dxa"/>
            <w:tcBorders>
              <w:top w:val="nil"/>
              <w:left w:val="nil"/>
              <w:bottom w:val="single" w:sz="4" w:space="0" w:color="auto"/>
              <w:right w:val="single" w:sz="4" w:space="0" w:color="auto"/>
            </w:tcBorders>
            <w:shd w:val="clear" w:color="auto" w:fill="auto"/>
            <w:noWrap/>
            <w:vAlign w:val="bottom"/>
            <w:hideMark/>
          </w:tcPr>
          <w:p w14:paraId="5FC1C06C"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-87.5</w:t>
            </w:r>
          </w:p>
        </w:tc>
        <w:tc>
          <w:tcPr>
            <w:tcW w:w="960" w:type="dxa"/>
            <w:tcBorders>
              <w:top w:val="nil"/>
              <w:left w:val="nil"/>
              <w:bottom w:val="single" w:sz="4" w:space="0" w:color="auto"/>
              <w:right w:val="single" w:sz="4" w:space="0" w:color="auto"/>
            </w:tcBorders>
            <w:shd w:val="clear" w:color="auto" w:fill="auto"/>
            <w:noWrap/>
            <w:vAlign w:val="bottom"/>
            <w:hideMark/>
          </w:tcPr>
          <w:p w14:paraId="26FFD537"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-88.3</w:t>
            </w:r>
          </w:p>
        </w:tc>
        <w:tc>
          <w:tcPr>
            <w:tcW w:w="960" w:type="dxa"/>
            <w:tcBorders>
              <w:top w:val="nil"/>
              <w:left w:val="nil"/>
              <w:bottom w:val="single" w:sz="4" w:space="0" w:color="auto"/>
              <w:right w:val="single" w:sz="4" w:space="0" w:color="auto"/>
            </w:tcBorders>
            <w:shd w:val="clear" w:color="auto" w:fill="auto"/>
            <w:noWrap/>
            <w:vAlign w:val="bottom"/>
            <w:hideMark/>
          </w:tcPr>
          <w:p w14:paraId="3FA35AA0"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w:t>
            </w:r>
          </w:p>
        </w:tc>
      </w:tr>
      <w:tr w:rsidR="003F39B4" w:rsidRPr="003F39B4" w14:paraId="73365B5B"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336C1D2"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B</w:t>
            </w:r>
          </w:p>
        </w:tc>
        <w:tc>
          <w:tcPr>
            <w:tcW w:w="960" w:type="dxa"/>
            <w:tcBorders>
              <w:top w:val="nil"/>
              <w:left w:val="nil"/>
              <w:bottom w:val="single" w:sz="4" w:space="0" w:color="auto"/>
              <w:right w:val="single" w:sz="4" w:space="0" w:color="auto"/>
            </w:tcBorders>
            <w:shd w:val="clear" w:color="auto" w:fill="auto"/>
            <w:noWrap/>
            <w:vAlign w:val="bottom"/>
            <w:hideMark/>
          </w:tcPr>
          <w:p w14:paraId="06B66624"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-86.5</w:t>
            </w:r>
          </w:p>
        </w:tc>
        <w:tc>
          <w:tcPr>
            <w:tcW w:w="960" w:type="dxa"/>
            <w:tcBorders>
              <w:top w:val="nil"/>
              <w:left w:val="nil"/>
              <w:bottom w:val="single" w:sz="4" w:space="0" w:color="auto"/>
              <w:right w:val="single" w:sz="4" w:space="0" w:color="auto"/>
            </w:tcBorders>
            <w:shd w:val="clear" w:color="auto" w:fill="auto"/>
            <w:noWrap/>
            <w:vAlign w:val="bottom"/>
            <w:hideMark/>
          </w:tcPr>
          <w:p w14:paraId="1E79262E"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-84.9</w:t>
            </w:r>
          </w:p>
        </w:tc>
        <w:tc>
          <w:tcPr>
            <w:tcW w:w="960" w:type="dxa"/>
            <w:tcBorders>
              <w:top w:val="nil"/>
              <w:left w:val="nil"/>
              <w:bottom w:val="single" w:sz="4" w:space="0" w:color="auto"/>
              <w:right w:val="single" w:sz="4" w:space="0" w:color="auto"/>
            </w:tcBorders>
            <w:shd w:val="clear" w:color="auto" w:fill="auto"/>
            <w:noWrap/>
            <w:vAlign w:val="bottom"/>
            <w:hideMark/>
          </w:tcPr>
          <w:p w14:paraId="28BA87E8"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-85.8</w:t>
            </w:r>
          </w:p>
        </w:tc>
        <w:tc>
          <w:tcPr>
            <w:tcW w:w="960" w:type="dxa"/>
            <w:tcBorders>
              <w:top w:val="nil"/>
              <w:left w:val="nil"/>
              <w:bottom w:val="single" w:sz="4" w:space="0" w:color="auto"/>
              <w:right w:val="single" w:sz="4" w:space="0" w:color="auto"/>
            </w:tcBorders>
            <w:shd w:val="clear" w:color="auto" w:fill="auto"/>
            <w:noWrap/>
            <w:vAlign w:val="bottom"/>
            <w:hideMark/>
          </w:tcPr>
          <w:p w14:paraId="16FC96EA"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-88.8</w:t>
            </w:r>
          </w:p>
        </w:tc>
      </w:tr>
      <w:tr w:rsidR="003F39B4" w:rsidRPr="003F39B4" w14:paraId="08BB2860"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075BB5C9"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C</w:t>
            </w:r>
          </w:p>
        </w:tc>
        <w:tc>
          <w:tcPr>
            <w:tcW w:w="960" w:type="dxa"/>
            <w:tcBorders>
              <w:top w:val="nil"/>
              <w:left w:val="nil"/>
              <w:bottom w:val="single" w:sz="4" w:space="0" w:color="auto"/>
              <w:right w:val="single" w:sz="4" w:space="0" w:color="auto"/>
            </w:tcBorders>
            <w:shd w:val="clear" w:color="auto" w:fill="auto"/>
            <w:noWrap/>
            <w:vAlign w:val="bottom"/>
            <w:hideMark/>
          </w:tcPr>
          <w:p w14:paraId="6459A015"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-85.5</w:t>
            </w:r>
          </w:p>
        </w:tc>
        <w:tc>
          <w:tcPr>
            <w:tcW w:w="960" w:type="dxa"/>
            <w:tcBorders>
              <w:top w:val="nil"/>
              <w:left w:val="nil"/>
              <w:bottom w:val="single" w:sz="4" w:space="0" w:color="auto"/>
              <w:right w:val="single" w:sz="4" w:space="0" w:color="auto"/>
            </w:tcBorders>
            <w:shd w:val="clear" w:color="auto" w:fill="auto"/>
            <w:noWrap/>
            <w:vAlign w:val="bottom"/>
            <w:hideMark/>
          </w:tcPr>
          <w:p w14:paraId="5D5F2B15"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-86</w:t>
            </w:r>
          </w:p>
        </w:tc>
        <w:tc>
          <w:tcPr>
            <w:tcW w:w="960" w:type="dxa"/>
            <w:tcBorders>
              <w:top w:val="nil"/>
              <w:left w:val="nil"/>
              <w:bottom w:val="single" w:sz="4" w:space="0" w:color="auto"/>
              <w:right w:val="single" w:sz="4" w:space="0" w:color="auto"/>
            </w:tcBorders>
            <w:shd w:val="clear" w:color="auto" w:fill="auto"/>
            <w:noWrap/>
            <w:vAlign w:val="bottom"/>
            <w:hideMark/>
          </w:tcPr>
          <w:p w14:paraId="27049C39"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w:t>
            </w:r>
          </w:p>
        </w:tc>
        <w:tc>
          <w:tcPr>
            <w:tcW w:w="960" w:type="dxa"/>
            <w:tcBorders>
              <w:top w:val="nil"/>
              <w:left w:val="nil"/>
              <w:bottom w:val="single" w:sz="4" w:space="0" w:color="auto"/>
              <w:right w:val="single" w:sz="4" w:space="0" w:color="auto"/>
            </w:tcBorders>
            <w:shd w:val="clear" w:color="auto" w:fill="auto"/>
            <w:noWrap/>
            <w:vAlign w:val="bottom"/>
            <w:hideMark/>
          </w:tcPr>
          <w:p w14:paraId="76E9F724"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-90</w:t>
            </w:r>
          </w:p>
        </w:tc>
      </w:tr>
      <w:tr w:rsidR="003F39B4" w:rsidRPr="003F39B4" w14:paraId="6AE30E54"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0F08ADF0"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 xml:space="preserve">D </w:t>
            </w:r>
          </w:p>
        </w:tc>
        <w:tc>
          <w:tcPr>
            <w:tcW w:w="960" w:type="dxa"/>
            <w:tcBorders>
              <w:top w:val="nil"/>
              <w:left w:val="nil"/>
              <w:bottom w:val="single" w:sz="4" w:space="0" w:color="auto"/>
              <w:right w:val="single" w:sz="4" w:space="0" w:color="auto"/>
            </w:tcBorders>
            <w:shd w:val="clear" w:color="auto" w:fill="auto"/>
            <w:noWrap/>
            <w:vAlign w:val="bottom"/>
            <w:hideMark/>
          </w:tcPr>
          <w:p w14:paraId="5B059977"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-87.2</w:t>
            </w:r>
          </w:p>
        </w:tc>
        <w:tc>
          <w:tcPr>
            <w:tcW w:w="960" w:type="dxa"/>
            <w:tcBorders>
              <w:top w:val="nil"/>
              <w:left w:val="nil"/>
              <w:bottom w:val="single" w:sz="4" w:space="0" w:color="auto"/>
              <w:right w:val="single" w:sz="4" w:space="0" w:color="auto"/>
            </w:tcBorders>
            <w:shd w:val="clear" w:color="auto" w:fill="auto"/>
            <w:noWrap/>
            <w:vAlign w:val="bottom"/>
            <w:hideMark/>
          </w:tcPr>
          <w:p w14:paraId="00DD5CCD"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-85.5</w:t>
            </w:r>
          </w:p>
        </w:tc>
        <w:tc>
          <w:tcPr>
            <w:tcW w:w="960" w:type="dxa"/>
            <w:tcBorders>
              <w:top w:val="nil"/>
              <w:left w:val="nil"/>
              <w:bottom w:val="single" w:sz="4" w:space="0" w:color="auto"/>
              <w:right w:val="single" w:sz="4" w:space="0" w:color="auto"/>
            </w:tcBorders>
            <w:shd w:val="clear" w:color="auto" w:fill="auto"/>
            <w:noWrap/>
            <w:vAlign w:val="bottom"/>
            <w:hideMark/>
          </w:tcPr>
          <w:p w14:paraId="473DCD89"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-86.6</w:t>
            </w:r>
          </w:p>
        </w:tc>
        <w:tc>
          <w:tcPr>
            <w:tcW w:w="960" w:type="dxa"/>
            <w:tcBorders>
              <w:top w:val="nil"/>
              <w:left w:val="nil"/>
              <w:bottom w:val="single" w:sz="4" w:space="0" w:color="auto"/>
              <w:right w:val="single" w:sz="4" w:space="0" w:color="auto"/>
            </w:tcBorders>
            <w:shd w:val="clear" w:color="auto" w:fill="auto"/>
            <w:noWrap/>
            <w:vAlign w:val="bottom"/>
            <w:hideMark/>
          </w:tcPr>
          <w:p w14:paraId="2902C8EE"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-89.7</w:t>
            </w:r>
          </w:p>
        </w:tc>
      </w:tr>
      <w:tr w:rsidR="003F39B4" w:rsidRPr="003F39B4" w14:paraId="4CD75CB8"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3A98B60"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E</w:t>
            </w:r>
          </w:p>
        </w:tc>
        <w:tc>
          <w:tcPr>
            <w:tcW w:w="960" w:type="dxa"/>
            <w:tcBorders>
              <w:top w:val="nil"/>
              <w:left w:val="nil"/>
              <w:bottom w:val="single" w:sz="4" w:space="0" w:color="auto"/>
              <w:right w:val="single" w:sz="4" w:space="0" w:color="auto"/>
            </w:tcBorders>
            <w:shd w:val="clear" w:color="auto" w:fill="auto"/>
            <w:noWrap/>
            <w:vAlign w:val="bottom"/>
            <w:hideMark/>
          </w:tcPr>
          <w:p w14:paraId="3A54BA37"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-87.7</w:t>
            </w:r>
          </w:p>
        </w:tc>
        <w:tc>
          <w:tcPr>
            <w:tcW w:w="960" w:type="dxa"/>
            <w:tcBorders>
              <w:top w:val="nil"/>
              <w:left w:val="nil"/>
              <w:bottom w:val="single" w:sz="4" w:space="0" w:color="auto"/>
              <w:right w:val="single" w:sz="4" w:space="0" w:color="auto"/>
            </w:tcBorders>
            <w:shd w:val="clear" w:color="auto" w:fill="auto"/>
            <w:noWrap/>
            <w:vAlign w:val="bottom"/>
            <w:hideMark/>
          </w:tcPr>
          <w:p w14:paraId="5F78AFBD"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-87.3</w:t>
            </w:r>
          </w:p>
        </w:tc>
        <w:tc>
          <w:tcPr>
            <w:tcW w:w="960" w:type="dxa"/>
            <w:tcBorders>
              <w:top w:val="nil"/>
              <w:left w:val="nil"/>
              <w:bottom w:val="single" w:sz="4" w:space="0" w:color="auto"/>
              <w:right w:val="single" w:sz="4" w:space="0" w:color="auto"/>
            </w:tcBorders>
            <w:shd w:val="clear" w:color="auto" w:fill="auto"/>
            <w:noWrap/>
            <w:vAlign w:val="bottom"/>
            <w:hideMark/>
          </w:tcPr>
          <w:p w14:paraId="33FAC4BF"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-89.1</w:t>
            </w:r>
          </w:p>
        </w:tc>
        <w:tc>
          <w:tcPr>
            <w:tcW w:w="960" w:type="dxa"/>
            <w:tcBorders>
              <w:top w:val="nil"/>
              <w:left w:val="nil"/>
              <w:bottom w:val="single" w:sz="4" w:space="0" w:color="auto"/>
              <w:right w:val="single" w:sz="4" w:space="0" w:color="auto"/>
            </w:tcBorders>
            <w:shd w:val="clear" w:color="auto" w:fill="auto"/>
            <w:noWrap/>
            <w:vAlign w:val="bottom"/>
            <w:hideMark/>
          </w:tcPr>
          <w:p w14:paraId="365A9A1F"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-88.6</w:t>
            </w:r>
          </w:p>
        </w:tc>
      </w:tr>
      <w:tr w:rsidR="003F39B4" w:rsidRPr="003F39B4" w14:paraId="5ECAC3DD"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7D0CE74A"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F</w:t>
            </w:r>
          </w:p>
        </w:tc>
        <w:tc>
          <w:tcPr>
            <w:tcW w:w="960" w:type="dxa"/>
            <w:tcBorders>
              <w:top w:val="nil"/>
              <w:left w:val="nil"/>
              <w:bottom w:val="single" w:sz="4" w:space="0" w:color="auto"/>
              <w:right w:val="single" w:sz="4" w:space="0" w:color="auto"/>
            </w:tcBorders>
            <w:shd w:val="clear" w:color="auto" w:fill="auto"/>
            <w:noWrap/>
            <w:vAlign w:val="bottom"/>
            <w:hideMark/>
          </w:tcPr>
          <w:p w14:paraId="73120A06"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-87.5</w:t>
            </w:r>
          </w:p>
        </w:tc>
        <w:tc>
          <w:tcPr>
            <w:tcW w:w="960" w:type="dxa"/>
            <w:tcBorders>
              <w:top w:val="nil"/>
              <w:left w:val="nil"/>
              <w:bottom w:val="single" w:sz="4" w:space="0" w:color="auto"/>
              <w:right w:val="single" w:sz="4" w:space="0" w:color="auto"/>
            </w:tcBorders>
            <w:shd w:val="clear" w:color="auto" w:fill="auto"/>
            <w:noWrap/>
            <w:vAlign w:val="bottom"/>
            <w:hideMark/>
          </w:tcPr>
          <w:p w14:paraId="16178A09"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-89.5</w:t>
            </w:r>
          </w:p>
        </w:tc>
        <w:tc>
          <w:tcPr>
            <w:tcW w:w="960" w:type="dxa"/>
            <w:tcBorders>
              <w:top w:val="nil"/>
              <w:left w:val="nil"/>
              <w:bottom w:val="single" w:sz="4" w:space="0" w:color="auto"/>
              <w:right w:val="single" w:sz="4" w:space="0" w:color="auto"/>
            </w:tcBorders>
            <w:shd w:val="clear" w:color="auto" w:fill="auto"/>
            <w:noWrap/>
            <w:vAlign w:val="bottom"/>
            <w:hideMark/>
          </w:tcPr>
          <w:p w14:paraId="20172681"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-89.5</w:t>
            </w:r>
          </w:p>
        </w:tc>
        <w:tc>
          <w:tcPr>
            <w:tcW w:w="960" w:type="dxa"/>
            <w:tcBorders>
              <w:top w:val="nil"/>
              <w:left w:val="nil"/>
              <w:bottom w:val="single" w:sz="4" w:space="0" w:color="auto"/>
              <w:right w:val="single" w:sz="4" w:space="0" w:color="auto"/>
            </w:tcBorders>
            <w:shd w:val="clear" w:color="auto" w:fill="auto"/>
            <w:noWrap/>
            <w:vAlign w:val="bottom"/>
            <w:hideMark/>
          </w:tcPr>
          <w:p w14:paraId="332CF549"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-91</w:t>
            </w:r>
          </w:p>
        </w:tc>
      </w:tr>
      <w:tr w:rsidR="003F39B4" w:rsidRPr="003F39B4" w14:paraId="158C94CA"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3C8E707"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G</w:t>
            </w:r>
          </w:p>
        </w:tc>
        <w:tc>
          <w:tcPr>
            <w:tcW w:w="960" w:type="dxa"/>
            <w:tcBorders>
              <w:top w:val="nil"/>
              <w:left w:val="nil"/>
              <w:bottom w:val="single" w:sz="4" w:space="0" w:color="auto"/>
              <w:right w:val="single" w:sz="4" w:space="0" w:color="auto"/>
            </w:tcBorders>
            <w:shd w:val="clear" w:color="auto" w:fill="auto"/>
            <w:noWrap/>
            <w:vAlign w:val="bottom"/>
            <w:hideMark/>
          </w:tcPr>
          <w:p w14:paraId="6D53C70A"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-83.3</w:t>
            </w:r>
          </w:p>
        </w:tc>
        <w:tc>
          <w:tcPr>
            <w:tcW w:w="960" w:type="dxa"/>
            <w:tcBorders>
              <w:top w:val="nil"/>
              <w:left w:val="nil"/>
              <w:bottom w:val="single" w:sz="4" w:space="0" w:color="auto"/>
              <w:right w:val="single" w:sz="4" w:space="0" w:color="auto"/>
            </w:tcBorders>
            <w:shd w:val="clear" w:color="auto" w:fill="auto"/>
            <w:noWrap/>
            <w:vAlign w:val="bottom"/>
            <w:hideMark/>
          </w:tcPr>
          <w:p w14:paraId="4207C01F"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-88.9</w:t>
            </w:r>
          </w:p>
        </w:tc>
        <w:tc>
          <w:tcPr>
            <w:tcW w:w="960" w:type="dxa"/>
            <w:tcBorders>
              <w:top w:val="nil"/>
              <w:left w:val="nil"/>
              <w:bottom w:val="single" w:sz="4" w:space="0" w:color="auto"/>
              <w:right w:val="single" w:sz="4" w:space="0" w:color="auto"/>
            </w:tcBorders>
            <w:shd w:val="clear" w:color="auto" w:fill="auto"/>
            <w:noWrap/>
            <w:vAlign w:val="bottom"/>
            <w:hideMark/>
          </w:tcPr>
          <w:p w14:paraId="3E6237E8"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-86.1</w:t>
            </w:r>
          </w:p>
        </w:tc>
        <w:tc>
          <w:tcPr>
            <w:tcW w:w="960" w:type="dxa"/>
            <w:tcBorders>
              <w:top w:val="nil"/>
              <w:left w:val="nil"/>
              <w:bottom w:val="single" w:sz="4" w:space="0" w:color="auto"/>
              <w:right w:val="single" w:sz="4" w:space="0" w:color="auto"/>
            </w:tcBorders>
            <w:shd w:val="clear" w:color="auto" w:fill="auto"/>
            <w:noWrap/>
            <w:vAlign w:val="bottom"/>
            <w:hideMark/>
          </w:tcPr>
          <w:p w14:paraId="5907A688"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-89.3</w:t>
            </w:r>
          </w:p>
        </w:tc>
      </w:tr>
    </w:tbl>
    <w:p w14:paraId="2DA263E5" w14:textId="77777777" w:rsidR="003F39B4" w:rsidRDefault="003F39B4" w:rsidP="00DA30DD"/>
    <w:p w14:paraId="7FCF65C9" w14:textId="37A822D6" w:rsidR="0030639B" w:rsidRDefault="00F644F8" w:rsidP="00DA30DD">
      <w:r>
        <w:t>Table 2.</w:t>
      </w:r>
      <w:r w:rsidR="001505CD">
        <w:t>2</w:t>
      </w:r>
      <w:r>
        <w:t>.</w:t>
      </w:r>
      <w:r w:rsidR="004526F3">
        <w:t>1</w:t>
      </w:r>
      <w:r>
        <w:t xml:space="preserve">-2 shows that for each of the 7 devices, at least one of the single ports meets the 4Rx REFSENS requirement. </w:t>
      </w:r>
      <w:r w:rsidR="008128A2">
        <w:t>So,</w:t>
      </w:r>
      <w:r>
        <w:t xml:space="preserve"> in theory, it would seem to be possible for a UE to meet the 4Rx REFSENS requirement with a single antenna port based on this limited sample of devices. </w:t>
      </w:r>
    </w:p>
    <w:p w14:paraId="70A954AC" w14:textId="42B5B4FE" w:rsidR="004F77CF" w:rsidRDefault="004F77CF" w:rsidP="004F77CF">
      <w:pPr>
        <w:pStyle w:val="Caption"/>
        <w:keepNext/>
      </w:pPr>
      <w:r>
        <w:t>Table 2.</w:t>
      </w:r>
      <w:r w:rsidR="001505CD">
        <w:t>2</w:t>
      </w:r>
      <w:r>
        <w:t>.</w:t>
      </w:r>
      <w:r w:rsidR="004526F3">
        <w:t>1</w:t>
      </w:r>
      <w:r>
        <w:t>-2</w:t>
      </w:r>
      <w:r w:rsidR="0030639B">
        <w:t xml:space="preserve"> </w:t>
      </w:r>
      <w:r>
        <w:t>Min and Max single port REFSENS</w:t>
      </w:r>
      <w:r w:rsidR="008730D5">
        <w:t xml:space="preserve"> for n41</w:t>
      </w:r>
    </w:p>
    <w:tbl>
      <w:tblPr>
        <w:tblW w:w="2880" w:type="dxa"/>
        <w:tblLook w:val="04A0" w:firstRow="1" w:lastRow="0" w:firstColumn="1" w:lastColumn="0" w:noHBand="0" w:noVBand="1"/>
      </w:tblPr>
      <w:tblGrid>
        <w:gridCol w:w="960"/>
        <w:gridCol w:w="960"/>
        <w:gridCol w:w="960"/>
      </w:tblGrid>
      <w:tr w:rsidR="007D2B21" w:rsidRPr="004F77CF" w14:paraId="56429701"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08AFF2EC" w14:textId="447E39F7"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Device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3C4F5" w14:textId="4307435C" w:rsidR="007D2B21" w:rsidRPr="004F77CF" w:rsidRDefault="007D2B21" w:rsidP="007D2B21">
            <w:pPr>
              <w:spacing w:after="0"/>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Min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E47DEFE" w14:textId="77777777" w:rsidR="007D2B21" w:rsidRPr="004F77CF" w:rsidRDefault="007D2B21" w:rsidP="007D2B21">
            <w:pPr>
              <w:spacing w:after="0"/>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Max</w:t>
            </w:r>
          </w:p>
        </w:tc>
      </w:tr>
      <w:tr w:rsidR="007D2B21" w:rsidRPr="004F77CF" w14:paraId="47AAF0B6"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2DFE223D" w14:textId="398281C9"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A</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3A7EE62" w14:textId="2323C30A"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-88.3</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6C710A74"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-87</w:t>
            </w:r>
          </w:p>
        </w:tc>
      </w:tr>
      <w:tr w:rsidR="007D2B21" w:rsidRPr="004F77CF" w14:paraId="1A9D6616"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2A9AB860" w14:textId="5EB9D9AE"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B</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3E1579A" w14:textId="7F1A2F6F"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-88.8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76EA6E7B"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-84.9</w:t>
            </w:r>
          </w:p>
        </w:tc>
      </w:tr>
      <w:tr w:rsidR="007D2B21" w:rsidRPr="004F77CF" w14:paraId="4035F92B"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43381B36" w14:textId="1AE0C400"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C</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3622825" w14:textId="66E390D5"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-90</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07AAD83B"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-85.5</w:t>
            </w:r>
          </w:p>
        </w:tc>
      </w:tr>
      <w:tr w:rsidR="007D2B21" w:rsidRPr="004F77CF" w14:paraId="6ECB97DD"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26EA76F0" w14:textId="3BCBFB08"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 xml:space="preserve">D </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1A4C720" w14:textId="1BDA75EB"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-89.7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59781507"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-85.5</w:t>
            </w:r>
          </w:p>
        </w:tc>
      </w:tr>
      <w:tr w:rsidR="007D2B21" w:rsidRPr="004F77CF" w14:paraId="054C1CDE"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4BB72C78" w14:textId="1B6A433E"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E</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38DEFD3" w14:textId="34FC3CD9"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-89.1</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73632EA"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-87.3</w:t>
            </w:r>
          </w:p>
        </w:tc>
      </w:tr>
      <w:tr w:rsidR="007D2B21" w:rsidRPr="004F77CF" w14:paraId="1CB3B189"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0D9D89FB" w14:textId="56A25320"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F</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3FC2CAA" w14:textId="7502F5D3"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-91</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C4A628F"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-87.5</w:t>
            </w:r>
          </w:p>
        </w:tc>
      </w:tr>
      <w:tr w:rsidR="007D2B21" w:rsidRPr="004F77CF" w14:paraId="339AB1F7"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0E1155B1" w14:textId="2C5BD5E8"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G</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4AEA757" w14:textId="6FE061B5"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-89.3</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2B5694E4"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-83.3</w:t>
            </w:r>
          </w:p>
        </w:tc>
      </w:tr>
    </w:tbl>
    <w:p w14:paraId="51EC954F" w14:textId="77777777" w:rsidR="0047798B" w:rsidRDefault="0047798B" w:rsidP="00DA30DD"/>
    <w:p w14:paraId="08BC1914" w14:textId="70289EE5" w:rsidR="00176D75" w:rsidRPr="00176D75" w:rsidRDefault="00176D75" w:rsidP="00DA30DD">
      <w:pPr>
        <w:rPr>
          <w:b/>
          <w:bCs/>
        </w:rPr>
      </w:pPr>
      <w:r w:rsidRPr="00176D75">
        <w:rPr>
          <w:b/>
          <w:bCs/>
        </w:rPr>
        <w:t xml:space="preserve">Observation 1: </w:t>
      </w:r>
      <w:bookmarkStart w:id="3" w:name="_Hlk159080187"/>
      <w:r w:rsidRPr="00176D75">
        <w:rPr>
          <w:b/>
          <w:bCs/>
        </w:rPr>
        <w:t>All the 7 devices studied have at least one antenna port that can meet the 4Rx REFSENS requirement with a single antenna port</w:t>
      </w:r>
      <w:r>
        <w:rPr>
          <w:b/>
          <w:bCs/>
        </w:rPr>
        <w:t xml:space="preserve"> for n41</w:t>
      </w:r>
      <w:r w:rsidRPr="00176D75">
        <w:rPr>
          <w:b/>
          <w:bCs/>
        </w:rPr>
        <w:t xml:space="preserve">. </w:t>
      </w:r>
      <w:bookmarkEnd w:id="3"/>
    </w:p>
    <w:p w14:paraId="051EB4D6" w14:textId="4D83EEBF" w:rsidR="003E1A16" w:rsidRDefault="008128A2" w:rsidP="00DA30DD">
      <w:r>
        <w:t xml:space="preserve">Now, since 2Rx has been proposed and not 1Rx for n41, </w:t>
      </w:r>
      <w:r w:rsidR="006B1B1F">
        <w:t xml:space="preserve">We thought it would be useful to apply the </w:t>
      </w:r>
      <w:r w:rsidR="00E03704">
        <w:t xml:space="preserve">2.7 2Rx to </w:t>
      </w:r>
      <w:r w:rsidR="006B1B1F">
        <w:t xml:space="preserve">4Rx </w:t>
      </w:r>
      <w:r w:rsidR="00E03704">
        <w:t>sensitivity allowance to the single port measured REFSENS to see h</w:t>
      </w:r>
      <w:r w:rsidR="007B28C9">
        <w:t xml:space="preserve">ow the </w:t>
      </w:r>
      <w:r w:rsidR="00FF6565">
        <w:t xml:space="preserve">two </w:t>
      </w:r>
      <w:r w:rsidR="007B28C9">
        <w:t xml:space="preserve">port data might look. </w:t>
      </w:r>
      <w:r w:rsidR="00E03704">
        <w:t xml:space="preserve"> </w:t>
      </w:r>
    </w:p>
    <w:p w14:paraId="5FA9CA11" w14:textId="177F0C2D" w:rsidR="007B28C9" w:rsidRDefault="007B28C9" w:rsidP="007B28C9">
      <w:pPr>
        <w:pStyle w:val="Caption"/>
        <w:keepNext/>
      </w:pPr>
      <w:r>
        <w:lastRenderedPageBreak/>
        <w:t>Table 2.2.</w:t>
      </w:r>
      <w:r w:rsidR="004526F3">
        <w:t>1</w:t>
      </w:r>
      <w:r>
        <w:t>-</w:t>
      </w:r>
      <w:r w:rsidR="002C627F">
        <w:t>3</w:t>
      </w:r>
      <w:r>
        <w:t xml:space="preserve"> </w:t>
      </w:r>
      <w:r w:rsidRPr="000E08D9">
        <w:t>Measured single port REFSENS</w:t>
      </w:r>
      <w:r>
        <w:t xml:space="preserve"> data adjusted by -2.7 dB</w:t>
      </w:r>
      <w:r w:rsidR="008730D5">
        <w:t xml:space="preserve"> for n41</w:t>
      </w:r>
    </w:p>
    <w:tbl>
      <w:tblPr>
        <w:tblW w:w="5000" w:type="dxa"/>
        <w:tblLook w:val="04A0" w:firstRow="1" w:lastRow="0" w:firstColumn="1" w:lastColumn="0" w:noHBand="0" w:noVBand="1"/>
      </w:tblPr>
      <w:tblGrid>
        <w:gridCol w:w="1160"/>
        <w:gridCol w:w="960"/>
        <w:gridCol w:w="960"/>
        <w:gridCol w:w="960"/>
        <w:gridCol w:w="960"/>
      </w:tblGrid>
      <w:tr w:rsidR="007B28C9" w:rsidRPr="007B28C9" w14:paraId="04DE5CEF" w14:textId="77777777" w:rsidTr="007B28C9">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35E68"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0A9AC66"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Port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847B61F"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Port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22A0C6"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Port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57E99C8"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Port 4</w:t>
            </w:r>
          </w:p>
        </w:tc>
      </w:tr>
      <w:tr w:rsidR="007B28C9" w:rsidRPr="007B28C9" w14:paraId="082F7DE0"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619FF70B"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A</w:t>
            </w:r>
          </w:p>
        </w:tc>
        <w:tc>
          <w:tcPr>
            <w:tcW w:w="960" w:type="dxa"/>
            <w:tcBorders>
              <w:top w:val="nil"/>
              <w:left w:val="nil"/>
              <w:bottom w:val="single" w:sz="4" w:space="0" w:color="auto"/>
              <w:right w:val="single" w:sz="4" w:space="0" w:color="auto"/>
            </w:tcBorders>
            <w:shd w:val="clear" w:color="auto" w:fill="auto"/>
            <w:noWrap/>
            <w:vAlign w:val="bottom"/>
            <w:hideMark/>
          </w:tcPr>
          <w:p w14:paraId="50D54001"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noWrap/>
            <w:vAlign w:val="bottom"/>
            <w:hideMark/>
          </w:tcPr>
          <w:p w14:paraId="20054C7E"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-90.2</w:t>
            </w:r>
          </w:p>
        </w:tc>
        <w:tc>
          <w:tcPr>
            <w:tcW w:w="960" w:type="dxa"/>
            <w:tcBorders>
              <w:top w:val="nil"/>
              <w:left w:val="nil"/>
              <w:bottom w:val="single" w:sz="4" w:space="0" w:color="auto"/>
              <w:right w:val="single" w:sz="4" w:space="0" w:color="auto"/>
            </w:tcBorders>
            <w:shd w:val="clear" w:color="auto" w:fill="auto"/>
            <w:noWrap/>
            <w:vAlign w:val="bottom"/>
            <w:hideMark/>
          </w:tcPr>
          <w:p w14:paraId="0654475B"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-91</w:t>
            </w:r>
          </w:p>
        </w:tc>
        <w:tc>
          <w:tcPr>
            <w:tcW w:w="960" w:type="dxa"/>
            <w:tcBorders>
              <w:top w:val="nil"/>
              <w:left w:val="nil"/>
              <w:bottom w:val="single" w:sz="4" w:space="0" w:color="auto"/>
              <w:right w:val="single" w:sz="4" w:space="0" w:color="auto"/>
            </w:tcBorders>
            <w:shd w:val="clear" w:color="auto" w:fill="auto"/>
            <w:noWrap/>
            <w:vAlign w:val="bottom"/>
            <w:hideMark/>
          </w:tcPr>
          <w:p w14:paraId="6A422FC5"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-89.7</w:t>
            </w:r>
          </w:p>
        </w:tc>
      </w:tr>
      <w:tr w:rsidR="007B28C9" w:rsidRPr="007B28C9" w14:paraId="64D88C08"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0FC9DAB"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B</w:t>
            </w:r>
          </w:p>
        </w:tc>
        <w:tc>
          <w:tcPr>
            <w:tcW w:w="960" w:type="dxa"/>
            <w:tcBorders>
              <w:top w:val="nil"/>
              <w:left w:val="nil"/>
              <w:bottom w:val="single" w:sz="4" w:space="0" w:color="auto"/>
              <w:right w:val="single" w:sz="4" w:space="0" w:color="auto"/>
            </w:tcBorders>
            <w:shd w:val="clear" w:color="auto" w:fill="auto"/>
            <w:noWrap/>
            <w:vAlign w:val="bottom"/>
            <w:hideMark/>
          </w:tcPr>
          <w:p w14:paraId="163971CE"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-89.2</w:t>
            </w:r>
          </w:p>
        </w:tc>
        <w:tc>
          <w:tcPr>
            <w:tcW w:w="960" w:type="dxa"/>
            <w:tcBorders>
              <w:top w:val="nil"/>
              <w:left w:val="nil"/>
              <w:bottom w:val="single" w:sz="4" w:space="0" w:color="auto"/>
              <w:right w:val="single" w:sz="4" w:space="0" w:color="auto"/>
            </w:tcBorders>
            <w:shd w:val="clear" w:color="auto" w:fill="auto"/>
            <w:noWrap/>
            <w:vAlign w:val="bottom"/>
            <w:hideMark/>
          </w:tcPr>
          <w:p w14:paraId="34CFA6A8"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-87.6</w:t>
            </w:r>
          </w:p>
        </w:tc>
        <w:tc>
          <w:tcPr>
            <w:tcW w:w="960" w:type="dxa"/>
            <w:tcBorders>
              <w:top w:val="nil"/>
              <w:left w:val="nil"/>
              <w:bottom w:val="single" w:sz="4" w:space="0" w:color="auto"/>
              <w:right w:val="single" w:sz="4" w:space="0" w:color="auto"/>
            </w:tcBorders>
            <w:shd w:val="clear" w:color="auto" w:fill="auto"/>
            <w:noWrap/>
            <w:vAlign w:val="bottom"/>
            <w:hideMark/>
          </w:tcPr>
          <w:p w14:paraId="1D394510"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-88.5</w:t>
            </w:r>
          </w:p>
        </w:tc>
        <w:tc>
          <w:tcPr>
            <w:tcW w:w="960" w:type="dxa"/>
            <w:tcBorders>
              <w:top w:val="nil"/>
              <w:left w:val="nil"/>
              <w:bottom w:val="single" w:sz="4" w:space="0" w:color="auto"/>
              <w:right w:val="single" w:sz="4" w:space="0" w:color="auto"/>
            </w:tcBorders>
            <w:shd w:val="clear" w:color="auto" w:fill="auto"/>
            <w:noWrap/>
            <w:vAlign w:val="bottom"/>
            <w:hideMark/>
          </w:tcPr>
          <w:p w14:paraId="391B3BF9"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-91.5</w:t>
            </w:r>
          </w:p>
        </w:tc>
      </w:tr>
      <w:tr w:rsidR="007B28C9" w:rsidRPr="007B28C9" w14:paraId="1CAAE568"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6281012C"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C</w:t>
            </w:r>
          </w:p>
        </w:tc>
        <w:tc>
          <w:tcPr>
            <w:tcW w:w="960" w:type="dxa"/>
            <w:tcBorders>
              <w:top w:val="nil"/>
              <w:left w:val="nil"/>
              <w:bottom w:val="single" w:sz="4" w:space="0" w:color="auto"/>
              <w:right w:val="single" w:sz="4" w:space="0" w:color="auto"/>
            </w:tcBorders>
            <w:shd w:val="clear" w:color="auto" w:fill="auto"/>
            <w:noWrap/>
            <w:vAlign w:val="bottom"/>
            <w:hideMark/>
          </w:tcPr>
          <w:p w14:paraId="0A16CEE7"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-88.2</w:t>
            </w:r>
          </w:p>
        </w:tc>
        <w:tc>
          <w:tcPr>
            <w:tcW w:w="960" w:type="dxa"/>
            <w:tcBorders>
              <w:top w:val="nil"/>
              <w:left w:val="nil"/>
              <w:bottom w:val="single" w:sz="4" w:space="0" w:color="auto"/>
              <w:right w:val="single" w:sz="4" w:space="0" w:color="auto"/>
            </w:tcBorders>
            <w:shd w:val="clear" w:color="auto" w:fill="auto"/>
            <w:noWrap/>
            <w:vAlign w:val="bottom"/>
            <w:hideMark/>
          </w:tcPr>
          <w:p w14:paraId="280C2632"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-88.7</w:t>
            </w:r>
          </w:p>
        </w:tc>
        <w:tc>
          <w:tcPr>
            <w:tcW w:w="960" w:type="dxa"/>
            <w:tcBorders>
              <w:top w:val="nil"/>
              <w:left w:val="nil"/>
              <w:bottom w:val="single" w:sz="4" w:space="0" w:color="auto"/>
              <w:right w:val="single" w:sz="4" w:space="0" w:color="auto"/>
            </w:tcBorders>
            <w:shd w:val="clear" w:color="auto" w:fill="auto"/>
            <w:noWrap/>
            <w:vAlign w:val="bottom"/>
            <w:hideMark/>
          </w:tcPr>
          <w:p w14:paraId="7522216E"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-89.7</w:t>
            </w:r>
          </w:p>
        </w:tc>
        <w:tc>
          <w:tcPr>
            <w:tcW w:w="960" w:type="dxa"/>
            <w:tcBorders>
              <w:top w:val="nil"/>
              <w:left w:val="nil"/>
              <w:bottom w:val="single" w:sz="4" w:space="0" w:color="auto"/>
              <w:right w:val="single" w:sz="4" w:space="0" w:color="auto"/>
            </w:tcBorders>
            <w:shd w:val="clear" w:color="auto" w:fill="auto"/>
            <w:noWrap/>
            <w:vAlign w:val="bottom"/>
            <w:hideMark/>
          </w:tcPr>
          <w:p w14:paraId="39696DED"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-92.7</w:t>
            </w:r>
          </w:p>
        </w:tc>
      </w:tr>
      <w:tr w:rsidR="007B28C9" w:rsidRPr="007B28C9" w14:paraId="6AE0818A"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632F851F"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 xml:space="preserve">D </w:t>
            </w:r>
          </w:p>
        </w:tc>
        <w:tc>
          <w:tcPr>
            <w:tcW w:w="960" w:type="dxa"/>
            <w:tcBorders>
              <w:top w:val="nil"/>
              <w:left w:val="nil"/>
              <w:bottom w:val="single" w:sz="4" w:space="0" w:color="auto"/>
              <w:right w:val="single" w:sz="4" w:space="0" w:color="auto"/>
            </w:tcBorders>
            <w:shd w:val="clear" w:color="auto" w:fill="auto"/>
            <w:noWrap/>
            <w:vAlign w:val="bottom"/>
            <w:hideMark/>
          </w:tcPr>
          <w:p w14:paraId="3112D4E6"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-89.9</w:t>
            </w:r>
          </w:p>
        </w:tc>
        <w:tc>
          <w:tcPr>
            <w:tcW w:w="960" w:type="dxa"/>
            <w:tcBorders>
              <w:top w:val="nil"/>
              <w:left w:val="nil"/>
              <w:bottom w:val="single" w:sz="4" w:space="0" w:color="auto"/>
              <w:right w:val="single" w:sz="4" w:space="0" w:color="auto"/>
            </w:tcBorders>
            <w:shd w:val="clear" w:color="auto" w:fill="auto"/>
            <w:noWrap/>
            <w:vAlign w:val="bottom"/>
            <w:hideMark/>
          </w:tcPr>
          <w:p w14:paraId="3A7E3ED7"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-88.2</w:t>
            </w:r>
          </w:p>
        </w:tc>
        <w:tc>
          <w:tcPr>
            <w:tcW w:w="960" w:type="dxa"/>
            <w:tcBorders>
              <w:top w:val="nil"/>
              <w:left w:val="nil"/>
              <w:bottom w:val="single" w:sz="4" w:space="0" w:color="auto"/>
              <w:right w:val="single" w:sz="4" w:space="0" w:color="auto"/>
            </w:tcBorders>
            <w:shd w:val="clear" w:color="auto" w:fill="auto"/>
            <w:noWrap/>
            <w:vAlign w:val="bottom"/>
            <w:hideMark/>
          </w:tcPr>
          <w:p w14:paraId="183D9C4B"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-89.3</w:t>
            </w:r>
          </w:p>
        </w:tc>
        <w:tc>
          <w:tcPr>
            <w:tcW w:w="960" w:type="dxa"/>
            <w:tcBorders>
              <w:top w:val="nil"/>
              <w:left w:val="nil"/>
              <w:bottom w:val="single" w:sz="4" w:space="0" w:color="auto"/>
              <w:right w:val="single" w:sz="4" w:space="0" w:color="auto"/>
            </w:tcBorders>
            <w:shd w:val="clear" w:color="auto" w:fill="auto"/>
            <w:noWrap/>
            <w:vAlign w:val="bottom"/>
            <w:hideMark/>
          </w:tcPr>
          <w:p w14:paraId="0EA1A917"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-92.4</w:t>
            </w:r>
          </w:p>
        </w:tc>
      </w:tr>
      <w:tr w:rsidR="007B28C9" w:rsidRPr="007B28C9" w14:paraId="586B42A1"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41D66F16"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E</w:t>
            </w:r>
          </w:p>
        </w:tc>
        <w:tc>
          <w:tcPr>
            <w:tcW w:w="960" w:type="dxa"/>
            <w:tcBorders>
              <w:top w:val="nil"/>
              <w:left w:val="nil"/>
              <w:bottom w:val="single" w:sz="4" w:space="0" w:color="auto"/>
              <w:right w:val="single" w:sz="4" w:space="0" w:color="auto"/>
            </w:tcBorders>
            <w:shd w:val="clear" w:color="auto" w:fill="auto"/>
            <w:noWrap/>
            <w:vAlign w:val="bottom"/>
            <w:hideMark/>
          </w:tcPr>
          <w:p w14:paraId="5A7084D2"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-90.4</w:t>
            </w:r>
          </w:p>
        </w:tc>
        <w:tc>
          <w:tcPr>
            <w:tcW w:w="960" w:type="dxa"/>
            <w:tcBorders>
              <w:top w:val="nil"/>
              <w:left w:val="nil"/>
              <w:bottom w:val="single" w:sz="4" w:space="0" w:color="auto"/>
              <w:right w:val="single" w:sz="4" w:space="0" w:color="auto"/>
            </w:tcBorders>
            <w:shd w:val="clear" w:color="auto" w:fill="auto"/>
            <w:noWrap/>
            <w:vAlign w:val="bottom"/>
            <w:hideMark/>
          </w:tcPr>
          <w:p w14:paraId="29A4405C"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noWrap/>
            <w:vAlign w:val="bottom"/>
            <w:hideMark/>
          </w:tcPr>
          <w:p w14:paraId="1D45DB9F"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-91.8</w:t>
            </w:r>
          </w:p>
        </w:tc>
        <w:tc>
          <w:tcPr>
            <w:tcW w:w="960" w:type="dxa"/>
            <w:tcBorders>
              <w:top w:val="nil"/>
              <w:left w:val="nil"/>
              <w:bottom w:val="single" w:sz="4" w:space="0" w:color="auto"/>
              <w:right w:val="single" w:sz="4" w:space="0" w:color="auto"/>
            </w:tcBorders>
            <w:shd w:val="clear" w:color="auto" w:fill="auto"/>
            <w:noWrap/>
            <w:vAlign w:val="bottom"/>
            <w:hideMark/>
          </w:tcPr>
          <w:p w14:paraId="1C072035"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-91.3</w:t>
            </w:r>
          </w:p>
        </w:tc>
      </w:tr>
      <w:tr w:rsidR="007B28C9" w:rsidRPr="007B28C9" w14:paraId="39098A0E"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5E80F3A"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F</w:t>
            </w:r>
          </w:p>
        </w:tc>
        <w:tc>
          <w:tcPr>
            <w:tcW w:w="960" w:type="dxa"/>
            <w:tcBorders>
              <w:top w:val="nil"/>
              <w:left w:val="nil"/>
              <w:bottom w:val="single" w:sz="4" w:space="0" w:color="auto"/>
              <w:right w:val="single" w:sz="4" w:space="0" w:color="auto"/>
            </w:tcBorders>
            <w:shd w:val="clear" w:color="auto" w:fill="auto"/>
            <w:noWrap/>
            <w:vAlign w:val="bottom"/>
            <w:hideMark/>
          </w:tcPr>
          <w:p w14:paraId="529CFDC2"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-90.2</w:t>
            </w:r>
          </w:p>
        </w:tc>
        <w:tc>
          <w:tcPr>
            <w:tcW w:w="960" w:type="dxa"/>
            <w:tcBorders>
              <w:top w:val="nil"/>
              <w:left w:val="nil"/>
              <w:bottom w:val="single" w:sz="4" w:space="0" w:color="auto"/>
              <w:right w:val="single" w:sz="4" w:space="0" w:color="auto"/>
            </w:tcBorders>
            <w:shd w:val="clear" w:color="auto" w:fill="auto"/>
            <w:noWrap/>
            <w:vAlign w:val="bottom"/>
            <w:hideMark/>
          </w:tcPr>
          <w:p w14:paraId="6BBFE593"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-92.2</w:t>
            </w:r>
          </w:p>
        </w:tc>
        <w:tc>
          <w:tcPr>
            <w:tcW w:w="960" w:type="dxa"/>
            <w:tcBorders>
              <w:top w:val="nil"/>
              <w:left w:val="nil"/>
              <w:bottom w:val="single" w:sz="4" w:space="0" w:color="auto"/>
              <w:right w:val="single" w:sz="4" w:space="0" w:color="auto"/>
            </w:tcBorders>
            <w:shd w:val="clear" w:color="auto" w:fill="auto"/>
            <w:noWrap/>
            <w:vAlign w:val="bottom"/>
            <w:hideMark/>
          </w:tcPr>
          <w:p w14:paraId="3BD71A09"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-92.2</w:t>
            </w:r>
          </w:p>
        </w:tc>
        <w:tc>
          <w:tcPr>
            <w:tcW w:w="960" w:type="dxa"/>
            <w:tcBorders>
              <w:top w:val="nil"/>
              <w:left w:val="nil"/>
              <w:bottom w:val="single" w:sz="4" w:space="0" w:color="auto"/>
              <w:right w:val="single" w:sz="4" w:space="0" w:color="auto"/>
            </w:tcBorders>
            <w:shd w:val="clear" w:color="auto" w:fill="auto"/>
            <w:noWrap/>
            <w:vAlign w:val="bottom"/>
            <w:hideMark/>
          </w:tcPr>
          <w:p w14:paraId="460E98D2"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-93.7</w:t>
            </w:r>
          </w:p>
        </w:tc>
      </w:tr>
      <w:tr w:rsidR="007B28C9" w:rsidRPr="007B28C9" w14:paraId="0052FF5C"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3E0205CA"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G</w:t>
            </w:r>
          </w:p>
        </w:tc>
        <w:tc>
          <w:tcPr>
            <w:tcW w:w="960" w:type="dxa"/>
            <w:tcBorders>
              <w:top w:val="nil"/>
              <w:left w:val="nil"/>
              <w:bottom w:val="single" w:sz="4" w:space="0" w:color="auto"/>
              <w:right w:val="single" w:sz="4" w:space="0" w:color="auto"/>
            </w:tcBorders>
            <w:shd w:val="clear" w:color="auto" w:fill="auto"/>
            <w:noWrap/>
            <w:vAlign w:val="bottom"/>
            <w:hideMark/>
          </w:tcPr>
          <w:p w14:paraId="6EA4F3E4"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-86</w:t>
            </w:r>
          </w:p>
        </w:tc>
        <w:tc>
          <w:tcPr>
            <w:tcW w:w="960" w:type="dxa"/>
            <w:tcBorders>
              <w:top w:val="nil"/>
              <w:left w:val="nil"/>
              <w:bottom w:val="single" w:sz="4" w:space="0" w:color="auto"/>
              <w:right w:val="single" w:sz="4" w:space="0" w:color="auto"/>
            </w:tcBorders>
            <w:shd w:val="clear" w:color="auto" w:fill="auto"/>
            <w:noWrap/>
            <w:vAlign w:val="bottom"/>
            <w:hideMark/>
          </w:tcPr>
          <w:p w14:paraId="492D660B"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-91.6</w:t>
            </w:r>
          </w:p>
        </w:tc>
        <w:tc>
          <w:tcPr>
            <w:tcW w:w="960" w:type="dxa"/>
            <w:tcBorders>
              <w:top w:val="nil"/>
              <w:left w:val="nil"/>
              <w:bottom w:val="single" w:sz="4" w:space="0" w:color="auto"/>
              <w:right w:val="single" w:sz="4" w:space="0" w:color="auto"/>
            </w:tcBorders>
            <w:shd w:val="clear" w:color="auto" w:fill="auto"/>
            <w:noWrap/>
            <w:vAlign w:val="bottom"/>
            <w:hideMark/>
          </w:tcPr>
          <w:p w14:paraId="6DB08358"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-88.8</w:t>
            </w:r>
          </w:p>
        </w:tc>
        <w:tc>
          <w:tcPr>
            <w:tcW w:w="960" w:type="dxa"/>
            <w:tcBorders>
              <w:top w:val="nil"/>
              <w:left w:val="nil"/>
              <w:bottom w:val="single" w:sz="4" w:space="0" w:color="auto"/>
              <w:right w:val="single" w:sz="4" w:space="0" w:color="auto"/>
            </w:tcBorders>
            <w:shd w:val="clear" w:color="auto" w:fill="auto"/>
            <w:noWrap/>
            <w:vAlign w:val="bottom"/>
            <w:hideMark/>
          </w:tcPr>
          <w:p w14:paraId="27ABAE85"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-92</w:t>
            </w:r>
          </w:p>
        </w:tc>
      </w:tr>
    </w:tbl>
    <w:p w14:paraId="1ACCE412" w14:textId="77777777" w:rsidR="003E1A16" w:rsidRDefault="003E1A16" w:rsidP="00DA30DD"/>
    <w:p w14:paraId="3F1C1CF0" w14:textId="3095D742" w:rsidR="00C61E2B" w:rsidRDefault="00C61E2B" w:rsidP="00DA30DD">
      <w:r>
        <w:t xml:space="preserve">As can be seen in </w:t>
      </w:r>
      <w:r w:rsidR="000570B9">
        <w:t>Table 2.2.</w:t>
      </w:r>
      <w:r w:rsidR="004526F3">
        <w:t>1</w:t>
      </w:r>
      <w:r w:rsidR="000570B9">
        <w:t>-</w:t>
      </w:r>
      <w:r w:rsidR="002C627F">
        <w:t>4</w:t>
      </w:r>
      <w:r w:rsidR="000570B9">
        <w:t xml:space="preserve">, for each of the devices if the single antenna port REFSENS is adjusted by 2.7 dB to allow for 2Rx antennas instead of one, even the worst performing 2Rx antennas in this sample can meet the 4Rx REFSENS requirement. </w:t>
      </w:r>
    </w:p>
    <w:p w14:paraId="48741550" w14:textId="0B16F5DB" w:rsidR="002B398E" w:rsidRDefault="002B398E" w:rsidP="002B398E">
      <w:pPr>
        <w:pStyle w:val="Caption"/>
        <w:keepNext/>
      </w:pPr>
      <w:r>
        <w:t>Table 2.2.</w:t>
      </w:r>
      <w:r w:rsidR="004526F3">
        <w:t>1</w:t>
      </w:r>
      <w:r>
        <w:t>-</w:t>
      </w:r>
      <w:r w:rsidR="002C627F">
        <w:t>4</w:t>
      </w:r>
      <w:r>
        <w:t xml:space="preserve"> Min and Max single port REFSENS adjusted by -2.7 dB</w:t>
      </w:r>
      <w:r w:rsidR="008730D5">
        <w:t>for n41</w:t>
      </w:r>
    </w:p>
    <w:tbl>
      <w:tblPr>
        <w:tblW w:w="2880" w:type="dxa"/>
        <w:tblLook w:val="04A0" w:firstRow="1" w:lastRow="0" w:firstColumn="1" w:lastColumn="0" w:noHBand="0" w:noVBand="1"/>
      </w:tblPr>
      <w:tblGrid>
        <w:gridCol w:w="960"/>
        <w:gridCol w:w="960"/>
        <w:gridCol w:w="960"/>
      </w:tblGrid>
      <w:tr w:rsidR="007D2B21" w:rsidRPr="00C61E2B" w14:paraId="5180F8C9"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74F1C27F" w14:textId="7C020C1E"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Device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849C3" w14:textId="025FF3E7" w:rsidR="007D2B21" w:rsidRPr="00C61E2B" w:rsidRDefault="007D2B21" w:rsidP="007D2B21">
            <w:pPr>
              <w:spacing w:after="0"/>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Min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8B276B6" w14:textId="77777777" w:rsidR="007D2B21" w:rsidRPr="00C61E2B" w:rsidRDefault="007D2B21" w:rsidP="007D2B21">
            <w:pPr>
              <w:spacing w:after="0"/>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Max</w:t>
            </w:r>
          </w:p>
        </w:tc>
      </w:tr>
      <w:tr w:rsidR="007D2B21" w:rsidRPr="00C61E2B" w14:paraId="1D76FB66"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0D772630" w14:textId="7597C6B8"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A</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BD51A99" w14:textId="0672606D"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-91</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96A48C9"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-89.7</w:t>
            </w:r>
          </w:p>
        </w:tc>
      </w:tr>
      <w:tr w:rsidR="007D2B21" w:rsidRPr="00C61E2B" w14:paraId="6F741A96"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5F518BD4" w14:textId="5AAF695E"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B</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8972A41" w14:textId="09194D53"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-91.5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A3CF446"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-87.6</w:t>
            </w:r>
          </w:p>
        </w:tc>
      </w:tr>
      <w:tr w:rsidR="007D2B21" w:rsidRPr="00C61E2B" w14:paraId="583900B4"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075F31D7" w14:textId="166A23FA"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C</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42CE1AE" w14:textId="1ED249F0"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-92.7</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8DAAD58"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-88.2</w:t>
            </w:r>
          </w:p>
        </w:tc>
      </w:tr>
      <w:tr w:rsidR="007D2B21" w:rsidRPr="00C61E2B" w14:paraId="4909628C"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270DA7D7" w14:textId="00F2E5B9"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 xml:space="preserve">D </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DDCDD46" w14:textId="38FC0E3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-92.4</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D217EC7"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-88.2</w:t>
            </w:r>
          </w:p>
        </w:tc>
      </w:tr>
      <w:tr w:rsidR="007D2B21" w:rsidRPr="00C61E2B" w14:paraId="208BDC17"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12D95F2B" w14:textId="01638AA8"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E</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8166EED" w14:textId="58B2C5CA"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-91.8</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FAA3A4F"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-90.2</w:t>
            </w:r>
          </w:p>
        </w:tc>
      </w:tr>
      <w:tr w:rsidR="007D2B21" w:rsidRPr="00C61E2B" w14:paraId="5D48AD70"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55CD33D9" w14:textId="62CAF518"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F</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0872DB5" w14:textId="7EB7FDB5"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-93.7</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CF139F1"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-90.2</w:t>
            </w:r>
          </w:p>
        </w:tc>
      </w:tr>
      <w:tr w:rsidR="007D2B21" w:rsidRPr="00C61E2B" w14:paraId="63DF1C64"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7428704F" w14:textId="1F29898D"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G</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8328830" w14:textId="2997A8F1"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-92</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59F85DC"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-88.8</w:t>
            </w:r>
          </w:p>
        </w:tc>
      </w:tr>
    </w:tbl>
    <w:p w14:paraId="687B4D64" w14:textId="77777777" w:rsidR="007B28C9" w:rsidRDefault="007B28C9" w:rsidP="00DA30DD"/>
    <w:p w14:paraId="322A7845" w14:textId="35B5488F" w:rsidR="00176D75" w:rsidRPr="00176D75" w:rsidRDefault="00176D75" w:rsidP="00DA30DD">
      <w:pPr>
        <w:rPr>
          <w:b/>
          <w:bCs/>
        </w:rPr>
      </w:pPr>
      <w:r w:rsidRPr="00176D75">
        <w:rPr>
          <w:b/>
          <w:bCs/>
        </w:rPr>
        <w:t>Observation 2: All the antenna ports in the 7 devices studied when adjusted from 1Rx to 2Rx can meet the 4Rx REFSENS requirement</w:t>
      </w:r>
      <w:r>
        <w:rPr>
          <w:b/>
          <w:bCs/>
        </w:rPr>
        <w:t xml:space="preserve"> for n41</w:t>
      </w:r>
      <w:r w:rsidRPr="00176D75">
        <w:rPr>
          <w:b/>
          <w:bCs/>
        </w:rPr>
        <w:t>.</w:t>
      </w:r>
    </w:p>
    <w:p w14:paraId="6AB40D89" w14:textId="7E099829" w:rsidR="002C16DE" w:rsidRDefault="002C16DE" w:rsidP="00DA30DD">
      <w:r>
        <w:t>Table 2.2.</w:t>
      </w:r>
      <w:r w:rsidR="004526F3">
        <w:t>1</w:t>
      </w:r>
      <w:r>
        <w:t>-</w:t>
      </w:r>
      <w:r w:rsidR="002C627F">
        <w:t>5</w:t>
      </w:r>
      <w:r>
        <w:t xml:space="preserve"> shows the margin between the antenna performance for the best </w:t>
      </w:r>
      <w:r w:rsidR="00B83957">
        <w:t xml:space="preserve">and worst </w:t>
      </w:r>
      <w:r>
        <w:t>antenna port</w:t>
      </w:r>
      <w:r w:rsidR="00B83957">
        <w:t xml:space="preserve"> scaled to 2Rx</w:t>
      </w:r>
      <w:r>
        <w:t xml:space="preserve"> relative to the </w:t>
      </w:r>
      <w:r w:rsidR="00B83957">
        <w:t xml:space="preserve">4Rx REFSENS </w:t>
      </w:r>
      <w:r>
        <w:t>requirement</w:t>
      </w:r>
      <w:r w:rsidR="0074682E">
        <w:t xml:space="preserve">. </w:t>
      </w:r>
      <w:r w:rsidR="00176D75">
        <w:t xml:space="preserve">As can be seen, all but one of the single 28 tested antenna ports had at least 1 dB of margin when adjusted to 2 Rx and compared to the 4Rx REFSENS requirement. </w:t>
      </w:r>
    </w:p>
    <w:p w14:paraId="798412D4" w14:textId="3885F963" w:rsidR="00FA37CE" w:rsidRDefault="00FA37CE" w:rsidP="00FA37CE">
      <w:pPr>
        <w:pStyle w:val="Caption"/>
        <w:keepNext/>
      </w:pPr>
      <w:r>
        <w:t>Table 2.2.</w:t>
      </w:r>
      <w:r w:rsidR="004526F3">
        <w:t>1</w:t>
      </w:r>
      <w:r>
        <w:t>-</w:t>
      </w:r>
      <w:r w:rsidR="002C627F">
        <w:t>5</w:t>
      </w:r>
      <w:r>
        <w:t xml:space="preserve"> </w:t>
      </w:r>
      <w:r w:rsidR="00697E9F">
        <w:t>Margin for single port</w:t>
      </w:r>
      <w:r>
        <w:t xml:space="preserve"> REFSENS </w:t>
      </w:r>
    </w:p>
    <w:tbl>
      <w:tblPr>
        <w:tblW w:w="5000" w:type="dxa"/>
        <w:tblLook w:val="04A0" w:firstRow="1" w:lastRow="0" w:firstColumn="1" w:lastColumn="0" w:noHBand="0" w:noVBand="1"/>
      </w:tblPr>
      <w:tblGrid>
        <w:gridCol w:w="1160"/>
        <w:gridCol w:w="960"/>
        <w:gridCol w:w="960"/>
        <w:gridCol w:w="960"/>
        <w:gridCol w:w="960"/>
      </w:tblGrid>
      <w:tr w:rsidR="00013FCF" w:rsidRPr="00013FCF" w14:paraId="31D52391" w14:textId="77777777" w:rsidTr="00013FCF">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5EB17"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D89C95"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Port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DFBE80E"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Port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023874"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Port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3C8C09"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Port 4</w:t>
            </w:r>
          </w:p>
        </w:tc>
      </w:tr>
      <w:tr w:rsidR="00013FCF" w:rsidRPr="00013FCF" w14:paraId="10952C26"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58C23389"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A</w:t>
            </w:r>
          </w:p>
        </w:tc>
        <w:tc>
          <w:tcPr>
            <w:tcW w:w="960" w:type="dxa"/>
            <w:tcBorders>
              <w:top w:val="nil"/>
              <w:left w:val="nil"/>
              <w:bottom w:val="single" w:sz="4" w:space="0" w:color="auto"/>
              <w:right w:val="single" w:sz="4" w:space="0" w:color="auto"/>
            </w:tcBorders>
            <w:shd w:val="clear" w:color="auto" w:fill="auto"/>
            <w:noWrap/>
            <w:vAlign w:val="bottom"/>
            <w:hideMark/>
          </w:tcPr>
          <w:p w14:paraId="2D400203"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noWrap/>
            <w:vAlign w:val="bottom"/>
            <w:hideMark/>
          </w:tcPr>
          <w:p w14:paraId="0B99EE81"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2B5F944B"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3.8</w:t>
            </w:r>
          </w:p>
        </w:tc>
        <w:tc>
          <w:tcPr>
            <w:tcW w:w="960" w:type="dxa"/>
            <w:tcBorders>
              <w:top w:val="nil"/>
              <w:left w:val="nil"/>
              <w:bottom w:val="single" w:sz="4" w:space="0" w:color="auto"/>
              <w:right w:val="single" w:sz="4" w:space="0" w:color="auto"/>
            </w:tcBorders>
            <w:shd w:val="clear" w:color="auto" w:fill="auto"/>
            <w:noWrap/>
            <w:vAlign w:val="bottom"/>
            <w:hideMark/>
          </w:tcPr>
          <w:p w14:paraId="0CC8DB63"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2.5</w:t>
            </w:r>
          </w:p>
        </w:tc>
      </w:tr>
      <w:tr w:rsidR="00013FCF" w:rsidRPr="00013FCF" w14:paraId="1F4A63A6"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45CB76B6"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B</w:t>
            </w:r>
          </w:p>
        </w:tc>
        <w:tc>
          <w:tcPr>
            <w:tcW w:w="960" w:type="dxa"/>
            <w:tcBorders>
              <w:top w:val="nil"/>
              <w:left w:val="nil"/>
              <w:bottom w:val="single" w:sz="4" w:space="0" w:color="auto"/>
              <w:right w:val="single" w:sz="4" w:space="0" w:color="auto"/>
            </w:tcBorders>
            <w:shd w:val="clear" w:color="auto" w:fill="auto"/>
            <w:noWrap/>
            <w:vAlign w:val="bottom"/>
            <w:hideMark/>
          </w:tcPr>
          <w:p w14:paraId="2995F3D8"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78B86322"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noWrap/>
            <w:vAlign w:val="bottom"/>
            <w:hideMark/>
          </w:tcPr>
          <w:p w14:paraId="54BFFBFF"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noWrap/>
            <w:vAlign w:val="bottom"/>
            <w:hideMark/>
          </w:tcPr>
          <w:p w14:paraId="64334E29"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4.3</w:t>
            </w:r>
          </w:p>
        </w:tc>
      </w:tr>
      <w:tr w:rsidR="00013FCF" w:rsidRPr="00013FCF" w14:paraId="21BB6D58"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03DD883D"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C</w:t>
            </w:r>
          </w:p>
        </w:tc>
        <w:tc>
          <w:tcPr>
            <w:tcW w:w="960" w:type="dxa"/>
            <w:tcBorders>
              <w:top w:val="nil"/>
              <w:left w:val="nil"/>
              <w:bottom w:val="single" w:sz="4" w:space="0" w:color="auto"/>
              <w:right w:val="single" w:sz="4" w:space="0" w:color="auto"/>
            </w:tcBorders>
            <w:shd w:val="clear" w:color="auto" w:fill="auto"/>
            <w:noWrap/>
            <w:vAlign w:val="bottom"/>
            <w:hideMark/>
          </w:tcPr>
          <w:p w14:paraId="64C030B9"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3C1A1BA0"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noWrap/>
            <w:vAlign w:val="bottom"/>
            <w:hideMark/>
          </w:tcPr>
          <w:p w14:paraId="50A28A9D"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06AC7970"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5.5</w:t>
            </w:r>
          </w:p>
        </w:tc>
      </w:tr>
      <w:tr w:rsidR="00013FCF" w:rsidRPr="00013FCF" w14:paraId="6F09575C"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E5E9087"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 xml:space="preserve">D </w:t>
            </w:r>
          </w:p>
        </w:tc>
        <w:tc>
          <w:tcPr>
            <w:tcW w:w="960" w:type="dxa"/>
            <w:tcBorders>
              <w:top w:val="nil"/>
              <w:left w:val="nil"/>
              <w:bottom w:val="single" w:sz="4" w:space="0" w:color="auto"/>
              <w:right w:val="single" w:sz="4" w:space="0" w:color="auto"/>
            </w:tcBorders>
            <w:shd w:val="clear" w:color="auto" w:fill="auto"/>
            <w:noWrap/>
            <w:vAlign w:val="bottom"/>
            <w:hideMark/>
          </w:tcPr>
          <w:p w14:paraId="7CDB506C"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2.7</w:t>
            </w:r>
          </w:p>
        </w:tc>
        <w:tc>
          <w:tcPr>
            <w:tcW w:w="960" w:type="dxa"/>
            <w:tcBorders>
              <w:top w:val="nil"/>
              <w:left w:val="nil"/>
              <w:bottom w:val="single" w:sz="4" w:space="0" w:color="auto"/>
              <w:right w:val="single" w:sz="4" w:space="0" w:color="auto"/>
            </w:tcBorders>
            <w:shd w:val="clear" w:color="auto" w:fill="auto"/>
            <w:noWrap/>
            <w:vAlign w:val="bottom"/>
            <w:hideMark/>
          </w:tcPr>
          <w:p w14:paraId="04A94715"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6D18B03E"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2.1</w:t>
            </w:r>
          </w:p>
        </w:tc>
        <w:tc>
          <w:tcPr>
            <w:tcW w:w="960" w:type="dxa"/>
            <w:tcBorders>
              <w:top w:val="nil"/>
              <w:left w:val="nil"/>
              <w:bottom w:val="single" w:sz="4" w:space="0" w:color="auto"/>
              <w:right w:val="single" w:sz="4" w:space="0" w:color="auto"/>
            </w:tcBorders>
            <w:shd w:val="clear" w:color="auto" w:fill="auto"/>
            <w:noWrap/>
            <w:vAlign w:val="bottom"/>
            <w:hideMark/>
          </w:tcPr>
          <w:p w14:paraId="672E1C87"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5.2</w:t>
            </w:r>
          </w:p>
        </w:tc>
      </w:tr>
      <w:tr w:rsidR="00013FCF" w:rsidRPr="00013FCF" w14:paraId="1F6EDB65"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546948FA"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E</w:t>
            </w:r>
          </w:p>
        </w:tc>
        <w:tc>
          <w:tcPr>
            <w:tcW w:w="960" w:type="dxa"/>
            <w:tcBorders>
              <w:top w:val="nil"/>
              <w:left w:val="nil"/>
              <w:bottom w:val="single" w:sz="4" w:space="0" w:color="auto"/>
              <w:right w:val="single" w:sz="4" w:space="0" w:color="auto"/>
            </w:tcBorders>
            <w:shd w:val="clear" w:color="auto" w:fill="auto"/>
            <w:noWrap/>
            <w:vAlign w:val="bottom"/>
            <w:hideMark/>
          </w:tcPr>
          <w:p w14:paraId="66216FAA"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3.2</w:t>
            </w:r>
          </w:p>
        </w:tc>
        <w:tc>
          <w:tcPr>
            <w:tcW w:w="960" w:type="dxa"/>
            <w:tcBorders>
              <w:top w:val="nil"/>
              <w:left w:val="nil"/>
              <w:bottom w:val="single" w:sz="4" w:space="0" w:color="auto"/>
              <w:right w:val="single" w:sz="4" w:space="0" w:color="auto"/>
            </w:tcBorders>
            <w:shd w:val="clear" w:color="auto" w:fill="auto"/>
            <w:noWrap/>
            <w:vAlign w:val="bottom"/>
            <w:hideMark/>
          </w:tcPr>
          <w:p w14:paraId="2BC5CC96"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5E466BAF"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4.6</w:t>
            </w:r>
          </w:p>
        </w:tc>
        <w:tc>
          <w:tcPr>
            <w:tcW w:w="960" w:type="dxa"/>
            <w:tcBorders>
              <w:top w:val="nil"/>
              <w:left w:val="nil"/>
              <w:bottom w:val="single" w:sz="4" w:space="0" w:color="auto"/>
              <w:right w:val="single" w:sz="4" w:space="0" w:color="auto"/>
            </w:tcBorders>
            <w:shd w:val="clear" w:color="auto" w:fill="auto"/>
            <w:noWrap/>
            <w:vAlign w:val="bottom"/>
            <w:hideMark/>
          </w:tcPr>
          <w:p w14:paraId="4E9E0692"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4.1</w:t>
            </w:r>
          </w:p>
        </w:tc>
      </w:tr>
      <w:tr w:rsidR="00013FCF" w:rsidRPr="00013FCF" w14:paraId="1E3096D6"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7AE368AF"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F</w:t>
            </w:r>
          </w:p>
        </w:tc>
        <w:tc>
          <w:tcPr>
            <w:tcW w:w="960" w:type="dxa"/>
            <w:tcBorders>
              <w:top w:val="nil"/>
              <w:left w:val="nil"/>
              <w:bottom w:val="single" w:sz="4" w:space="0" w:color="auto"/>
              <w:right w:val="single" w:sz="4" w:space="0" w:color="auto"/>
            </w:tcBorders>
            <w:shd w:val="clear" w:color="auto" w:fill="auto"/>
            <w:noWrap/>
            <w:vAlign w:val="bottom"/>
            <w:hideMark/>
          </w:tcPr>
          <w:p w14:paraId="01340E38"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45122B92"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noWrap/>
            <w:vAlign w:val="bottom"/>
            <w:hideMark/>
          </w:tcPr>
          <w:p w14:paraId="651E66D7"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noWrap/>
            <w:vAlign w:val="bottom"/>
            <w:hideMark/>
          </w:tcPr>
          <w:p w14:paraId="5A5C3380"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6.5</w:t>
            </w:r>
          </w:p>
        </w:tc>
      </w:tr>
      <w:tr w:rsidR="00013FCF" w:rsidRPr="00013FCF" w14:paraId="7355C72F"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49174158"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G</w:t>
            </w:r>
          </w:p>
        </w:tc>
        <w:tc>
          <w:tcPr>
            <w:tcW w:w="960" w:type="dxa"/>
            <w:tcBorders>
              <w:top w:val="nil"/>
              <w:left w:val="nil"/>
              <w:bottom w:val="single" w:sz="4" w:space="0" w:color="auto"/>
              <w:right w:val="single" w:sz="4" w:space="0" w:color="auto"/>
            </w:tcBorders>
            <w:shd w:val="clear" w:color="auto" w:fill="auto"/>
            <w:noWrap/>
            <w:vAlign w:val="bottom"/>
            <w:hideMark/>
          </w:tcPr>
          <w:p w14:paraId="1C32B040"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3.8</w:t>
            </w:r>
          </w:p>
        </w:tc>
        <w:tc>
          <w:tcPr>
            <w:tcW w:w="960" w:type="dxa"/>
            <w:tcBorders>
              <w:top w:val="nil"/>
              <w:left w:val="nil"/>
              <w:bottom w:val="single" w:sz="4" w:space="0" w:color="auto"/>
              <w:right w:val="single" w:sz="4" w:space="0" w:color="auto"/>
            </w:tcBorders>
            <w:shd w:val="clear" w:color="auto" w:fill="auto"/>
            <w:noWrap/>
            <w:vAlign w:val="bottom"/>
            <w:hideMark/>
          </w:tcPr>
          <w:p w14:paraId="5FA05493"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4.4</w:t>
            </w:r>
          </w:p>
        </w:tc>
        <w:tc>
          <w:tcPr>
            <w:tcW w:w="960" w:type="dxa"/>
            <w:tcBorders>
              <w:top w:val="nil"/>
              <w:left w:val="nil"/>
              <w:bottom w:val="single" w:sz="4" w:space="0" w:color="auto"/>
              <w:right w:val="single" w:sz="4" w:space="0" w:color="auto"/>
            </w:tcBorders>
            <w:shd w:val="clear" w:color="auto" w:fill="auto"/>
            <w:noWrap/>
            <w:vAlign w:val="bottom"/>
            <w:hideMark/>
          </w:tcPr>
          <w:p w14:paraId="24D976A0"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noWrap/>
            <w:vAlign w:val="bottom"/>
            <w:hideMark/>
          </w:tcPr>
          <w:p w14:paraId="45A8AF31"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4.8</w:t>
            </w:r>
          </w:p>
        </w:tc>
      </w:tr>
    </w:tbl>
    <w:p w14:paraId="3E6ADFE6" w14:textId="77777777" w:rsidR="0074682E" w:rsidRDefault="0074682E" w:rsidP="0074682E"/>
    <w:p w14:paraId="778AA1E0" w14:textId="5A99F71D" w:rsidR="007B28C9" w:rsidRPr="00176D75" w:rsidRDefault="00176D75" w:rsidP="00DA30DD">
      <w:pPr>
        <w:rPr>
          <w:b/>
          <w:bCs/>
        </w:rPr>
      </w:pPr>
      <w:r w:rsidRPr="00176D75">
        <w:rPr>
          <w:b/>
          <w:bCs/>
        </w:rPr>
        <w:t>Observation 3: All but one of the 28 antenna ports studied, when adjusted from 1Rx to 2Rx have at least 1 dB of margin relative to the 4Rx REFSENS requirement</w:t>
      </w:r>
      <w:r>
        <w:rPr>
          <w:b/>
          <w:bCs/>
        </w:rPr>
        <w:t xml:space="preserve"> for n41</w:t>
      </w:r>
      <w:r w:rsidRPr="00176D75">
        <w:rPr>
          <w:b/>
          <w:bCs/>
        </w:rPr>
        <w:t xml:space="preserve">. </w:t>
      </w:r>
    </w:p>
    <w:p w14:paraId="1575CDBE" w14:textId="0B837329" w:rsidR="004526F3" w:rsidRPr="0014478F" w:rsidRDefault="004526F3" w:rsidP="004526F3">
      <w:pPr>
        <w:pStyle w:val="Heading3"/>
      </w:pPr>
      <w:r>
        <w:t xml:space="preserve">2.2.2 </w:t>
      </w:r>
      <w:r>
        <w:tab/>
      </w:r>
      <w:r>
        <w:tab/>
        <w:t>n77 conducted REFSENS for Commercial Devices</w:t>
      </w:r>
    </w:p>
    <w:p w14:paraId="1EF1C741" w14:textId="5B38C1E7" w:rsidR="007D2B21" w:rsidRDefault="007D2B21" w:rsidP="004526F3">
      <w:r>
        <w:t xml:space="preserve">Since we only had data for 2 devices with </w:t>
      </w:r>
      <w:r w:rsidR="00C1387D">
        <w:t xml:space="preserve">n77, the data is less statistically meaningful than the n41 data, but it will be presented here anyway. </w:t>
      </w:r>
    </w:p>
    <w:p w14:paraId="6362BD53" w14:textId="664923DD" w:rsidR="004526F3" w:rsidRDefault="004526F3" w:rsidP="004526F3">
      <w:r>
        <w:lastRenderedPageBreak/>
        <w:t xml:space="preserve">Table 2.2.2-1 shows the measured single antenna port REFSENS for seven commercial UEs for each of their 4 antenna ports. </w:t>
      </w:r>
    </w:p>
    <w:p w14:paraId="5E06080B" w14:textId="132D0961" w:rsidR="004526F3" w:rsidRDefault="004526F3" w:rsidP="004526F3">
      <w:pPr>
        <w:pStyle w:val="Caption"/>
        <w:keepNext/>
      </w:pPr>
      <w:r>
        <w:t xml:space="preserve">Table 2.2.2-1 Measured single port REFSENS </w:t>
      </w:r>
      <w:r w:rsidR="008730D5">
        <w:t>for n77</w:t>
      </w:r>
    </w:p>
    <w:tbl>
      <w:tblPr>
        <w:tblW w:w="5200" w:type="dxa"/>
        <w:tblLook w:val="04A0" w:firstRow="1" w:lastRow="0" w:firstColumn="1" w:lastColumn="0" w:noHBand="0" w:noVBand="1"/>
      </w:tblPr>
      <w:tblGrid>
        <w:gridCol w:w="1360"/>
        <w:gridCol w:w="960"/>
        <w:gridCol w:w="960"/>
        <w:gridCol w:w="960"/>
        <w:gridCol w:w="960"/>
      </w:tblGrid>
      <w:tr w:rsidR="00C1387D" w:rsidRPr="00C1387D" w14:paraId="402EB311" w14:textId="77777777" w:rsidTr="00C1387D">
        <w:trPr>
          <w:trHeight w:val="30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92EB0"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5C0E702"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Port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46B2618"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Port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A155E9"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Port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169BAC4"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Port 4</w:t>
            </w:r>
          </w:p>
        </w:tc>
      </w:tr>
      <w:tr w:rsidR="00C1387D" w:rsidRPr="00C1387D" w14:paraId="5C249AE5" w14:textId="77777777" w:rsidTr="00C1387D">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A98600D"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A</w:t>
            </w:r>
          </w:p>
        </w:tc>
        <w:tc>
          <w:tcPr>
            <w:tcW w:w="960" w:type="dxa"/>
            <w:tcBorders>
              <w:top w:val="nil"/>
              <w:left w:val="nil"/>
              <w:bottom w:val="single" w:sz="4" w:space="0" w:color="auto"/>
              <w:right w:val="single" w:sz="4" w:space="0" w:color="auto"/>
            </w:tcBorders>
            <w:shd w:val="clear" w:color="auto" w:fill="auto"/>
            <w:noWrap/>
            <w:vAlign w:val="bottom"/>
            <w:hideMark/>
          </w:tcPr>
          <w:p w14:paraId="22A9BA80"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-88.4</w:t>
            </w:r>
          </w:p>
        </w:tc>
        <w:tc>
          <w:tcPr>
            <w:tcW w:w="960" w:type="dxa"/>
            <w:tcBorders>
              <w:top w:val="nil"/>
              <w:left w:val="nil"/>
              <w:bottom w:val="single" w:sz="4" w:space="0" w:color="auto"/>
              <w:right w:val="single" w:sz="4" w:space="0" w:color="auto"/>
            </w:tcBorders>
            <w:shd w:val="clear" w:color="auto" w:fill="auto"/>
            <w:noWrap/>
            <w:vAlign w:val="bottom"/>
            <w:hideMark/>
          </w:tcPr>
          <w:p w14:paraId="646489EE"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-89.4</w:t>
            </w:r>
          </w:p>
        </w:tc>
        <w:tc>
          <w:tcPr>
            <w:tcW w:w="960" w:type="dxa"/>
            <w:tcBorders>
              <w:top w:val="nil"/>
              <w:left w:val="nil"/>
              <w:bottom w:val="single" w:sz="4" w:space="0" w:color="auto"/>
              <w:right w:val="single" w:sz="4" w:space="0" w:color="auto"/>
            </w:tcBorders>
            <w:shd w:val="clear" w:color="auto" w:fill="auto"/>
            <w:noWrap/>
            <w:vAlign w:val="bottom"/>
            <w:hideMark/>
          </w:tcPr>
          <w:p w14:paraId="000C499B"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-88.2</w:t>
            </w:r>
          </w:p>
        </w:tc>
        <w:tc>
          <w:tcPr>
            <w:tcW w:w="960" w:type="dxa"/>
            <w:tcBorders>
              <w:top w:val="nil"/>
              <w:left w:val="nil"/>
              <w:bottom w:val="single" w:sz="4" w:space="0" w:color="auto"/>
              <w:right w:val="single" w:sz="4" w:space="0" w:color="auto"/>
            </w:tcBorders>
            <w:shd w:val="clear" w:color="auto" w:fill="auto"/>
            <w:noWrap/>
            <w:vAlign w:val="bottom"/>
            <w:hideMark/>
          </w:tcPr>
          <w:p w14:paraId="72706020"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-87.3</w:t>
            </w:r>
          </w:p>
        </w:tc>
      </w:tr>
      <w:tr w:rsidR="00C1387D" w:rsidRPr="00C1387D" w14:paraId="44F040EC" w14:textId="77777777" w:rsidTr="00C1387D">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035720A2"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G (C-Band)</w:t>
            </w:r>
          </w:p>
        </w:tc>
        <w:tc>
          <w:tcPr>
            <w:tcW w:w="960" w:type="dxa"/>
            <w:tcBorders>
              <w:top w:val="nil"/>
              <w:left w:val="nil"/>
              <w:bottom w:val="single" w:sz="4" w:space="0" w:color="auto"/>
              <w:right w:val="single" w:sz="4" w:space="0" w:color="auto"/>
            </w:tcBorders>
            <w:shd w:val="clear" w:color="auto" w:fill="auto"/>
            <w:noWrap/>
            <w:vAlign w:val="bottom"/>
            <w:hideMark/>
          </w:tcPr>
          <w:p w14:paraId="408B875F"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-88.8</w:t>
            </w:r>
          </w:p>
        </w:tc>
        <w:tc>
          <w:tcPr>
            <w:tcW w:w="960" w:type="dxa"/>
            <w:tcBorders>
              <w:top w:val="nil"/>
              <w:left w:val="nil"/>
              <w:bottom w:val="single" w:sz="4" w:space="0" w:color="auto"/>
              <w:right w:val="single" w:sz="4" w:space="0" w:color="auto"/>
            </w:tcBorders>
            <w:shd w:val="clear" w:color="auto" w:fill="auto"/>
            <w:noWrap/>
            <w:vAlign w:val="bottom"/>
            <w:hideMark/>
          </w:tcPr>
          <w:p w14:paraId="43D51AE8"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-90.5</w:t>
            </w:r>
          </w:p>
        </w:tc>
        <w:tc>
          <w:tcPr>
            <w:tcW w:w="960" w:type="dxa"/>
            <w:tcBorders>
              <w:top w:val="nil"/>
              <w:left w:val="nil"/>
              <w:bottom w:val="single" w:sz="4" w:space="0" w:color="auto"/>
              <w:right w:val="single" w:sz="4" w:space="0" w:color="auto"/>
            </w:tcBorders>
            <w:shd w:val="clear" w:color="auto" w:fill="auto"/>
            <w:noWrap/>
            <w:vAlign w:val="bottom"/>
            <w:hideMark/>
          </w:tcPr>
          <w:p w14:paraId="6176167D"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-89.3</w:t>
            </w:r>
          </w:p>
        </w:tc>
        <w:tc>
          <w:tcPr>
            <w:tcW w:w="960" w:type="dxa"/>
            <w:tcBorders>
              <w:top w:val="nil"/>
              <w:left w:val="nil"/>
              <w:bottom w:val="single" w:sz="4" w:space="0" w:color="auto"/>
              <w:right w:val="single" w:sz="4" w:space="0" w:color="auto"/>
            </w:tcBorders>
            <w:shd w:val="clear" w:color="auto" w:fill="auto"/>
            <w:noWrap/>
            <w:vAlign w:val="bottom"/>
            <w:hideMark/>
          </w:tcPr>
          <w:p w14:paraId="0A499BF2"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-89.2</w:t>
            </w:r>
          </w:p>
        </w:tc>
      </w:tr>
      <w:tr w:rsidR="00C1387D" w:rsidRPr="00C1387D" w14:paraId="49845CBC" w14:textId="77777777" w:rsidTr="00C1387D">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4FF76571"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G (DoD band)</w:t>
            </w:r>
          </w:p>
        </w:tc>
        <w:tc>
          <w:tcPr>
            <w:tcW w:w="960" w:type="dxa"/>
            <w:tcBorders>
              <w:top w:val="nil"/>
              <w:left w:val="nil"/>
              <w:bottom w:val="single" w:sz="4" w:space="0" w:color="auto"/>
              <w:right w:val="single" w:sz="4" w:space="0" w:color="auto"/>
            </w:tcBorders>
            <w:shd w:val="clear" w:color="auto" w:fill="auto"/>
            <w:noWrap/>
            <w:vAlign w:val="bottom"/>
            <w:hideMark/>
          </w:tcPr>
          <w:p w14:paraId="60FB735F"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-88.5</w:t>
            </w:r>
          </w:p>
        </w:tc>
        <w:tc>
          <w:tcPr>
            <w:tcW w:w="960" w:type="dxa"/>
            <w:tcBorders>
              <w:top w:val="nil"/>
              <w:left w:val="nil"/>
              <w:bottom w:val="single" w:sz="4" w:space="0" w:color="auto"/>
              <w:right w:val="single" w:sz="4" w:space="0" w:color="auto"/>
            </w:tcBorders>
            <w:shd w:val="clear" w:color="auto" w:fill="auto"/>
            <w:noWrap/>
            <w:vAlign w:val="bottom"/>
            <w:hideMark/>
          </w:tcPr>
          <w:p w14:paraId="2985DCC1"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-90.3</w:t>
            </w:r>
          </w:p>
        </w:tc>
        <w:tc>
          <w:tcPr>
            <w:tcW w:w="960" w:type="dxa"/>
            <w:tcBorders>
              <w:top w:val="nil"/>
              <w:left w:val="nil"/>
              <w:bottom w:val="single" w:sz="4" w:space="0" w:color="auto"/>
              <w:right w:val="single" w:sz="4" w:space="0" w:color="auto"/>
            </w:tcBorders>
            <w:shd w:val="clear" w:color="auto" w:fill="auto"/>
            <w:noWrap/>
            <w:vAlign w:val="bottom"/>
            <w:hideMark/>
          </w:tcPr>
          <w:p w14:paraId="0F729868"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-89</w:t>
            </w:r>
          </w:p>
        </w:tc>
        <w:tc>
          <w:tcPr>
            <w:tcW w:w="960" w:type="dxa"/>
            <w:tcBorders>
              <w:top w:val="nil"/>
              <w:left w:val="nil"/>
              <w:bottom w:val="single" w:sz="4" w:space="0" w:color="auto"/>
              <w:right w:val="single" w:sz="4" w:space="0" w:color="auto"/>
            </w:tcBorders>
            <w:shd w:val="clear" w:color="auto" w:fill="auto"/>
            <w:noWrap/>
            <w:vAlign w:val="bottom"/>
            <w:hideMark/>
          </w:tcPr>
          <w:p w14:paraId="3A4D7B6A"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-89.6</w:t>
            </w:r>
          </w:p>
        </w:tc>
      </w:tr>
    </w:tbl>
    <w:p w14:paraId="410E7B95" w14:textId="77777777" w:rsidR="004526F3" w:rsidRDefault="004526F3" w:rsidP="004526F3"/>
    <w:p w14:paraId="63A7CC1B" w14:textId="3517D48E" w:rsidR="004526F3" w:rsidRDefault="004526F3" w:rsidP="004526F3">
      <w:r>
        <w:t xml:space="preserve">Table 2.2.2-2 shows that for each of the 7 devices, </w:t>
      </w:r>
      <w:r w:rsidR="00A72865">
        <w:t>all</w:t>
      </w:r>
      <w:r>
        <w:t xml:space="preserve"> the single ports mee</w:t>
      </w:r>
      <w:r w:rsidR="00A72865">
        <w:t>t</w:t>
      </w:r>
      <w:r>
        <w:t xml:space="preserve"> the 4Rx REFSENS requirement. So, in theory, it would seem to be possible for a UE to meet the 4Rx REFSENS requirement with a single antenna port based on this limited sample of devices. </w:t>
      </w:r>
    </w:p>
    <w:p w14:paraId="374E24DD" w14:textId="77777777" w:rsidR="004526F3" w:rsidRDefault="004526F3" w:rsidP="004526F3">
      <w:pPr>
        <w:pStyle w:val="Caption"/>
        <w:keepNext/>
      </w:pPr>
      <w:r>
        <w:t>Table 2.2.2-2 Min and Max single port REFSENS</w:t>
      </w:r>
    </w:p>
    <w:tbl>
      <w:tblPr>
        <w:tblW w:w="3320" w:type="dxa"/>
        <w:tblLook w:val="04A0" w:firstRow="1" w:lastRow="0" w:firstColumn="1" w:lastColumn="0" w:noHBand="0" w:noVBand="1"/>
      </w:tblPr>
      <w:tblGrid>
        <w:gridCol w:w="1400"/>
        <w:gridCol w:w="960"/>
        <w:gridCol w:w="960"/>
      </w:tblGrid>
      <w:tr w:rsidR="00A72865" w:rsidRPr="00A72865" w14:paraId="033283C8" w14:textId="77777777" w:rsidTr="00A72865">
        <w:trPr>
          <w:trHeight w:val="300"/>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65D22"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1DF9068"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Min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8B3C251"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Max</w:t>
            </w:r>
          </w:p>
        </w:tc>
      </w:tr>
      <w:tr w:rsidR="00A72865" w:rsidRPr="00A72865" w14:paraId="4B630022" w14:textId="77777777" w:rsidTr="00A72865">
        <w:trPr>
          <w:trHeight w:val="30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43F647C7"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A</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A2C7902"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-89.4</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72B18CA"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-87.3</w:t>
            </w:r>
          </w:p>
        </w:tc>
      </w:tr>
      <w:tr w:rsidR="00A72865" w:rsidRPr="00A72865" w14:paraId="72959AE8" w14:textId="77777777" w:rsidTr="00A72865">
        <w:trPr>
          <w:trHeight w:val="30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3008F0D8"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G (C-Band)</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620C55CC"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-90.5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E447051"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-88.8</w:t>
            </w:r>
          </w:p>
        </w:tc>
      </w:tr>
      <w:tr w:rsidR="00A72865" w:rsidRPr="00A72865" w14:paraId="26184B93" w14:textId="77777777" w:rsidTr="00A72865">
        <w:trPr>
          <w:trHeight w:val="30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70649B0F"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G (DoD band)</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E9D7420"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-90.3</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97CDC32"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-88.5</w:t>
            </w:r>
          </w:p>
        </w:tc>
      </w:tr>
    </w:tbl>
    <w:p w14:paraId="5E8E9E50" w14:textId="77777777" w:rsidR="004526F3" w:rsidRDefault="004526F3" w:rsidP="004526F3"/>
    <w:p w14:paraId="205C3E8D" w14:textId="2B9D09CA" w:rsidR="004526F3" w:rsidRPr="00176D75" w:rsidRDefault="004526F3" w:rsidP="004526F3">
      <w:pPr>
        <w:rPr>
          <w:b/>
          <w:bCs/>
        </w:rPr>
      </w:pPr>
      <w:r w:rsidRPr="00176D75">
        <w:rPr>
          <w:b/>
          <w:bCs/>
        </w:rPr>
        <w:t xml:space="preserve">Observation </w:t>
      </w:r>
      <w:r w:rsidR="00A72865">
        <w:rPr>
          <w:b/>
          <w:bCs/>
        </w:rPr>
        <w:t>4</w:t>
      </w:r>
      <w:r w:rsidRPr="00176D75">
        <w:rPr>
          <w:b/>
          <w:bCs/>
        </w:rPr>
        <w:t xml:space="preserve">: </w:t>
      </w:r>
      <w:r w:rsidR="00A72865">
        <w:rPr>
          <w:b/>
          <w:bCs/>
        </w:rPr>
        <w:t>For the</w:t>
      </w:r>
      <w:r w:rsidRPr="00176D75">
        <w:rPr>
          <w:b/>
          <w:bCs/>
        </w:rPr>
        <w:t xml:space="preserve"> </w:t>
      </w:r>
      <w:r w:rsidR="00A72865">
        <w:rPr>
          <w:b/>
          <w:bCs/>
        </w:rPr>
        <w:t>two</w:t>
      </w:r>
      <w:r w:rsidRPr="00176D75">
        <w:rPr>
          <w:b/>
          <w:bCs/>
        </w:rPr>
        <w:t xml:space="preserve"> devices studied</w:t>
      </w:r>
      <w:r w:rsidR="00A72865">
        <w:rPr>
          <w:b/>
          <w:bCs/>
        </w:rPr>
        <w:t>,</w:t>
      </w:r>
      <w:r w:rsidRPr="00176D75">
        <w:rPr>
          <w:b/>
          <w:bCs/>
        </w:rPr>
        <w:t xml:space="preserve"> </w:t>
      </w:r>
      <w:r w:rsidR="00A72865">
        <w:rPr>
          <w:b/>
          <w:bCs/>
        </w:rPr>
        <w:t xml:space="preserve">all antenna </w:t>
      </w:r>
      <w:r w:rsidRPr="00176D75">
        <w:rPr>
          <w:b/>
          <w:bCs/>
        </w:rPr>
        <w:t>port</w:t>
      </w:r>
      <w:r w:rsidR="00A72865">
        <w:rPr>
          <w:b/>
          <w:bCs/>
        </w:rPr>
        <w:t>s</w:t>
      </w:r>
      <w:r w:rsidRPr="00176D75">
        <w:rPr>
          <w:b/>
          <w:bCs/>
        </w:rPr>
        <w:t xml:space="preserve"> can meet the 4Rx REFSENS requirement with a single antenna port</w:t>
      </w:r>
      <w:r>
        <w:rPr>
          <w:b/>
          <w:bCs/>
        </w:rPr>
        <w:t xml:space="preserve"> for n</w:t>
      </w:r>
      <w:r w:rsidR="00A72865">
        <w:rPr>
          <w:b/>
          <w:bCs/>
        </w:rPr>
        <w:t>77</w:t>
      </w:r>
      <w:r w:rsidRPr="00176D75">
        <w:rPr>
          <w:b/>
          <w:bCs/>
        </w:rPr>
        <w:t xml:space="preserve">. </w:t>
      </w:r>
    </w:p>
    <w:p w14:paraId="6FA7C7CF" w14:textId="0A7A7831" w:rsidR="005014A2" w:rsidRDefault="00271FE1" w:rsidP="00271FE1">
      <w:pPr>
        <w:pStyle w:val="Heading1"/>
      </w:pPr>
      <w:r>
        <w:t>3</w:t>
      </w:r>
      <w:r>
        <w:tab/>
      </w:r>
      <w:r w:rsidR="007972E9">
        <w:t>Conclusion</w:t>
      </w:r>
    </w:p>
    <w:p w14:paraId="2A186A2F" w14:textId="06FE0265" w:rsidR="00A72865" w:rsidRDefault="00A72865" w:rsidP="00A72865">
      <w:pPr>
        <w:rPr>
          <w:b/>
          <w:bCs/>
        </w:rPr>
      </w:pPr>
      <w:r w:rsidRPr="00176D75">
        <w:rPr>
          <w:b/>
          <w:bCs/>
        </w:rPr>
        <w:t>Observation 1: All the 7 devices studied have at least one antenna port that can meet the 4Rx REFSENS requirement with a single antenna port</w:t>
      </w:r>
      <w:r>
        <w:rPr>
          <w:b/>
          <w:bCs/>
        </w:rPr>
        <w:t xml:space="preserve"> for n41</w:t>
      </w:r>
      <w:r w:rsidRPr="00176D75">
        <w:rPr>
          <w:b/>
          <w:bCs/>
        </w:rPr>
        <w:t xml:space="preserve">. </w:t>
      </w:r>
    </w:p>
    <w:p w14:paraId="3E2F5D13" w14:textId="77777777" w:rsidR="00A72865" w:rsidRPr="00176D75" w:rsidRDefault="00A72865" w:rsidP="00A72865">
      <w:pPr>
        <w:rPr>
          <w:b/>
          <w:bCs/>
        </w:rPr>
      </w:pPr>
      <w:r w:rsidRPr="00176D75">
        <w:rPr>
          <w:b/>
          <w:bCs/>
        </w:rPr>
        <w:t>Observation 2: All the antenna ports in the 7 devices studied when adjusted from 1Rx to 2Rx can meet the 4Rx REFSENS requirement</w:t>
      </w:r>
      <w:r>
        <w:rPr>
          <w:b/>
          <w:bCs/>
        </w:rPr>
        <w:t xml:space="preserve"> for n41</w:t>
      </w:r>
      <w:r w:rsidRPr="00176D75">
        <w:rPr>
          <w:b/>
          <w:bCs/>
        </w:rPr>
        <w:t>.</w:t>
      </w:r>
    </w:p>
    <w:p w14:paraId="269300E9" w14:textId="77777777" w:rsidR="00A72865" w:rsidRPr="00176D75" w:rsidRDefault="00A72865" w:rsidP="00A72865">
      <w:pPr>
        <w:rPr>
          <w:b/>
          <w:bCs/>
        </w:rPr>
      </w:pPr>
      <w:r w:rsidRPr="00176D75">
        <w:rPr>
          <w:b/>
          <w:bCs/>
        </w:rPr>
        <w:t>Observation 3: All but one of the 28 antenna ports studied, when adjusted from 1Rx to 2Rx have at least 1 dB of margin relative to the 4Rx REFSENS requirement</w:t>
      </w:r>
      <w:r>
        <w:rPr>
          <w:b/>
          <w:bCs/>
        </w:rPr>
        <w:t xml:space="preserve"> for n41</w:t>
      </w:r>
      <w:r w:rsidRPr="00176D75">
        <w:rPr>
          <w:b/>
          <w:bCs/>
        </w:rPr>
        <w:t xml:space="preserve">. </w:t>
      </w:r>
    </w:p>
    <w:p w14:paraId="0A90269F" w14:textId="77777777" w:rsidR="00A72865" w:rsidRDefault="00A72865" w:rsidP="00A72865">
      <w:pPr>
        <w:rPr>
          <w:b/>
          <w:bCs/>
        </w:rPr>
      </w:pPr>
      <w:r w:rsidRPr="00176D75">
        <w:rPr>
          <w:b/>
          <w:bCs/>
        </w:rPr>
        <w:t xml:space="preserve">Observation </w:t>
      </w:r>
      <w:r>
        <w:rPr>
          <w:b/>
          <w:bCs/>
        </w:rPr>
        <w:t>4</w:t>
      </w:r>
      <w:r w:rsidRPr="00176D75">
        <w:rPr>
          <w:b/>
          <w:bCs/>
        </w:rPr>
        <w:t xml:space="preserve">: </w:t>
      </w:r>
      <w:r>
        <w:rPr>
          <w:b/>
          <w:bCs/>
        </w:rPr>
        <w:t>For the</w:t>
      </w:r>
      <w:r w:rsidRPr="00176D75">
        <w:rPr>
          <w:b/>
          <w:bCs/>
        </w:rPr>
        <w:t xml:space="preserve"> </w:t>
      </w:r>
      <w:r>
        <w:rPr>
          <w:b/>
          <w:bCs/>
        </w:rPr>
        <w:t>two</w:t>
      </w:r>
      <w:r w:rsidRPr="00176D75">
        <w:rPr>
          <w:b/>
          <w:bCs/>
        </w:rPr>
        <w:t xml:space="preserve"> devices studied</w:t>
      </w:r>
      <w:r>
        <w:rPr>
          <w:b/>
          <w:bCs/>
        </w:rPr>
        <w:t>,</w:t>
      </w:r>
      <w:r w:rsidRPr="00176D75">
        <w:rPr>
          <w:b/>
          <w:bCs/>
        </w:rPr>
        <w:t xml:space="preserve"> </w:t>
      </w:r>
      <w:r>
        <w:rPr>
          <w:b/>
          <w:bCs/>
        </w:rPr>
        <w:t xml:space="preserve">all antenna </w:t>
      </w:r>
      <w:r w:rsidRPr="00176D75">
        <w:rPr>
          <w:b/>
          <w:bCs/>
        </w:rPr>
        <w:t>port</w:t>
      </w:r>
      <w:r>
        <w:rPr>
          <w:b/>
          <w:bCs/>
        </w:rPr>
        <w:t>s</w:t>
      </w:r>
      <w:r w:rsidRPr="00176D75">
        <w:rPr>
          <w:b/>
          <w:bCs/>
        </w:rPr>
        <w:t xml:space="preserve"> can meet the 4Rx REFSENS requirement with a single antenna port</w:t>
      </w:r>
      <w:r>
        <w:rPr>
          <w:b/>
          <w:bCs/>
        </w:rPr>
        <w:t xml:space="preserve"> for n77</w:t>
      </w:r>
      <w:r w:rsidRPr="00176D75">
        <w:rPr>
          <w:b/>
          <w:bCs/>
        </w:rPr>
        <w:t xml:space="preserve">. </w:t>
      </w:r>
    </w:p>
    <w:p w14:paraId="42701A6F" w14:textId="79547BA0" w:rsidR="004A4E18" w:rsidRPr="00176D75" w:rsidRDefault="004A4E18" w:rsidP="00A72865">
      <w:pPr>
        <w:rPr>
          <w:b/>
          <w:bCs/>
        </w:rPr>
      </w:pPr>
      <w:r>
        <w:rPr>
          <w:b/>
          <w:bCs/>
        </w:rPr>
        <w:t xml:space="preserve">Proposal: XR UEs that utilize the 2Rx </w:t>
      </w:r>
      <w:r w:rsidR="00F44736">
        <w:rPr>
          <w:b/>
          <w:bCs/>
        </w:rPr>
        <w:t xml:space="preserve">antenna </w:t>
      </w:r>
      <w:r>
        <w:rPr>
          <w:b/>
          <w:bCs/>
        </w:rPr>
        <w:t xml:space="preserve">allowance shall meet the 4Rx </w:t>
      </w:r>
      <w:r w:rsidR="00F44736">
        <w:rPr>
          <w:b/>
          <w:bCs/>
        </w:rPr>
        <w:t xml:space="preserve">conducted </w:t>
      </w:r>
      <w:r>
        <w:rPr>
          <w:b/>
          <w:bCs/>
        </w:rPr>
        <w:t>REFSENS requirements</w:t>
      </w:r>
      <w:r w:rsidR="00F44736">
        <w:rPr>
          <w:b/>
          <w:bCs/>
        </w:rPr>
        <w:t xml:space="preserve"> for bands where 4Rx is mandatory. </w:t>
      </w:r>
      <w:r>
        <w:rPr>
          <w:b/>
          <w:bCs/>
        </w:rPr>
        <w:t xml:space="preserve"> </w:t>
      </w:r>
    </w:p>
    <w:p w14:paraId="57365DE0" w14:textId="3D89EF22" w:rsidR="007B6528" w:rsidRPr="007972E9" w:rsidRDefault="007972E9" w:rsidP="005014A2">
      <w:pPr>
        <w:pStyle w:val="Heading1"/>
      </w:pPr>
      <w:r>
        <w:t>4</w:t>
      </w:r>
      <w:r w:rsidR="00F257E9">
        <w:tab/>
      </w:r>
      <w:r w:rsidR="00F257E9" w:rsidRPr="005014A2">
        <w:t>Reference</w:t>
      </w:r>
      <w:r w:rsidR="00284AE0" w:rsidRPr="005014A2">
        <w:t>s</w:t>
      </w:r>
    </w:p>
    <w:bookmarkEnd w:id="0"/>
    <w:p w14:paraId="22826613" w14:textId="28302D84" w:rsidR="00F93BCA" w:rsidRDefault="00DF693E" w:rsidP="005E3ED6">
      <w:r>
        <w:t xml:space="preserve">[1] </w:t>
      </w:r>
      <w:r w:rsidR="000461C2" w:rsidRPr="000461C2">
        <w:tab/>
      </w:r>
      <w:r w:rsidR="004117E6" w:rsidRPr="004117E6">
        <w:t>RP-234015, Summary of offline session on 2Rx for XR, Nokia</w:t>
      </w:r>
    </w:p>
    <w:p w14:paraId="04C41D75" w14:textId="5AAF498F" w:rsidR="003625AC" w:rsidRPr="009F001E" w:rsidRDefault="003625AC" w:rsidP="005E6DA3">
      <w:pPr>
        <w:pStyle w:val="EX"/>
        <w:keepLines w:val="0"/>
        <w:numPr>
          <w:ilvl w:val="0"/>
          <w:numId w:val="0"/>
        </w:numPr>
        <w:tabs>
          <w:tab w:val="clear" w:pos="369"/>
        </w:tabs>
        <w:rPr>
          <w:rFonts w:ascii="Arial" w:hAnsi="Arial" w:cs="Arial"/>
          <w:bCs/>
        </w:rPr>
      </w:pPr>
    </w:p>
    <w:sectPr w:rsidR="003625AC" w:rsidRPr="009F001E">
      <w:headerReference w:type="default" r:id="rId10"/>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D72D6" w14:textId="77777777" w:rsidR="00D467FC" w:rsidRDefault="00D467FC">
      <w:pPr>
        <w:spacing w:after="0"/>
      </w:pPr>
      <w:r>
        <w:separator/>
      </w:r>
    </w:p>
  </w:endnote>
  <w:endnote w:type="continuationSeparator" w:id="0">
    <w:p w14:paraId="6B288436" w14:textId="77777777" w:rsidR="00D467FC" w:rsidRDefault="00D467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B378" w14:textId="77777777" w:rsidR="00D467FC" w:rsidRDefault="00D467FC">
      <w:pPr>
        <w:spacing w:after="0"/>
      </w:pPr>
      <w:r>
        <w:separator/>
      </w:r>
    </w:p>
  </w:footnote>
  <w:footnote w:type="continuationSeparator" w:id="0">
    <w:p w14:paraId="1306122D" w14:textId="77777777" w:rsidR="00D467FC" w:rsidRDefault="00D467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4D2347"/>
    <w:multiLevelType w:val="hybridMultilevel"/>
    <w:tmpl w:val="3A485950"/>
    <w:lvl w:ilvl="0" w:tplc="B8C25B6E">
      <w:start w:val="4"/>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1"/>
  </w:num>
  <w:num w:numId="5" w16cid:durableId="1450314572">
    <w:abstractNumId w:val="6"/>
  </w:num>
  <w:num w:numId="6" w16cid:durableId="1107578758">
    <w:abstractNumId w:val="19"/>
  </w:num>
  <w:num w:numId="7" w16cid:durableId="1972588271">
    <w:abstractNumId w:val="15"/>
  </w:num>
  <w:num w:numId="8" w16cid:durableId="1400589344">
    <w:abstractNumId w:val="10"/>
  </w:num>
  <w:num w:numId="9" w16cid:durableId="1501117299">
    <w:abstractNumId w:val="8"/>
  </w:num>
  <w:num w:numId="10" w16cid:durableId="146282890">
    <w:abstractNumId w:val="16"/>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7"/>
  </w:num>
  <w:num w:numId="14" w16cid:durableId="414861259">
    <w:abstractNumId w:val="9"/>
  </w:num>
  <w:num w:numId="15" w16cid:durableId="812061522">
    <w:abstractNumId w:val="5"/>
  </w:num>
  <w:num w:numId="16" w16cid:durableId="1925185752">
    <w:abstractNumId w:val="13"/>
  </w:num>
  <w:num w:numId="17" w16cid:durableId="59909015">
    <w:abstractNumId w:val="3"/>
  </w:num>
  <w:num w:numId="18" w16cid:durableId="678897304">
    <w:abstractNumId w:val="2"/>
  </w:num>
  <w:num w:numId="19" w16cid:durableId="1906798571">
    <w:abstractNumId w:val="14"/>
  </w:num>
  <w:num w:numId="20" w16cid:durableId="1219710269">
    <w:abstractNumId w:val="12"/>
  </w:num>
  <w:num w:numId="21" w16cid:durableId="3405478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292E"/>
    <w:rsid w:val="000058CA"/>
    <w:rsid w:val="00005E55"/>
    <w:rsid w:val="0000623D"/>
    <w:rsid w:val="000109CF"/>
    <w:rsid w:val="00011106"/>
    <w:rsid w:val="00013E09"/>
    <w:rsid w:val="00013FCF"/>
    <w:rsid w:val="00014516"/>
    <w:rsid w:val="000202FB"/>
    <w:rsid w:val="00020AC9"/>
    <w:rsid w:val="0002167A"/>
    <w:rsid w:val="00026F78"/>
    <w:rsid w:val="00030984"/>
    <w:rsid w:val="000322FE"/>
    <w:rsid w:val="00033397"/>
    <w:rsid w:val="00034D8B"/>
    <w:rsid w:val="00040095"/>
    <w:rsid w:val="00042AA1"/>
    <w:rsid w:val="00045A0E"/>
    <w:rsid w:val="00045CE2"/>
    <w:rsid w:val="000461C2"/>
    <w:rsid w:val="00047B82"/>
    <w:rsid w:val="00051834"/>
    <w:rsid w:val="00051A09"/>
    <w:rsid w:val="00054529"/>
    <w:rsid w:val="00054A22"/>
    <w:rsid w:val="00056DA6"/>
    <w:rsid w:val="00056F12"/>
    <w:rsid w:val="000570B9"/>
    <w:rsid w:val="00057D4C"/>
    <w:rsid w:val="0006193A"/>
    <w:rsid w:val="00062023"/>
    <w:rsid w:val="000655A6"/>
    <w:rsid w:val="0006634A"/>
    <w:rsid w:val="0006704A"/>
    <w:rsid w:val="000676F7"/>
    <w:rsid w:val="00072973"/>
    <w:rsid w:val="000742F4"/>
    <w:rsid w:val="0007441A"/>
    <w:rsid w:val="0007497D"/>
    <w:rsid w:val="00080512"/>
    <w:rsid w:val="00086E51"/>
    <w:rsid w:val="000909F7"/>
    <w:rsid w:val="0009222E"/>
    <w:rsid w:val="00092E3F"/>
    <w:rsid w:val="000940D3"/>
    <w:rsid w:val="000A0C3B"/>
    <w:rsid w:val="000A0ED5"/>
    <w:rsid w:val="000A2421"/>
    <w:rsid w:val="000A2AC4"/>
    <w:rsid w:val="000A365D"/>
    <w:rsid w:val="000A68F3"/>
    <w:rsid w:val="000B281D"/>
    <w:rsid w:val="000B3335"/>
    <w:rsid w:val="000B3DD6"/>
    <w:rsid w:val="000B44F7"/>
    <w:rsid w:val="000B505F"/>
    <w:rsid w:val="000B541D"/>
    <w:rsid w:val="000B61A8"/>
    <w:rsid w:val="000B61FB"/>
    <w:rsid w:val="000C47C3"/>
    <w:rsid w:val="000C4943"/>
    <w:rsid w:val="000C70D2"/>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25A2"/>
    <w:rsid w:val="00104BC6"/>
    <w:rsid w:val="001064E6"/>
    <w:rsid w:val="00107F02"/>
    <w:rsid w:val="00114E2C"/>
    <w:rsid w:val="0011502F"/>
    <w:rsid w:val="00117BAA"/>
    <w:rsid w:val="0012047E"/>
    <w:rsid w:val="00121103"/>
    <w:rsid w:val="00133525"/>
    <w:rsid w:val="00135936"/>
    <w:rsid w:val="00135FBA"/>
    <w:rsid w:val="00137580"/>
    <w:rsid w:val="0013765A"/>
    <w:rsid w:val="0014478F"/>
    <w:rsid w:val="001505CD"/>
    <w:rsid w:val="00152AC8"/>
    <w:rsid w:val="00153AE8"/>
    <w:rsid w:val="00153E0B"/>
    <w:rsid w:val="00154569"/>
    <w:rsid w:val="00155765"/>
    <w:rsid w:val="00156DED"/>
    <w:rsid w:val="0015779C"/>
    <w:rsid w:val="00157FE1"/>
    <w:rsid w:val="00161EBB"/>
    <w:rsid w:val="001622BE"/>
    <w:rsid w:val="0016297E"/>
    <w:rsid w:val="0016611C"/>
    <w:rsid w:val="0016695B"/>
    <w:rsid w:val="00166B5C"/>
    <w:rsid w:val="00167AFC"/>
    <w:rsid w:val="00174B6D"/>
    <w:rsid w:val="0017523B"/>
    <w:rsid w:val="00175655"/>
    <w:rsid w:val="001766F8"/>
    <w:rsid w:val="00176D75"/>
    <w:rsid w:val="00177579"/>
    <w:rsid w:val="00180370"/>
    <w:rsid w:val="00181118"/>
    <w:rsid w:val="001823B6"/>
    <w:rsid w:val="0018372E"/>
    <w:rsid w:val="001841B1"/>
    <w:rsid w:val="00186300"/>
    <w:rsid w:val="0019183D"/>
    <w:rsid w:val="00192A73"/>
    <w:rsid w:val="00192EC3"/>
    <w:rsid w:val="0019300D"/>
    <w:rsid w:val="0019668A"/>
    <w:rsid w:val="0019744A"/>
    <w:rsid w:val="001977DA"/>
    <w:rsid w:val="001A0314"/>
    <w:rsid w:val="001A0650"/>
    <w:rsid w:val="001A286D"/>
    <w:rsid w:val="001A410D"/>
    <w:rsid w:val="001A4C42"/>
    <w:rsid w:val="001A5CC7"/>
    <w:rsid w:val="001A61EB"/>
    <w:rsid w:val="001B04E8"/>
    <w:rsid w:val="001B1FD6"/>
    <w:rsid w:val="001B24C4"/>
    <w:rsid w:val="001B3C76"/>
    <w:rsid w:val="001C21C3"/>
    <w:rsid w:val="001C2DA9"/>
    <w:rsid w:val="001C2FE2"/>
    <w:rsid w:val="001C5802"/>
    <w:rsid w:val="001D02C2"/>
    <w:rsid w:val="001D1470"/>
    <w:rsid w:val="001D3D68"/>
    <w:rsid w:val="001D4E53"/>
    <w:rsid w:val="001D5A17"/>
    <w:rsid w:val="001D7AF6"/>
    <w:rsid w:val="001E0098"/>
    <w:rsid w:val="001E5B43"/>
    <w:rsid w:val="001E5CB6"/>
    <w:rsid w:val="001E76DE"/>
    <w:rsid w:val="001F05A2"/>
    <w:rsid w:val="001F0C1D"/>
    <w:rsid w:val="001F1132"/>
    <w:rsid w:val="001F168B"/>
    <w:rsid w:val="001F1D06"/>
    <w:rsid w:val="001F3009"/>
    <w:rsid w:val="001F55D5"/>
    <w:rsid w:val="001F7DCD"/>
    <w:rsid w:val="001F7EF0"/>
    <w:rsid w:val="00201EDF"/>
    <w:rsid w:val="0020216A"/>
    <w:rsid w:val="00204648"/>
    <w:rsid w:val="00206978"/>
    <w:rsid w:val="0020766A"/>
    <w:rsid w:val="002119C8"/>
    <w:rsid w:val="00213121"/>
    <w:rsid w:val="00213AC4"/>
    <w:rsid w:val="00216B81"/>
    <w:rsid w:val="00217CDE"/>
    <w:rsid w:val="00221BB2"/>
    <w:rsid w:val="002242B0"/>
    <w:rsid w:val="00232B38"/>
    <w:rsid w:val="002347A2"/>
    <w:rsid w:val="0023673C"/>
    <w:rsid w:val="00237D5B"/>
    <w:rsid w:val="002433C7"/>
    <w:rsid w:val="002434E8"/>
    <w:rsid w:val="002450A4"/>
    <w:rsid w:val="00247926"/>
    <w:rsid w:val="00251DDD"/>
    <w:rsid w:val="00256AC5"/>
    <w:rsid w:val="00261674"/>
    <w:rsid w:val="00261B7C"/>
    <w:rsid w:val="0026424E"/>
    <w:rsid w:val="002675F0"/>
    <w:rsid w:val="002710D1"/>
    <w:rsid w:val="0027160A"/>
    <w:rsid w:val="00271C96"/>
    <w:rsid w:val="00271FE1"/>
    <w:rsid w:val="00272514"/>
    <w:rsid w:val="00275D9D"/>
    <w:rsid w:val="00276EE4"/>
    <w:rsid w:val="00280162"/>
    <w:rsid w:val="002811B9"/>
    <w:rsid w:val="00281B62"/>
    <w:rsid w:val="00282015"/>
    <w:rsid w:val="00284AE0"/>
    <w:rsid w:val="00285645"/>
    <w:rsid w:val="002915C9"/>
    <w:rsid w:val="00293432"/>
    <w:rsid w:val="002946A1"/>
    <w:rsid w:val="002973C9"/>
    <w:rsid w:val="00297D96"/>
    <w:rsid w:val="002A1942"/>
    <w:rsid w:val="002A2A03"/>
    <w:rsid w:val="002A4482"/>
    <w:rsid w:val="002A57D0"/>
    <w:rsid w:val="002A6FB5"/>
    <w:rsid w:val="002B2E81"/>
    <w:rsid w:val="002B3652"/>
    <w:rsid w:val="002B398E"/>
    <w:rsid w:val="002B471B"/>
    <w:rsid w:val="002B49FA"/>
    <w:rsid w:val="002B5F5A"/>
    <w:rsid w:val="002B6339"/>
    <w:rsid w:val="002C16DE"/>
    <w:rsid w:val="002C5D28"/>
    <w:rsid w:val="002C627F"/>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3A6D"/>
    <w:rsid w:val="00304174"/>
    <w:rsid w:val="0030639B"/>
    <w:rsid w:val="003077AD"/>
    <w:rsid w:val="003077E5"/>
    <w:rsid w:val="00311253"/>
    <w:rsid w:val="003137DA"/>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25AC"/>
    <w:rsid w:val="00365A47"/>
    <w:rsid w:val="00371C90"/>
    <w:rsid w:val="00372BF0"/>
    <w:rsid w:val="003750F0"/>
    <w:rsid w:val="003765B8"/>
    <w:rsid w:val="003772E9"/>
    <w:rsid w:val="00377353"/>
    <w:rsid w:val="00382993"/>
    <w:rsid w:val="00386729"/>
    <w:rsid w:val="0039118A"/>
    <w:rsid w:val="00391AE3"/>
    <w:rsid w:val="003926D8"/>
    <w:rsid w:val="00394AD3"/>
    <w:rsid w:val="00396C5D"/>
    <w:rsid w:val="003A00E4"/>
    <w:rsid w:val="003A0483"/>
    <w:rsid w:val="003A0884"/>
    <w:rsid w:val="003A104C"/>
    <w:rsid w:val="003A27CB"/>
    <w:rsid w:val="003A293C"/>
    <w:rsid w:val="003A4213"/>
    <w:rsid w:val="003B20CE"/>
    <w:rsid w:val="003B302C"/>
    <w:rsid w:val="003B49C0"/>
    <w:rsid w:val="003B56B1"/>
    <w:rsid w:val="003C0F12"/>
    <w:rsid w:val="003C1713"/>
    <w:rsid w:val="003C3971"/>
    <w:rsid w:val="003C3F96"/>
    <w:rsid w:val="003C46B9"/>
    <w:rsid w:val="003C5DAB"/>
    <w:rsid w:val="003C613C"/>
    <w:rsid w:val="003C6A8C"/>
    <w:rsid w:val="003C6F54"/>
    <w:rsid w:val="003C74C6"/>
    <w:rsid w:val="003D1219"/>
    <w:rsid w:val="003D2C99"/>
    <w:rsid w:val="003D3FA9"/>
    <w:rsid w:val="003D5B7E"/>
    <w:rsid w:val="003D5F84"/>
    <w:rsid w:val="003D63F1"/>
    <w:rsid w:val="003D6BAE"/>
    <w:rsid w:val="003D7AFF"/>
    <w:rsid w:val="003E1A16"/>
    <w:rsid w:val="003E3218"/>
    <w:rsid w:val="003E6202"/>
    <w:rsid w:val="003E6CF3"/>
    <w:rsid w:val="003E7753"/>
    <w:rsid w:val="003F0C6B"/>
    <w:rsid w:val="003F15CD"/>
    <w:rsid w:val="003F35C9"/>
    <w:rsid w:val="003F39B4"/>
    <w:rsid w:val="003F5632"/>
    <w:rsid w:val="003F6ACE"/>
    <w:rsid w:val="003F788E"/>
    <w:rsid w:val="00400E91"/>
    <w:rsid w:val="00402E49"/>
    <w:rsid w:val="00403924"/>
    <w:rsid w:val="00403E33"/>
    <w:rsid w:val="00405F91"/>
    <w:rsid w:val="004117E6"/>
    <w:rsid w:val="00411B1E"/>
    <w:rsid w:val="00411B2A"/>
    <w:rsid w:val="00413DB8"/>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6F12"/>
    <w:rsid w:val="00447126"/>
    <w:rsid w:val="00447F34"/>
    <w:rsid w:val="004526F3"/>
    <w:rsid w:val="0045507B"/>
    <w:rsid w:val="00457D03"/>
    <w:rsid w:val="004621B2"/>
    <w:rsid w:val="00463240"/>
    <w:rsid w:val="00466E2C"/>
    <w:rsid w:val="0046781D"/>
    <w:rsid w:val="0047125D"/>
    <w:rsid w:val="00472490"/>
    <w:rsid w:val="004728B7"/>
    <w:rsid w:val="0047435B"/>
    <w:rsid w:val="004743B3"/>
    <w:rsid w:val="00474BF4"/>
    <w:rsid w:val="0047564A"/>
    <w:rsid w:val="0047571F"/>
    <w:rsid w:val="00475730"/>
    <w:rsid w:val="00475AC6"/>
    <w:rsid w:val="004768DA"/>
    <w:rsid w:val="00476DFF"/>
    <w:rsid w:val="0047798B"/>
    <w:rsid w:val="0048165A"/>
    <w:rsid w:val="00481956"/>
    <w:rsid w:val="004819D5"/>
    <w:rsid w:val="004826A9"/>
    <w:rsid w:val="004843F2"/>
    <w:rsid w:val="004872AA"/>
    <w:rsid w:val="00490441"/>
    <w:rsid w:val="00494FD7"/>
    <w:rsid w:val="00495C77"/>
    <w:rsid w:val="004A2AA8"/>
    <w:rsid w:val="004A2D47"/>
    <w:rsid w:val="004A4E18"/>
    <w:rsid w:val="004A5DB3"/>
    <w:rsid w:val="004A69CF"/>
    <w:rsid w:val="004A7E2A"/>
    <w:rsid w:val="004B0354"/>
    <w:rsid w:val="004B12E9"/>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4B26"/>
    <w:rsid w:val="004F5111"/>
    <w:rsid w:val="004F59C2"/>
    <w:rsid w:val="004F77CF"/>
    <w:rsid w:val="004F7DEF"/>
    <w:rsid w:val="005014A2"/>
    <w:rsid w:val="005028AC"/>
    <w:rsid w:val="005053A0"/>
    <w:rsid w:val="00506D89"/>
    <w:rsid w:val="005076C9"/>
    <w:rsid w:val="00507853"/>
    <w:rsid w:val="00507C83"/>
    <w:rsid w:val="0051025D"/>
    <w:rsid w:val="00510858"/>
    <w:rsid w:val="005109CF"/>
    <w:rsid w:val="00517339"/>
    <w:rsid w:val="00517727"/>
    <w:rsid w:val="005203B8"/>
    <w:rsid w:val="00521522"/>
    <w:rsid w:val="00523D73"/>
    <w:rsid w:val="00525282"/>
    <w:rsid w:val="00525649"/>
    <w:rsid w:val="00526F66"/>
    <w:rsid w:val="005303AA"/>
    <w:rsid w:val="005322DC"/>
    <w:rsid w:val="00532F76"/>
    <w:rsid w:val="0053388B"/>
    <w:rsid w:val="00533A0E"/>
    <w:rsid w:val="00534458"/>
    <w:rsid w:val="00534BE5"/>
    <w:rsid w:val="0053541F"/>
    <w:rsid w:val="00535773"/>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CBF"/>
    <w:rsid w:val="00572E14"/>
    <w:rsid w:val="0058417E"/>
    <w:rsid w:val="00586B14"/>
    <w:rsid w:val="00593B63"/>
    <w:rsid w:val="00594F57"/>
    <w:rsid w:val="005973BE"/>
    <w:rsid w:val="005975EC"/>
    <w:rsid w:val="00597EC8"/>
    <w:rsid w:val="005A0CAB"/>
    <w:rsid w:val="005A0DD1"/>
    <w:rsid w:val="005A0F3C"/>
    <w:rsid w:val="005A2C8F"/>
    <w:rsid w:val="005A5986"/>
    <w:rsid w:val="005A656C"/>
    <w:rsid w:val="005A728F"/>
    <w:rsid w:val="005B13D8"/>
    <w:rsid w:val="005B40BD"/>
    <w:rsid w:val="005B4516"/>
    <w:rsid w:val="005C0B3C"/>
    <w:rsid w:val="005C44A8"/>
    <w:rsid w:val="005C4580"/>
    <w:rsid w:val="005C5243"/>
    <w:rsid w:val="005D0772"/>
    <w:rsid w:val="005D2E01"/>
    <w:rsid w:val="005D7526"/>
    <w:rsid w:val="005E22E0"/>
    <w:rsid w:val="005E3ED6"/>
    <w:rsid w:val="005E69AE"/>
    <w:rsid w:val="005E6DA3"/>
    <w:rsid w:val="005E71D6"/>
    <w:rsid w:val="005F446D"/>
    <w:rsid w:val="005F74B7"/>
    <w:rsid w:val="005F7738"/>
    <w:rsid w:val="00600D57"/>
    <w:rsid w:val="00602AEA"/>
    <w:rsid w:val="0060328B"/>
    <w:rsid w:val="00604F58"/>
    <w:rsid w:val="0060530C"/>
    <w:rsid w:val="006054D7"/>
    <w:rsid w:val="006073EA"/>
    <w:rsid w:val="00607E3C"/>
    <w:rsid w:val="00613DF8"/>
    <w:rsid w:val="00614FDF"/>
    <w:rsid w:val="006155FF"/>
    <w:rsid w:val="00617BD2"/>
    <w:rsid w:val="00617C29"/>
    <w:rsid w:val="00621028"/>
    <w:rsid w:val="00621351"/>
    <w:rsid w:val="00621F70"/>
    <w:rsid w:val="00624566"/>
    <w:rsid w:val="006246A7"/>
    <w:rsid w:val="00625205"/>
    <w:rsid w:val="0062595A"/>
    <w:rsid w:val="00631E11"/>
    <w:rsid w:val="00632E3C"/>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77E5C"/>
    <w:rsid w:val="006810ED"/>
    <w:rsid w:val="00682A6B"/>
    <w:rsid w:val="006842C4"/>
    <w:rsid w:val="006847A0"/>
    <w:rsid w:val="00684872"/>
    <w:rsid w:val="00685EF5"/>
    <w:rsid w:val="00686017"/>
    <w:rsid w:val="00692E9E"/>
    <w:rsid w:val="00693AA6"/>
    <w:rsid w:val="006956F0"/>
    <w:rsid w:val="00697E9F"/>
    <w:rsid w:val="006A1ACA"/>
    <w:rsid w:val="006A2134"/>
    <w:rsid w:val="006A2396"/>
    <w:rsid w:val="006A2C3D"/>
    <w:rsid w:val="006A323F"/>
    <w:rsid w:val="006A420F"/>
    <w:rsid w:val="006A6878"/>
    <w:rsid w:val="006A6D4D"/>
    <w:rsid w:val="006A6EA5"/>
    <w:rsid w:val="006A7137"/>
    <w:rsid w:val="006A754B"/>
    <w:rsid w:val="006B1B1F"/>
    <w:rsid w:val="006B30D0"/>
    <w:rsid w:val="006B4526"/>
    <w:rsid w:val="006B55D4"/>
    <w:rsid w:val="006B684A"/>
    <w:rsid w:val="006B7724"/>
    <w:rsid w:val="006C228A"/>
    <w:rsid w:val="006C3D95"/>
    <w:rsid w:val="006C54EF"/>
    <w:rsid w:val="006D3173"/>
    <w:rsid w:val="006D7B72"/>
    <w:rsid w:val="006E1833"/>
    <w:rsid w:val="006E5C86"/>
    <w:rsid w:val="006F057B"/>
    <w:rsid w:val="006F5F8C"/>
    <w:rsid w:val="00703E5A"/>
    <w:rsid w:val="00704970"/>
    <w:rsid w:val="0070556D"/>
    <w:rsid w:val="00706FEF"/>
    <w:rsid w:val="007114D4"/>
    <w:rsid w:val="00713C44"/>
    <w:rsid w:val="00714BC8"/>
    <w:rsid w:val="0071715B"/>
    <w:rsid w:val="00717374"/>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682E"/>
    <w:rsid w:val="00747CF6"/>
    <w:rsid w:val="00747F2C"/>
    <w:rsid w:val="00751EAE"/>
    <w:rsid w:val="00752198"/>
    <w:rsid w:val="00753809"/>
    <w:rsid w:val="00753881"/>
    <w:rsid w:val="00753A0D"/>
    <w:rsid w:val="007551EB"/>
    <w:rsid w:val="00755F93"/>
    <w:rsid w:val="0075658E"/>
    <w:rsid w:val="007664C0"/>
    <w:rsid w:val="007668BD"/>
    <w:rsid w:val="00771F2B"/>
    <w:rsid w:val="00772FB5"/>
    <w:rsid w:val="00773E20"/>
    <w:rsid w:val="00774DA4"/>
    <w:rsid w:val="00776519"/>
    <w:rsid w:val="007801D1"/>
    <w:rsid w:val="00781F0F"/>
    <w:rsid w:val="00782AB9"/>
    <w:rsid w:val="007877F7"/>
    <w:rsid w:val="00796536"/>
    <w:rsid w:val="00796D43"/>
    <w:rsid w:val="007972E9"/>
    <w:rsid w:val="007A093E"/>
    <w:rsid w:val="007A2285"/>
    <w:rsid w:val="007A2691"/>
    <w:rsid w:val="007A573B"/>
    <w:rsid w:val="007A71CD"/>
    <w:rsid w:val="007B22B1"/>
    <w:rsid w:val="007B2327"/>
    <w:rsid w:val="007B28C9"/>
    <w:rsid w:val="007B5DD5"/>
    <w:rsid w:val="007B600E"/>
    <w:rsid w:val="007B6528"/>
    <w:rsid w:val="007B77A8"/>
    <w:rsid w:val="007C30EE"/>
    <w:rsid w:val="007C7D6D"/>
    <w:rsid w:val="007D250A"/>
    <w:rsid w:val="007D2B21"/>
    <w:rsid w:val="007D2DD2"/>
    <w:rsid w:val="007D5FF7"/>
    <w:rsid w:val="007E043F"/>
    <w:rsid w:val="007E1F36"/>
    <w:rsid w:val="007E2C5C"/>
    <w:rsid w:val="007E559C"/>
    <w:rsid w:val="007E5AE9"/>
    <w:rsid w:val="007F0272"/>
    <w:rsid w:val="007F0F4A"/>
    <w:rsid w:val="007F1576"/>
    <w:rsid w:val="007F217A"/>
    <w:rsid w:val="007F2779"/>
    <w:rsid w:val="007F27E2"/>
    <w:rsid w:val="007F7744"/>
    <w:rsid w:val="008000C9"/>
    <w:rsid w:val="008028A4"/>
    <w:rsid w:val="008128A2"/>
    <w:rsid w:val="00813076"/>
    <w:rsid w:val="00813BA9"/>
    <w:rsid w:val="00814C65"/>
    <w:rsid w:val="00815A13"/>
    <w:rsid w:val="0081723D"/>
    <w:rsid w:val="00820B25"/>
    <w:rsid w:val="008214C4"/>
    <w:rsid w:val="00827D27"/>
    <w:rsid w:val="00827DB8"/>
    <w:rsid w:val="00827EA2"/>
    <w:rsid w:val="00830747"/>
    <w:rsid w:val="00834916"/>
    <w:rsid w:val="0083543E"/>
    <w:rsid w:val="00841CB2"/>
    <w:rsid w:val="008554DC"/>
    <w:rsid w:val="00855805"/>
    <w:rsid w:val="008564ED"/>
    <w:rsid w:val="0085651E"/>
    <w:rsid w:val="00857763"/>
    <w:rsid w:val="0085776C"/>
    <w:rsid w:val="00857DED"/>
    <w:rsid w:val="00864543"/>
    <w:rsid w:val="008652A6"/>
    <w:rsid w:val="008655B7"/>
    <w:rsid w:val="008718B8"/>
    <w:rsid w:val="00871F31"/>
    <w:rsid w:val="008730D5"/>
    <w:rsid w:val="0087377F"/>
    <w:rsid w:val="00875600"/>
    <w:rsid w:val="008768CA"/>
    <w:rsid w:val="008779A7"/>
    <w:rsid w:val="00883E90"/>
    <w:rsid w:val="00886D52"/>
    <w:rsid w:val="0089062C"/>
    <w:rsid w:val="008914E6"/>
    <w:rsid w:val="00891C35"/>
    <w:rsid w:val="008945DA"/>
    <w:rsid w:val="00894F5A"/>
    <w:rsid w:val="00895220"/>
    <w:rsid w:val="0089731D"/>
    <w:rsid w:val="008975F5"/>
    <w:rsid w:val="0089786F"/>
    <w:rsid w:val="008A32F4"/>
    <w:rsid w:val="008A3527"/>
    <w:rsid w:val="008A5D8C"/>
    <w:rsid w:val="008A5F18"/>
    <w:rsid w:val="008A645A"/>
    <w:rsid w:val="008B50F9"/>
    <w:rsid w:val="008B51FC"/>
    <w:rsid w:val="008B5275"/>
    <w:rsid w:val="008B58D4"/>
    <w:rsid w:val="008B61E9"/>
    <w:rsid w:val="008C018B"/>
    <w:rsid w:val="008C0642"/>
    <w:rsid w:val="008C384C"/>
    <w:rsid w:val="008C3B46"/>
    <w:rsid w:val="008C48CC"/>
    <w:rsid w:val="008C494B"/>
    <w:rsid w:val="008C71B1"/>
    <w:rsid w:val="008C74C8"/>
    <w:rsid w:val="008D3DDB"/>
    <w:rsid w:val="008D5927"/>
    <w:rsid w:val="008E26D2"/>
    <w:rsid w:val="008E2848"/>
    <w:rsid w:val="008E5BF7"/>
    <w:rsid w:val="008E68C8"/>
    <w:rsid w:val="008E7986"/>
    <w:rsid w:val="008F0BF0"/>
    <w:rsid w:val="008F3B78"/>
    <w:rsid w:val="008F41AD"/>
    <w:rsid w:val="008F44F8"/>
    <w:rsid w:val="008F626A"/>
    <w:rsid w:val="008F64D0"/>
    <w:rsid w:val="00900F99"/>
    <w:rsid w:val="0090271F"/>
    <w:rsid w:val="00902E23"/>
    <w:rsid w:val="00902F15"/>
    <w:rsid w:val="0090416C"/>
    <w:rsid w:val="0091018D"/>
    <w:rsid w:val="009114D7"/>
    <w:rsid w:val="00912E2C"/>
    <w:rsid w:val="0091348E"/>
    <w:rsid w:val="00915FEB"/>
    <w:rsid w:val="00916017"/>
    <w:rsid w:val="00916D73"/>
    <w:rsid w:val="00917CCB"/>
    <w:rsid w:val="00921185"/>
    <w:rsid w:val="00921B42"/>
    <w:rsid w:val="00921E71"/>
    <w:rsid w:val="009239C5"/>
    <w:rsid w:val="00924B2B"/>
    <w:rsid w:val="009258C3"/>
    <w:rsid w:val="00925AB6"/>
    <w:rsid w:val="00926405"/>
    <w:rsid w:val="0092677D"/>
    <w:rsid w:val="00926C25"/>
    <w:rsid w:val="00927FCA"/>
    <w:rsid w:val="009303E9"/>
    <w:rsid w:val="00930919"/>
    <w:rsid w:val="00935497"/>
    <w:rsid w:val="00935DA5"/>
    <w:rsid w:val="00940B40"/>
    <w:rsid w:val="009412FE"/>
    <w:rsid w:val="00942EC2"/>
    <w:rsid w:val="00943375"/>
    <w:rsid w:val="00943BA1"/>
    <w:rsid w:val="00943C9E"/>
    <w:rsid w:val="00945DDF"/>
    <w:rsid w:val="0094625B"/>
    <w:rsid w:val="00946FD3"/>
    <w:rsid w:val="00950216"/>
    <w:rsid w:val="0095039B"/>
    <w:rsid w:val="00952398"/>
    <w:rsid w:val="00952B1C"/>
    <w:rsid w:val="00952E04"/>
    <w:rsid w:val="00955390"/>
    <w:rsid w:val="009565CF"/>
    <w:rsid w:val="00957E4B"/>
    <w:rsid w:val="00965947"/>
    <w:rsid w:val="009673FD"/>
    <w:rsid w:val="009727CF"/>
    <w:rsid w:val="009748CC"/>
    <w:rsid w:val="00975C55"/>
    <w:rsid w:val="00983D08"/>
    <w:rsid w:val="00984404"/>
    <w:rsid w:val="00986DFB"/>
    <w:rsid w:val="00986F16"/>
    <w:rsid w:val="00987F2C"/>
    <w:rsid w:val="009903B3"/>
    <w:rsid w:val="00990B3B"/>
    <w:rsid w:val="009929FF"/>
    <w:rsid w:val="009A1AFD"/>
    <w:rsid w:val="009B1E17"/>
    <w:rsid w:val="009B373D"/>
    <w:rsid w:val="009C0318"/>
    <w:rsid w:val="009C54F7"/>
    <w:rsid w:val="009D0FD1"/>
    <w:rsid w:val="009D2135"/>
    <w:rsid w:val="009D38F9"/>
    <w:rsid w:val="009D40A0"/>
    <w:rsid w:val="009D463A"/>
    <w:rsid w:val="009D5C3A"/>
    <w:rsid w:val="009E0013"/>
    <w:rsid w:val="009E033B"/>
    <w:rsid w:val="009E0DD5"/>
    <w:rsid w:val="009E2864"/>
    <w:rsid w:val="009E2A1B"/>
    <w:rsid w:val="009E462B"/>
    <w:rsid w:val="009E7A71"/>
    <w:rsid w:val="009F001E"/>
    <w:rsid w:val="009F0FC6"/>
    <w:rsid w:val="009F37B7"/>
    <w:rsid w:val="009F3B18"/>
    <w:rsid w:val="009F5E43"/>
    <w:rsid w:val="009F67FB"/>
    <w:rsid w:val="00A03180"/>
    <w:rsid w:val="00A03953"/>
    <w:rsid w:val="00A0698C"/>
    <w:rsid w:val="00A06AAF"/>
    <w:rsid w:val="00A10F02"/>
    <w:rsid w:val="00A11DE9"/>
    <w:rsid w:val="00A13BCD"/>
    <w:rsid w:val="00A13C2E"/>
    <w:rsid w:val="00A14D3F"/>
    <w:rsid w:val="00A164B4"/>
    <w:rsid w:val="00A1761C"/>
    <w:rsid w:val="00A17F0B"/>
    <w:rsid w:val="00A2000D"/>
    <w:rsid w:val="00A20472"/>
    <w:rsid w:val="00A207C9"/>
    <w:rsid w:val="00A21E4F"/>
    <w:rsid w:val="00A22B93"/>
    <w:rsid w:val="00A24097"/>
    <w:rsid w:val="00A26956"/>
    <w:rsid w:val="00A3100D"/>
    <w:rsid w:val="00A31867"/>
    <w:rsid w:val="00A36A9B"/>
    <w:rsid w:val="00A40682"/>
    <w:rsid w:val="00A429FD"/>
    <w:rsid w:val="00A44812"/>
    <w:rsid w:val="00A46291"/>
    <w:rsid w:val="00A4696B"/>
    <w:rsid w:val="00A46C3B"/>
    <w:rsid w:val="00A504EC"/>
    <w:rsid w:val="00A5330E"/>
    <w:rsid w:val="00A536F4"/>
    <w:rsid w:val="00A53724"/>
    <w:rsid w:val="00A55706"/>
    <w:rsid w:val="00A612AD"/>
    <w:rsid w:val="00A6152B"/>
    <w:rsid w:val="00A625A6"/>
    <w:rsid w:val="00A62CC4"/>
    <w:rsid w:val="00A67816"/>
    <w:rsid w:val="00A7175A"/>
    <w:rsid w:val="00A72865"/>
    <w:rsid w:val="00A73129"/>
    <w:rsid w:val="00A75621"/>
    <w:rsid w:val="00A82055"/>
    <w:rsid w:val="00A82346"/>
    <w:rsid w:val="00A83518"/>
    <w:rsid w:val="00A84BC8"/>
    <w:rsid w:val="00A866B2"/>
    <w:rsid w:val="00A86AFC"/>
    <w:rsid w:val="00A87AE8"/>
    <w:rsid w:val="00A87E19"/>
    <w:rsid w:val="00A92BA1"/>
    <w:rsid w:val="00A92E7C"/>
    <w:rsid w:val="00A942D0"/>
    <w:rsid w:val="00AA00A5"/>
    <w:rsid w:val="00AA1FB5"/>
    <w:rsid w:val="00AA2F83"/>
    <w:rsid w:val="00AA3724"/>
    <w:rsid w:val="00AB0065"/>
    <w:rsid w:val="00AB0484"/>
    <w:rsid w:val="00AB1518"/>
    <w:rsid w:val="00AB2B34"/>
    <w:rsid w:val="00AB3B81"/>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3797"/>
    <w:rsid w:val="00AE3846"/>
    <w:rsid w:val="00AE558B"/>
    <w:rsid w:val="00AE764B"/>
    <w:rsid w:val="00AF133E"/>
    <w:rsid w:val="00AF274B"/>
    <w:rsid w:val="00AF3857"/>
    <w:rsid w:val="00AF4AA4"/>
    <w:rsid w:val="00AF5B46"/>
    <w:rsid w:val="00AF7AB0"/>
    <w:rsid w:val="00B013E5"/>
    <w:rsid w:val="00B02256"/>
    <w:rsid w:val="00B04616"/>
    <w:rsid w:val="00B046AA"/>
    <w:rsid w:val="00B05D02"/>
    <w:rsid w:val="00B068EB"/>
    <w:rsid w:val="00B06D80"/>
    <w:rsid w:val="00B105EF"/>
    <w:rsid w:val="00B14734"/>
    <w:rsid w:val="00B14FC1"/>
    <w:rsid w:val="00B150E6"/>
    <w:rsid w:val="00B15449"/>
    <w:rsid w:val="00B164A3"/>
    <w:rsid w:val="00B16B72"/>
    <w:rsid w:val="00B17B75"/>
    <w:rsid w:val="00B208BA"/>
    <w:rsid w:val="00B218B8"/>
    <w:rsid w:val="00B231E1"/>
    <w:rsid w:val="00B232FC"/>
    <w:rsid w:val="00B24006"/>
    <w:rsid w:val="00B2629A"/>
    <w:rsid w:val="00B26765"/>
    <w:rsid w:val="00B30350"/>
    <w:rsid w:val="00B318E4"/>
    <w:rsid w:val="00B345DF"/>
    <w:rsid w:val="00B35505"/>
    <w:rsid w:val="00B37365"/>
    <w:rsid w:val="00B37C5A"/>
    <w:rsid w:val="00B403C0"/>
    <w:rsid w:val="00B40FA6"/>
    <w:rsid w:val="00B4271D"/>
    <w:rsid w:val="00B42A9D"/>
    <w:rsid w:val="00B4376F"/>
    <w:rsid w:val="00B4679C"/>
    <w:rsid w:val="00B50292"/>
    <w:rsid w:val="00B51CDC"/>
    <w:rsid w:val="00B5267B"/>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422"/>
    <w:rsid w:val="00B83957"/>
    <w:rsid w:val="00B849FA"/>
    <w:rsid w:val="00B85057"/>
    <w:rsid w:val="00B863E2"/>
    <w:rsid w:val="00B86FA1"/>
    <w:rsid w:val="00B87D1C"/>
    <w:rsid w:val="00B90341"/>
    <w:rsid w:val="00B90A66"/>
    <w:rsid w:val="00B90C16"/>
    <w:rsid w:val="00B93086"/>
    <w:rsid w:val="00B94BAF"/>
    <w:rsid w:val="00B95D11"/>
    <w:rsid w:val="00B97D6A"/>
    <w:rsid w:val="00BA19ED"/>
    <w:rsid w:val="00BA300B"/>
    <w:rsid w:val="00BA4B8D"/>
    <w:rsid w:val="00BB3C92"/>
    <w:rsid w:val="00BB75F0"/>
    <w:rsid w:val="00BC0F7D"/>
    <w:rsid w:val="00BC2989"/>
    <w:rsid w:val="00BC36E7"/>
    <w:rsid w:val="00BC4461"/>
    <w:rsid w:val="00BC4CCC"/>
    <w:rsid w:val="00BC7C0D"/>
    <w:rsid w:val="00BD0172"/>
    <w:rsid w:val="00BD0A99"/>
    <w:rsid w:val="00BD24FF"/>
    <w:rsid w:val="00BD5628"/>
    <w:rsid w:val="00BD66A8"/>
    <w:rsid w:val="00BE2532"/>
    <w:rsid w:val="00BE3255"/>
    <w:rsid w:val="00BE645B"/>
    <w:rsid w:val="00BE7B4D"/>
    <w:rsid w:val="00BF128E"/>
    <w:rsid w:val="00BF3FE4"/>
    <w:rsid w:val="00BF4AC2"/>
    <w:rsid w:val="00BF4C3B"/>
    <w:rsid w:val="00BF5998"/>
    <w:rsid w:val="00BF6A1B"/>
    <w:rsid w:val="00C01596"/>
    <w:rsid w:val="00C02C0B"/>
    <w:rsid w:val="00C0382F"/>
    <w:rsid w:val="00C11580"/>
    <w:rsid w:val="00C1199E"/>
    <w:rsid w:val="00C124A0"/>
    <w:rsid w:val="00C131E6"/>
    <w:rsid w:val="00C1387D"/>
    <w:rsid w:val="00C1496A"/>
    <w:rsid w:val="00C22ACF"/>
    <w:rsid w:val="00C25CBE"/>
    <w:rsid w:val="00C268F5"/>
    <w:rsid w:val="00C26949"/>
    <w:rsid w:val="00C3061E"/>
    <w:rsid w:val="00C30DBB"/>
    <w:rsid w:val="00C33079"/>
    <w:rsid w:val="00C33A14"/>
    <w:rsid w:val="00C3403D"/>
    <w:rsid w:val="00C358C6"/>
    <w:rsid w:val="00C36430"/>
    <w:rsid w:val="00C40EB1"/>
    <w:rsid w:val="00C41FEE"/>
    <w:rsid w:val="00C42936"/>
    <w:rsid w:val="00C42B40"/>
    <w:rsid w:val="00C45231"/>
    <w:rsid w:val="00C45F26"/>
    <w:rsid w:val="00C46AC9"/>
    <w:rsid w:val="00C511DD"/>
    <w:rsid w:val="00C5150C"/>
    <w:rsid w:val="00C51B8D"/>
    <w:rsid w:val="00C54839"/>
    <w:rsid w:val="00C54C23"/>
    <w:rsid w:val="00C575E9"/>
    <w:rsid w:val="00C61E2B"/>
    <w:rsid w:val="00C63B36"/>
    <w:rsid w:val="00C64587"/>
    <w:rsid w:val="00C65267"/>
    <w:rsid w:val="00C671BB"/>
    <w:rsid w:val="00C6757B"/>
    <w:rsid w:val="00C71329"/>
    <w:rsid w:val="00C71DA1"/>
    <w:rsid w:val="00C7217D"/>
    <w:rsid w:val="00C72833"/>
    <w:rsid w:val="00C76F43"/>
    <w:rsid w:val="00C80C12"/>
    <w:rsid w:val="00C80F1D"/>
    <w:rsid w:val="00C834AA"/>
    <w:rsid w:val="00C861E9"/>
    <w:rsid w:val="00C87227"/>
    <w:rsid w:val="00C90451"/>
    <w:rsid w:val="00C91CE2"/>
    <w:rsid w:val="00C9252F"/>
    <w:rsid w:val="00C93F40"/>
    <w:rsid w:val="00C94AAB"/>
    <w:rsid w:val="00C97B9B"/>
    <w:rsid w:val="00CA1FA7"/>
    <w:rsid w:val="00CA35A7"/>
    <w:rsid w:val="00CA3D0C"/>
    <w:rsid w:val="00CA722E"/>
    <w:rsid w:val="00CB05F4"/>
    <w:rsid w:val="00CB1111"/>
    <w:rsid w:val="00CB208E"/>
    <w:rsid w:val="00CB20E0"/>
    <w:rsid w:val="00CB23E6"/>
    <w:rsid w:val="00CB2425"/>
    <w:rsid w:val="00CB582F"/>
    <w:rsid w:val="00CB717E"/>
    <w:rsid w:val="00CC0364"/>
    <w:rsid w:val="00CC2401"/>
    <w:rsid w:val="00CC4146"/>
    <w:rsid w:val="00CC53DB"/>
    <w:rsid w:val="00CC6028"/>
    <w:rsid w:val="00CC6588"/>
    <w:rsid w:val="00CD25A6"/>
    <w:rsid w:val="00CD4020"/>
    <w:rsid w:val="00CD604C"/>
    <w:rsid w:val="00CE13AF"/>
    <w:rsid w:val="00CE2F48"/>
    <w:rsid w:val="00CE6DD7"/>
    <w:rsid w:val="00CF01D5"/>
    <w:rsid w:val="00CF20D1"/>
    <w:rsid w:val="00CF20E3"/>
    <w:rsid w:val="00CF4D0D"/>
    <w:rsid w:val="00CF5288"/>
    <w:rsid w:val="00CF65B5"/>
    <w:rsid w:val="00CF699A"/>
    <w:rsid w:val="00CF7829"/>
    <w:rsid w:val="00D00C33"/>
    <w:rsid w:val="00D0314D"/>
    <w:rsid w:val="00D03C06"/>
    <w:rsid w:val="00D0578C"/>
    <w:rsid w:val="00D06559"/>
    <w:rsid w:val="00D07C1B"/>
    <w:rsid w:val="00D1371E"/>
    <w:rsid w:val="00D13EBE"/>
    <w:rsid w:val="00D141E3"/>
    <w:rsid w:val="00D14617"/>
    <w:rsid w:val="00D157A8"/>
    <w:rsid w:val="00D22633"/>
    <w:rsid w:val="00D227AE"/>
    <w:rsid w:val="00D23897"/>
    <w:rsid w:val="00D3013B"/>
    <w:rsid w:val="00D306E6"/>
    <w:rsid w:val="00D309CC"/>
    <w:rsid w:val="00D35C6E"/>
    <w:rsid w:val="00D364EA"/>
    <w:rsid w:val="00D372D5"/>
    <w:rsid w:val="00D40F82"/>
    <w:rsid w:val="00D45163"/>
    <w:rsid w:val="00D463BE"/>
    <w:rsid w:val="00D463D6"/>
    <w:rsid w:val="00D46431"/>
    <w:rsid w:val="00D467FC"/>
    <w:rsid w:val="00D51D49"/>
    <w:rsid w:val="00D56A52"/>
    <w:rsid w:val="00D57055"/>
    <w:rsid w:val="00D57972"/>
    <w:rsid w:val="00D62664"/>
    <w:rsid w:val="00D675A9"/>
    <w:rsid w:val="00D7106C"/>
    <w:rsid w:val="00D738D6"/>
    <w:rsid w:val="00D755EB"/>
    <w:rsid w:val="00D759B2"/>
    <w:rsid w:val="00D771A8"/>
    <w:rsid w:val="00D777C7"/>
    <w:rsid w:val="00D77F34"/>
    <w:rsid w:val="00D82723"/>
    <w:rsid w:val="00D8507E"/>
    <w:rsid w:val="00D8753A"/>
    <w:rsid w:val="00D87E00"/>
    <w:rsid w:val="00D9033A"/>
    <w:rsid w:val="00D9134D"/>
    <w:rsid w:val="00DA30DD"/>
    <w:rsid w:val="00DA413D"/>
    <w:rsid w:val="00DA438A"/>
    <w:rsid w:val="00DA5A52"/>
    <w:rsid w:val="00DA776D"/>
    <w:rsid w:val="00DA7A03"/>
    <w:rsid w:val="00DB1818"/>
    <w:rsid w:val="00DB4052"/>
    <w:rsid w:val="00DB4D84"/>
    <w:rsid w:val="00DB4DC3"/>
    <w:rsid w:val="00DB76B5"/>
    <w:rsid w:val="00DB79A0"/>
    <w:rsid w:val="00DB79F7"/>
    <w:rsid w:val="00DC0210"/>
    <w:rsid w:val="00DC309B"/>
    <w:rsid w:val="00DC4163"/>
    <w:rsid w:val="00DC4DA2"/>
    <w:rsid w:val="00DC50F4"/>
    <w:rsid w:val="00DC5BA6"/>
    <w:rsid w:val="00DD4C17"/>
    <w:rsid w:val="00DD52B7"/>
    <w:rsid w:val="00DD5D0D"/>
    <w:rsid w:val="00DD6DC0"/>
    <w:rsid w:val="00DE2485"/>
    <w:rsid w:val="00DE4140"/>
    <w:rsid w:val="00DF0098"/>
    <w:rsid w:val="00DF09FA"/>
    <w:rsid w:val="00DF2B1F"/>
    <w:rsid w:val="00DF464B"/>
    <w:rsid w:val="00DF51B9"/>
    <w:rsid w:val="00DF6189"/>
    <w:rsid w:val="00DF62CD"/>
    <w:rsid w:val="00DF693E"/>
    <w:rsid w:val="00E03704"/>
    <w:rsid w:val="00E04DF7"/>
    <w:rsid w:val="00E0718F"/>
    <w:rsid w:val="00E1178B"/>
    <w:rsid w:val="00E16509"/>
    <w:rsid w:val="00E17E48"/>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3FA4"/>
    <w:rsid w:val="00E44582"/>
    <w:rsid w:val="00E50162"/>
    <w:rsid w:val="00E52814"/>
    <w:rsid w:val="00E55A7D"/>
    <w:rsid w:val="00E55D33"/>
    <w:rsid w:val="00E56008"/>
    <w:rsid w:val="00E57ADF"/>
    <w:rsid w:val="00E61FCF"/>
    <w:rsid w:val="00E642A2"/>
    <w:rsid w:val="00E64596"/>
    <w:rsid w:val="00E71380"/>
    <w:rsid w:val="00E72324"/>
    <w:rsid w:val="00E72ABE"/>
    <w:rsid w:val="00E72D45"/>
    <w:rsid w:val="00E74333"/>
    <w:rsid w:val="00E74783"/>
    <w:rsid w:val="00E7686F"/>
    <w:rsid w:val="00E76CD1"/>
    <w:rsid w:val="00E77645"/>
    <w:rsid w:val="00E8245D"/>
    <w:rsid w:val="00E82E78"/>
    <w:rsid w:val="00E83162"/>
    <w:rsid w:val="00E8333E"/>
    <w:rsid w:val="00E85336"/>
    <w:rsid w:val="00E85920"/>
    <w:rsid w:val="00E91B77"/>
    <w:rsid w:val="00E91E55"/>
    <w:rsid w:val="00E9459A"/>
    <w:rsid w:val="00E96D1A"/>
    <w:rsid w:val="00E9702D"/>
    <w:rsid w:val="00EA1644"/>
    <w:rsid w:val="00EA212F"/>
    <w:rsid w:val="00EA420B"/>
    <w:rsid w:val="00EA49EC"/>
    <w:rsid w:val="00EA5123"/>
    <w:rsid w:val="00EA57FB"/>
    <w:rsid w:val="00EB060D"/>
    <w:rsid w:val="00EB14F9"/>
    <w:rsid w:val="00EB1E4E"/>
    <w:rsid w:val="00EB2939"/>
    <w:rsid w:val="00EB29D5"/>
    <w:rsid w:val="00EB2E47"/>
    <w:rsid w:val="00EB417E"/>
    <w:rsid w:val="00EB5978"/>
    <w:rsid w:val="00EB5B41"/>
    <w:rsid w:val="00EB6DF9"/>
    <w:rsid w:val="00EB6E31"/>
    <w:rsid w:val="00EC1283"/>
    <w:rsid w:val="00EC2636"/>
    <w:rsid w:val="00EC333A"/>
    <w:rsid w:val="00EC34F5"/>
    <w:rsid w:val="00EC4847"/>
    <w:rsid w:val="00EC4A25"/>
    <w:rsid w:val="00EC4A97"/>
    <w:rsid w:val="00EC4E77"/>
    <w:rsid w:val="00EC5547"/>
    <w:rsid w:val="00EC55DC"/>
    <w:rsid w:val="00ED195C"/>
    <w:rsid w:val="00ED21B2"/>
    <w:rsid w:val="00ED3490"/>
    <w:rsid w:val="00ED46F8"/>
    <w:rsid w:val="00EE0853"/>
    <w:rsid w:val="00EE13D9"/>
    <w:rsid w:val="00EE5AA7"/>
    <w:rsid w:val="00EE647A"/>
    <w:rsid w:val="00EF4A67"/>
    <w:rsid w:val="00EF6914"/>
    <w:rsid w:val="00EF70F3"/>
    <w:rsid w:val="00F025A2"/>
    <w:rsid w:val="00F0387D"/>
    <w:rsid w:val="00F04712"/>
    <w:rsid w:val="00F05A9A"/>
    <w:rsid w:val="00F05E68"/>
    <w:rsid w:val="00F06F13"/>
    <w:rsid w:val="00F07805"/>
    <w:rsid w:val="00F10C13"/>
    <w:rsid w:val="00F11032"/>
    <w:rsid w:val="00F11797"/>
    <w:rsid w:val="00F139DD"/>
    <w:rsid w:val="00F164A5"/>
    <w:rsid w:val="00F2012F"/>
    <w:rsid w:val="00F21311"/>
    <w:rsid w:val="00F22EC7"/>
    <w:rsid w:val="00F257E9"/>
    <w:rsid w:val="00F273A7"/>
    <w:rsid w:val="00F301AE"/>
    <w:rsid w:val="00F3109B"/>
    <w:rsid w:val="00F325C8"/>
    <w:rsid w:val="00F34060"/>
    <w:rsid w:val="00F35AB6"/>
    <w:rsid w:val="00F44736"/>
    <w:rsid w:val="00F479E3"/>
    <w:rsid w:val="00F51B2A"/>
    <w:rsid w:val="00F52DA4"/>
    <w:rsid w:val="00F5383E"/>
    <w:rsid w:val="00F53D32"/>
    <w:rsid w:val="00F543C9"/>
    <w:rsid w:val="00F554C0"/>
    <w:rsid w:val="00F61EF6"/>
    <w:rsid w:val="00F62AEB"/>
    <w:rsid w:val="00F644F8"/>
    <w:rsid w:val="00F653B8"/>
    <w:rsid w:val="00F658FA"/>
    <w:rsid w:val="00F65CCB"/>
    <w:rsid w:val="00F70647"/>
    <w:rsid w:val="00F726BB"/>
    <w:rsid w:val="00F73306"/>
    <w:rsid w:val="00F7495C"/>
    <w:rsid w:val="00F81329"/>
    <w:rsid w:val="00F82B63"/>
    <w:rsid w:val="00F83CC5"/>
    <w:rsid w:val="00F87D29"/>
    <w:rsid w:val="00F90DD7"/>
    <w:rsid w:val="00F92808"/>
    <w:rsid w:val="00F92A73"/>
    <w:rsid w:val="00F93BCA"/>
    <w:rsid w:val="00FA0FE9"/>
    <w:rsid w:val="00FA1266"/>
    <w:rsid w:val="00FA37CE"/>
    <w:rsid w:val="00FA3C65"/>
    <w:rsid w:val="00FA4898"/>
    <w:rsid w:val="00FA55B3"/>
    <w:rsid w:val="00FB5750"/>
    <w:rsid w:val="00FC1192"/>
    <w:rsid w:val="00FC679B"/>
    <w:rsid w:val="00FC6C2A"/>
    <w:rsid w:val="00FC6CC7"/>
    <w:rsid w:val="00FC7706"/>
    <w:rsid w:val="00FC7F4C"/>
    <w:rsid w:val="00FD54B4"/>
    <w:rsid w:val="00FD600B"/>
    <w:rsid w:val="00FD7CF8"/>
    <w:rsid w:val="00FD7F67"/>
    <w:rsid w:val="00FE2102"/>
    <w:rsid w:val="00FE283A"/>
    <w:rsid w:val="00FE30ED"/>
    <w:rsid w:val="00FE663F"/>
    <w:rsid w:val="00FE7C2E"/>
    <w:rsid w:val="00FF3FB0"/>
    <w:rsid w:val="00FF4334"/>
    <w:rsid w:val="00FF4834"/>
    <w:rsid w:val="00FF56B8"/>
    <w:rsid w:val="00FF5DBF"/>
    <w:rsid w:val="00FF6565"/>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1EB"/>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 w:type="character" w:customStyle="1" w:styleId="NOChar">
    <w:name w:val="NO Char"/>
    <w:link w:val="NO"/>
    <w:qFormat/>
    <w:rsid w:val="00F93BCA"/>
    <w:rPr>
      <w:lang w:val="en-GB" w:eastAsia="en-US"/>
    </w:rPr>
  </w:style>
  <w:style w:type="paragraph" w:customStyle="1" w:styleId="CRCoverPage">
    <w:name w:val="CR Cover Page"/>
    <w:link w:val="CRCoverPageZchn"/>
    <w:qFormat/>
    <w:rsid w:val="00E17E48"/>
    <w:pPr>
      <w:spacing w:after="120"/>
    </w:pPr>
    <w:rPr>
      <w:rFonts w:ascii="Arial" w:eastAsiaTheme="minorEastAsia" w:hAnsi="Arial"/>
      <w:lang w:val="en-GB" w:eastAsia="en-US"/>
    </w:rPr>
  </w:style>
  <w:style w:type="character" w:customStyle="1" w:styleId="CRCoverPageZchn">
    <w:name w:val="CR Cover Page Zchn"/>
    <w:link w:val="CRCoverPage"/>
    <w:qFormat/>
    <w:rsid w:val="00E17E48"/>
    <w:rPr>
      <w:rFonts w:ascii="Arial" w:eastAsiaTheme="minorEastAsia" w:hAnsi="Arial"/>
      <w:lang w:val="en-GB" w:eastAsia="en-US"/>
    </w:rPr>
  </w:style>
  <w:style w:type="table" w:customStyle="1" w:styleId="TableGrid1">
    <w:name w:val="Table Grid1"/>
    <w:basedOn w:val="TableNormal"/>
    <w:next w:val="TableGrid"/>
    <w:rsid w:val="00677E5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146363980">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 w:id="605580722">
      <w:bodyDiv w:val="1"/>
      <w:marLeft w:val="0"/>
      <w:marRight w:val="0"/>
      <w:marTop w:val="0"/>
      <w:marBottom w:val="0"/>
      <w:divBdr>
        <w:top w:val="none" w:sz="0" w:space="0" w:color="auto"/>
        <w:left w:val="none" w:sz="0" w:space="0" w:color="auto"/>
        <w:bottom w:val="none" w:sz="0" w:space="0" w:color="auto"/>
        <w:right w:val="none" w:sz="0" w:space="0" w:color="auto"/>
      </w:divBdr>
    </w:div>
    <w:div w:id="823859754">
      <w:bodyDiv w:val="1"/>
      <w:marLeft w:val="0"/>
      <w:marRight w:val="0"/>
      <w:marTop w:val="0"/>
      <w:marBottom w:val="0"/>
      <w:divBdr>
        <w:top w:val="none" w:sz="0" w:space="0" w:color="auto"/>
        <w:left w:val="none" w:sz="0" w:space="0" w:color="auto"/>
        <w:bottom w:val="none" w:sz="0" w:space="0" w:color="auto"/>
        <w:right w:val="none" w:sz="0" w:space="0" w:color="auto"/>
      </w:divBdr>
    </w:div>
    <w:div w:id="849296119">
      <w:bodyDiv w:val="1"/>
      <w:marLeft w:val="0"/>
      <w:marRight w:val="0"/>
      <w:marTop w:val="0"/>
      <w:marBottom w:val="0"/>
      <w:divBdr>
        <w:top w:val="none" w:sz="0" w:space="0" w:color="auto"/>
        <w:left w:val="none" w:sz="0" w:space="0" w:color="auto"/>
        <w:bottom w:val="none" w:sz="0" w:space="0" w:color="auto"/>
        <w:right w:val="none" w:sz="0" w:space="0" w:color="auto"/>
      </w:divBdr>
    </w:div>
    <w:div w:id="1032920909">
      <w:bodyDiv w:val="1"/>
      <w:marLeft w:val="0"/>
      <w:marRight w:val="0"/>
      <w:marTop w:val="0"/>
      <w:marBottom w:val="0"/>
      <w:divBdr>
        <w:top w:val="none" w:sz="0" w:space="0" w:color="auto"/>
        <w:left w:val="none" w:sz="0" w:space="0" w:color="auto"/>
        <w:bottom w:val="none" w:sz="0" w:space="0" w:color="auto"/>
        <w:right w:val="none" w:sz="0" w:space="0" w:color="auto"/>
      </w:divBdr>
    </w:div>
    <w:div w:id="1101293237">
      <w:bodyDiv w:val="1"/>
      <w:marLeft w:val="0"/>
      <w:marRight w:val="0"/>
      <w:marTop w:val="0"/>
      <w:marBottom w:val="0"/>
      <w:divBdr>
        <w:top w:val="none" w:sz="0" w:space="0" w:color="auto"/>
        <w:left w:val="none" w:sz="0" w:space="0" w:color="auto"/>
        <w:bottom w:val="none" w:sz="0" w:space="0" w:color="auto"/>
        <w:right w:val="none" w:sz="0" w:space="0" w:color="auto"/>
      </w:divBdr>
    </w:div>
    <w:div w:id="1267275498">
      <w:bodyDiv w:val="1"/>
      <w:marLeft w:val="0"/>
      <w:marRight w:val="0"/>
      <w:marTop w:val="0"/>
      <w:marBottom w:val="0"/>
      <w:divBdr>
        <w:top w:val="none" w:sz="0" w:space="0" w:color="auto"/>
        <w:left w:val="none" w:sz="0" w:space="0" w:color="auto"/>
        <w:bottom w:val="none" w:sz="0" w:space="0" w:color="auto"/>
        <w:right w:val="none" w:sz="0" w:space="0" w:color="auto"/>
      </w:divBdr>
    </w:div>
    <w:div w:id="1376858101">
      <w:bodyDiv w:val="1"/>
      <w:marLeft w:val="0"/>
      <w:marRight w:val="0"/>
      <w:marTop w:val="0"/>
      <w:marBottom w:val="0"/>
      <w:divBdr>
        <w:top w:val="none" w:sz="0" w:space="0" w:color="auto"/>
        <w:left w:val="none" w:sz="0" w:space="0" w:color="auto"/>
        <w:bottom w:val="none" w:sz="0" w:space="0" w:color="auto"/>
        <w:right w:val="none" w:sz="0" w:space="0" w:color="auto"/>
      </w:divBdr>
    </w:div>
    <w:div w:id="1403062858">
      <w:bodyDiv w:val="1"/>
      <w:marLeft w:val="0"/>
      <w:marRight w:val="0"/>
      <w:marTop w:val="0"/>
      <w:marBottom w:val="0"/>
      <w:divBdr>
        <w:top w:val="none" w:sz="0" w:space="0" w:color="auto"/>
        <w:left w:val="none" w:sz="0" w:space="0" w:color="auto"/>
        <w:bottom w:val="none" w:sz="0" w:space="0" w:color="auto"/>
        <w:right w:val="none" w:sz="0" w:space="0" w:color="auto"/>
      </w:divBdr>
    </w:div>
    <w:div w:id="1537963914">
      <w:bodyDiv w:val="1"/>
      <w:marLeft w:val="0"/>
      <w:marRight w:val="0"/>
      <w:marTop w:val="0"/>
      <w:marBottom w:val="0"/>
      <w:divBdr>
        <w:top w:val="none" w:sz="0" w:space="0" w:color="auto"/>
        <w:left w:val="none" w:sz="0" w:space="0" w:color="auto"/>
        <w:bottom w:val="none" w:sz="0" w:space="0" w:color="auto"/>
        <w:right w:val="none" w:sz="0" w:space="0" w:color="auto"/>
      </w:divBdr>
    </w:div>
    <w:div w:id="1622613469">
      <w:bodyDiv w:val="1"/>
      <w:marLeft w:val="0"/>
      <w:marRight w:val="0"/>
      <w:marTop w:val="0"/>
      <w:marBottom w:val="0"/>
      <w:divBdr>
        <w:top w:val="none" w:sz="0" w:space="0" w:color="auto"/>
        <w:left w:val="none" w:sz="0" w:space="0" w:color="auto"/>
        <w:bottom w:val="none" w:sz="0" w:space="0" w:color="auto"/>
        <w:right w:val="none" w:sz="0" w:space="0" w:color="auto"/>
      </w:divBdr>
    </w:div>
    <w:div w:id="1701390455">
      <w:bodyDiv w:val="1"/>
      <w:marLeft w:val="0"/>
      <w:marRight w:val="0"/>
      <w:marTop w:val="0"/>
      <w:marBottom w:val="0"/>
      <w:divBdr>
        <w:top w:val="none" w:sz="0" w:space="0" w:color="auto"/>
        <w:left w:val="none" w:sz="0" w:space="0" w:color="auto"/>
        <w:bottom w:val="none" w:sz="0" w:space="0" w:color="auto"/>
        <w:right w:val="none" w:sz="0" w:space="0" w:color="auto"/>
      </w:divBdr>
    </w:div>
    <w:div w:id="1821462731">
      <w:bodyDiv w:val="1"/>
      <w:marLeft w:val="0"/>
      <w:marRight w:val="0"/>
      <w:marTop w:val="0"/>
      <w:marBottom w:val="0"/>
      <w:divBdr>
        <w:top w:val="none" w:sz="0" w:space="0" w:color="auto"/>
        <w:left w:val="none" w:sz="0" w:space="0" w:color="auto"/>
        <w:bottom w:val="none" w:sz="0" w:space="0" w:color="auto"/>
        <w:right w:val="none" w:sz="0" w:space="0" w:color="auto"/>
      </w:divBdr>
    </w:div>
    <w:div w:id="1871454618">
      <w:bodyDiv w:val="1"/>
      <w:marLeft w:val="0"/>
      <w:marRight w:val="0"/>
      <w:marTop w:val="0"/>
      <w:marBottom w:val="0"/>
      <w:divBdr>
        <w:top w:val="none" w:sz="0" w:space="0" w:color="auto"/>
        <w:left w:val="none" w:sz="0" w:space="0" w:color="auto"/>
        <w:bottom w:val="none" w:sz="0" w:space="0" w:color="auto"/>
        <w:right w:val="none" w:sz="0" w:space="0" w:color="auto"/>
      </w:divBdr>
    </w:div>
    <w:div w:id="2116485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133</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Bill Shvodian</cp:lastModifiedBy>
  <cp:revision>76</cp:revision>
  <cp:lastPrinted>2019-02-25T14:05:00Z</cp:lastPrinted>
  <dcterms:created xsi:type="dcterms:W3CDTF">2024-02-17T19:55:00Z</dcterms:created>
  <dcterms:modified xsi:type="dcterms:W3CDTF">2024-02-19T23:08:00Z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