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Pr="00F82F01">
        <w:rPr>
          <w:rFonts w:eastAsia="宋体" w:cs="Arial"/>
          <w:sz w:val="24"/>
          <w:szCs w:val="24"/>
          <w:lang w:eastAsia="zh-CN"/>
        </w:rPr>
        <w:tab/>
        <w:t>R4-2</w:t>
      </w:r>
      <w:r w:rsidR="00EA0129">
        <w:rPr>
          <w:rFonts w:eastAsia="宋体" w:cs="Arial"/>
          <w:sz w:val="24"/>
          <w:szCs w:val="24"/>
          <w:lang w:eastAsia="zh-CN"/>
        </w:rPr>
        <w:t>40</w:t>
      </w:r>
      <w:r w:rsidR="00E72A69">
        <w:rPr>
          <w:rFonts w:eastAsia="宋体" w:cs="Arial"/>
          <w:sz w:val="24"/>
          <w:szCs w:val="24"/>
          <w:lang w:eastAsia="zh-CN"/>
        </w:rPr>
        <w:t>2057</w:t>
      </w:r>
    </w:p>
    <w:p w:rsidR="00384317" w:rsidRPr="00376830" w:rsidRDefault="00EA0129" w:rsidP="00384317">
      <w:pPr>
        <w:pStyle w:val="a5"/>
        <w:tabs>
          <w:tab w:val="right" w:pos="9781"/>
          <w:tab w:val="right" w:pos="13323"/>
        </w:tabs>
        <w:spacing w:before="60" w:after="60"/>
        <w:outlineLvl w:val="0"/>
        <w:rPr>
          <w:rFonts w:eastAsia="宋体" w:cs="Arial"/>
          <w:b w:val="0"/>
          <w:sz w:val="24"/>
          <w:szCs w:val="24"/>
          <w:lang w:eastAsia="zh-CN"/>
        </w:rPr>
      </w:pPr>
      <w:r>
        <w:rPr>
          <w:sz w:val="24"/>
          <w:lang w:eastAsia="zh-CN"/>
        </w:rPr>
        <w:t>Greece</w:t>
      </w:r>
      <w:r w:rsidR="006956AF" w:rsidRPr="000430CF">
        <w:rPr>
          <w:sz w:val="24"/>
          <w:lang w:eastAsia="zh-CN"/>
        </w:rPr>
        <w:t xml:space="preserve">, </w:t>
      </w:r>
      <w:r>
        <w:rPr>
          <w:sz w:val="24"/>
          <w:lang w:eastAsia="zh-CN"/>
        </w:rPr>
        <w:t>Athens</w:t>
      </w:r>
      <w:r w:rsidR="006956AF" w:rsidRPr="000430CF">
        <w:rPr>
          <w:sz w:val="24"/>
          <w:lang w:eastAsia="zh-CN"/>
        </w:rPr>
        <w:t xml:space="preserve">, </w:t>
      </w:r>
      <w:r>
        <w:rPr>
          <w:sz w:val="24"/>
          <w:lang w:eastAsia="zh-CN"/>
        </w:rPr>
        <w:t>February</w:t>
      </w:r>
      <w:r w:rsidR="006956AF" w:rsidRPr="000430CF">
        <w:rPr>
          <w:sz w:val="24"/>
          <w:lang w:eastAsia="zh-CN"/>
        </w:rPr>
        <w:t xml:space="preserve"> </w:t>
      </w:r>
      <w:r>
        <w:rPr>
          <w:sz w:val="24"/>
          <w:lang w:eastAsia="zh-CN"/>
        </w:rPr>
        <w:t>26</w:t>
      </w:r>
      <w:r w:rsidR="006956AF" w:rsidRPr="000430CF">
        <w:rPr>
          <w:sz w:val="24"/>
          <w:lang w:eastAsia="zh-CN"/>
        </w:rPr>
        <w:t xml:space="preserve"> – </w:t>
      </w:r>
      <w:r>
        <w:rPr>
          <w:sz w:val="24"/>
          <w:lang w:eastAsia="zh-CN"/>
        </w:rPr>
        <w:t>March 1</w:t>
      </w:r>
      <w:r w:rsidR="006956AF" w:rsidRPr="000430CF">
        <w:rPr>
          <w:sz w:val="24"/>
          <w:lang w:eastAsia="zh-CN"/>
        </w:rPr>
        <w:t>, 202</w:t>
      </w:r>
      <w:r>
        <w:rPr>
          <w:sz w:val="24"/>
          <w:lang w:eastAsia="zh-CN"/>
        </w:rPr>
        <w:t>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C7710" w:rsidRPr="00CC7710">
        <w:rPr>
          <w:rFonts w:ascii="Arial" w:hAnsi="Arial" w:cs="Arial"/>
          <w:sz w:val="22"/>
        </w:rPr>
        <w:t>Discussion on ATG UE supporting 1024QAM</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74654B">
        <w:rPr>
          <w:rFonts w:ascii="Arial" w:eastAsia="宋体" w:hAnsi="Arial" w:cs="Arial"/>
          <w:sz w:val="22"/>
          <w:lang w:eastAsia="zh-CN"/>
        </w:rPr>
        <w:t>8</w:t>
      </w:r>
      <w:r w:rsidR="00AF1630" w:rsidRPr="0074654B">
        <w:rPr>
          <w:rFonts w:ascii="Arial" w:eastAsia="宋体" w:hAnsi="Arial" w:cs="Arial"/>
          <w:sz w:val="22"/>
          <w:lang w:eastAsia="zh-CN"/>
        </w:rPr>
        <w:t>.</w:t>
      </w:r>
      <w:r w:rsidR="0074654B" w:rsidRPr="0074654B">
        <w:rPr>
          <w:rFonts w:ascii="Arial" w:eastAsia="宋体" w:hAnsi="Arial" w:cs="Arial"/>
          <w:sz w:val="22"/>
          <w:lang w:eastAsia="zh-CN"/>
        </w:rPr>
        <w:t>9</w:t>
      </w:r>
      <w:r w:rsidR="00AF1630" w:rsidRPr="0074654B">
        <w:rPr>
          <w:rFonts w:ascii="Arial" w:eastAsia="宋体" w:hAnsi="Arial" w:cs="Arial"/>
          <w:sz w:val="22"/>
          <w:lang w:eastAsia="zh-CN"/>
        </w:rPr>
        <w:t>.</w:t>
      </w:r>
      <w:r w:rsidR="0074654B" w:rsidRPr="0074654B">
        <w:rPr>
          <w:rFonts w:ascii="Arial" w:eastAsia="宋体" w:hAnsi="Arial" w:cs="Arial"/>
          <w:sz w:val="22"/>
          <w:lang w:eastAsia="zh-CN"/>
        </w:rPr>
        <w:t>2</w:t>
      </w:r>
      <w:r w:rsidR="00384317" w:rsidRPr="0074654B">
        <w:rPr>
          <w:rFonts w:ascii="Arial" w:eastAsia="宋体" w:hAnsi="Arial" w:cs="Arial"/>
          <w:sz w:val="22"/>
          <w:lang w:eastAsia="zh-CN"/>
        </w:rPr>
        <w:t>.</w:t>
      </w:r>
      <w:r w:rsidR="0074654B" w:rsidRPr="0074654B">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bookmarkStart w:id="4" w:name="_GoBack"/>
      <w:bookmarkEnd w:id="4"/>
    </w:p>
    <w:bookmarkEnd w:id="2"/>
    <w:bookmarkEnd w:id="3"/>
    <w:p w:rsidR="00FC0076" w:rsidRPr="00B16EEF" w:rsidRDefault="007726F1" w:rsidP="004065E5">
      <w:pPr>
        <w:pStyle w:val="1"/>
      </w:pPr>
      <w:r w:rsidRPr="00B16EEF">
        <w:t>Introduction</w:t>
      </w:r>
    </w:p>
    <w:p w:rsidR="00DE7D28" w:rsidRDefault="007049F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last meeting, all of RF requirements for ATG UE have been specified in TS 38.101-1. There is one issue to be further discussed in maintenance phase below.</w:t>
      </w:r>
    </w:p>
    <w:p w:rsidR="007049F2" w:rsidRDefault="007049F2"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049F2" w:rsidTr="007049F2">
        <w:tc>
          <w:tcPr>
            <w:tcW w:w="9631" w:type="dxa"/>
          </w:tcPr>
          <w:p w:rsidR="007049F2" w:rsidRDefault="0074350F" w:rsidP="007049F2">
            <w:pPr>
              <w:rPr>
                <w:rFonts w:ascii="Arial" w:hAnsi="Arial" w:cs="Arial"/>
                <w:b/>
                <w:sz w:val="24"/>
              </w:rPr>
            </w:pPr>
            <w:hyperlink r:id="rId8" w:history="1">
              <w:r w:rsidR="007049F2">
                <w:rPr>
                  <w:rStyle w:val="af1"/>
                  <w:rFonts w:ascii="Arial" w:hAnsi="Arial" w:cs="Arial"/>
                  <w:b/>
                  <w:sz w:val="24"/>
                </w:rPr>
                <w:t>R4-2321918</w:t>
              </w:r>
            </w:hyperlink>
            <w:r w:rsidR="007049F2">
              <w:rPr>
                <w:rFonts w:ascii="Arial" w:hAnsi="Arial" w:cs="Arial"/>
                <w:b/>
                <w:color w:val="0000FF"/>
                <w:sz w:val="24"/>
              </w:rPr>
              <w:tab/>
            </w:r>
            <w:r w:rsidR="007049F2">
              <w:rPr>
                <w:rFonts w:ascii="Arial" w:hAnsi="Arial" w:cs="Arial"/>
                <w:b/>
                <w:sz w:val="24"/>
              </w:rPr>
              <w:t>Draft CR for TS 38.101-1 to introduce ATG UE RF Rx requirements - part 1</w:t>
            </w:r>
          </w:p>
          <w:p w:rsidR="007049F2" w:rsidRDefault="007049F2" w:rsidP="00704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v18.3.0</w:t>
            </w:r>
            <w:proofErr w:type="gramStart"/>
            <w:r>
              <w:rPr>
                <w:i/>
              </w:rPr>
              <w:tab/>
              <w:t xml:space="preserve">  CR</w:t>
            </w:r>
            <w:proofErr w:type="gramEnd"/>
            <w:r>
              <w:rPr>
                <w:i/>
              </w:rPr>
              <w:t>-  rev  Cat: B (Rel-18)</w:t>
            </w:r>
            <w:r>
              <w:rPr>
                <w:i/>
              </w:rPr>
              <w:br/>
            </w:r>
            <w:r>
              <w:rPr>
                <w:i/>
              </w:rPr>
              <w:br/>
            </w:r>
            <w:r>
              <w:rPr>
                <w:i/>
              </w:rPr>
              <w:tab/>
            </w:r>
            <w:r>
              <w:rPr>
                <w:i/>
              </w:rPr>
              <w:tab/>
            </w:r>
            <w:r>
              <w:rPr>
                <w:i/>
              </w:rPr>
              <w:tab/>
            </w:r>
            <w:r>
              <w:rPr>
                <w:i/>
              </w:rPr>
              <w:tab/>
            </w:r>
            <w:r>
              <w:rPr>
                <w:i/>
              </w:rPr>
              <w:tab/>
              <w:t>Source: Qualcomm Incorporated</w:t>
            </w:r>
          </w:p>
          <w:p w:rsidR="007049F2" w:rsidRDefault="007049F2" w:rsidP="007049F2">
            <w:pPr>
              <w:rPr>
                <w:rFonts w:eastAsiaTheme="minorEastAsia"/>
              </w:rPr>
            </w:pPr>
            <w:r>
              <w:rPr>
                <w:rFonts w:eastAsiaTheme="minorEastAsia"/>
                <w:highlight w:val="green"/>
              </w:rPr>
              <w:t>Agreement: further discuss whether to introduce 1024QAM in maintenance phase.</w:t>
            </w:r>
          </w:p>
          <w:p w:rsidR="007049F2" w:rsidRDefault="007049F2" w:rsidP="00B30BB9">
            <w:pPr>
              <w:rPr>
                <w:rFonts w:eastAsia="宋体"/>
                <w:lang w:val="en-US" w:eastAsia="zh-CN"/>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Endorsed.</w:t>
            </w:r>
          </w:p>
        </w:tc>
      </w:tr>
    </w:tbl>
    <w:p w:rsidR="007D382E" w:rsidRDefault="007D382E" w:rsidP="00A779C9">
      <w:pPr>
        <w:widowControl w:val="0"/>
        <w:overflowPunct/>
        <w:autoSpaceDE/>
        <w:autoSpaceDN/>
        <w:adjustRightInd/>
        <w:spacing w:after="0"/>
        <w:textAlignment w:val="auto"/>
        <w:rPr>
          <w:rFonts w:eastAsia="宋体"/>
          <w:lang w:val="en-US" w:eastAsia="zh-CN"/>
        </w:rPr>
      </w:pPr>
    </w:p>
    <w:p w:rsidR="0069059A" w:rsidRDefault="00EA6EB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w:t>
      </w:r>
      <w:r w:rsidR="007D24AB">
        <w:rPr>
          <w:rFonts w:eastAsia="宋体"/>
          <w:lang w:val="en-US" w:eastAsia="zh-CN"/>
        </w:rPr>
        <w:t xml:space="preserve">discuss this issue </w:t>
      </w:r>
      <w:r w:rsidR="00811AAB">
        <w:rPr>
          <w:rFonts w:eastAsia="宋体"/>
          <w:lang w:val="en-US" w:eastAsia="zh-CN"/>
        </w:rPr>
        <w:t xml:space="preserve">whether </w:t>
      </w:r>
      <w:r w:rsidR="007D24AB">
        <w:rPr>
          <w:rFonts w:eastAsia="宋体"/>
          <w:lang w:val="en-US" w:eastAsia="zh-CN"/>
        </w:rPr>
        <w:t xml:space="preserve">ATG UE </w:t>
      </w:r>
      <w:r w:rsidR="00811AAB">
        <w:rPr>
          <w:rFonts w:eastAsia="宋体"/>
          <w:lang w:val="en-US" w:eastAsia="zh-CN"/>
        </w:rPr>
        <w:t xml:space="preserve">can </w:t>
      </w:r>
      <w:r w:rsidR="007D24AB">
        <w:rPr>
          <w:rFonts w:eastAsia="宋体"/>
          <w:lang w:val="en-US" w:eastAsia="zh-CN"/>
        </w:rPr>
        <w:t>support 1024QAM</w:t>
      </w:r>
      <w:r w:rsidR="00811AAB">
        <w:rPr>
          <w:rFonts w:eastAsia="宋体"/>
          <w:lang w:val="en-US" w:eastAsia="zh-CN"/>
        </w:rPr>
        <w:t xml:space="preserve"> or not</w:t>
      </w:r>
      <w:r w:rsidR="0069059A" w:rsidRPr="0069059A">
        <w:rPr>
          <w:rFonts w:eastAsia="宋体"/>
          <w:lang w:val="en-US" w:eastAsia="zh-CN"/>
        </w:rPr>
        <w:t>.</w:t>
      </w:r>
    </w:p>
    <w:p w:rsidR="00AF1630" w:rsidRPr="007D24AB" w:rsidRDefault="00AF1630" w:rsidP="00A779C9">
      <w:pPr>
        <w:widowControl w:val="0"/>
        <w:overflowPunct/>
        <w:autoSpaceDE/>
        <w:autoSpaceDN/>
        <w:adjustRightInd/>
        <w:spacing w:after="0"/>
        <w:textAlignment w:val="auto"/>
        <w:rPr>
          <w:rFonts w:eastAsia="宋体"/>
          <w:lang w:val="en-US" w:eastAsia="zh-CN"/>
        </w:rPr>
      </w:pPr>
    </w:p>
    <w:p w:rsidR="004736D4" w:rsidRPr="004736D4" w:rsidRDefault="004736D4" w:rsidP="004736D4">
      <w:pPr>
        <w:pStyle w:val="1"/>
        <w:rPr>
          <w:rFonts w:eastAsiaTheme="minorEastAsia"/>
          <w:lang w:eastAsia="zh-CN"/>
        </w:rPr>
      </w:pPr>
      <w:r>
        <w:rPr>
          <w:rFonts w:hint="eastAsia"/>
          <w:lang w:eastAsia="zh-CN"/>
        </w:rPr>
        <w:t>Discussion</w:t>
      </w:r>
      <w:r>
        <w:rPr>
          <w:lang w:eastAsia="zh-CN"/>
        </w:rPr>
        <w:t xml:space="preserve"> on </w:t>
      </w:r>
      <w:r w:rsidR="00DE7D28" w:rsidRPr="00DE7D28">
        <w:rPr>
          <w:lang w:eastAsia="zh-CN"/>
        </w:rPr>
        <w:t>ATG UE supporting 1024QAM</w:t>
      </w:r>
    </w:p>
    <w:p w:rsidR="00CB0162" w:rsidRDefault="00FD29E8" w:rsidP="004736D4">
      <w:pPr>
        <w:rPr>
          <w:rFonts w:eastAsiaTheme="minorEastAsia"/>
          <w:lang w:eastAsia="zh-CN"/>
        </w:rPr>
      </w:pPr>
      <w:r w:rsidRPr="00FD29E8">
        <w:rPr>
          <w:rFonts w:eastAsiaTheme="minorEastAsia" w:hint="eastAsia"/>
          <w:lang w:eastAsia="zh-CN"/>
        </w:rPr>
        <w:t>C</w:t>
      </w:r>
      <w:r w:rsidRPr="00FD29E8">
        <w:rPr>
          <w:rFonts w:eastAsiaTheme="minorEastAsia"/>
          <w:lang w:eastAsia="zh-CN"/>
        </w:rPr>
        <w:t xml:space="preserve">urrently, </w:t>
      </w:r>
      <w:r w:rsidR="00BF718B">
        <w:rPr>
          <w:rFonts w:eastAsiaTheme="minorEastAsia"/>
          <w:lang w:eastAsia="zh-CN"/>
        </w:rPr>
        <w:t xml:space="preserve">the general </w:t>
      </w:r>
      <w:r w:rsidR="0022189F">
        <w:rPr>
          <w:rFonts w:eastAsiaTheme="minorEastAsia"/>
          <w:lang w:eastAsia="zh-CN"/>
        </w:rPr>
        <w:t xml:space="preserve">DL 1024QAM </w:t>
      </w:r>
      <w:r w:rsidR="00BF718B">
        <w:rPr>
          <w:rFonts w:eastAsiaTheme="minorEastAsia"/>
          <w:lang w:eastAsia="zh-CN"/>
        </w:rPr>
        <w:t xml:space="preserve">requirements </w:t>
      </w:r>
      <w:r w:rsidR="0022189F">
        <w:rPr>
          <w:rFonts w:eastAsiaTheme="minorEastAsia"/>
          <w:lang w:eastAsia="zh-CN"/>
        </w:rPr>
        <w:t>for both BS and UE have been specified in the spec.</w:t>
      </w:r>
    </w:p>
    <w:tbl>
      <w:tblPr>
        <w:tblStyle w:val="afc"/>
        <w:tblW w:w="0" w:type="auto"/>
        <w:tblLook w:val="04A0" w:firstRow="1" w:lastRow="0" w:firstColumn="1" w:lastColumn="0" w:noHBand="0" w:noVBand="1"/>
      </w:tblPr>
      <w:tblGrid>
        <w:gridCol w:w="9631"/>
      </w:tblGrid>
      <w:tr w:rsidR="0022189F" w:rsidTr="0022189F">
        <w:tc>
          <w:tcPr>
            <w:tcW w:w="9631" w:type="dxa"/>
          </w:tcPr>
          <w:p w:rsidR="0022189F" w:rsidRPr="00F95B02" w:rsidRDefault="0022189F" w:rsidP="0022189F">
            <w:pPr>
              <w:pStyle w:val="4"/>
              <w:numPr>
                <w:ilvl w:val="0"/>
                <w:numId w:val="0"/>
              </w:numPr>
              <w:spacing w:after="240"/>
              <w:outlineLvl w:val="3"/>
            </w:pPr>
            <w:bookmarkStart w:id="5" w:name="_Toc21127477"/>
            <w:bookmarkStart w:id="6" w:name="_Toc29811686"/>
            <w:bookmarkStart w:id="7" w:name="_Toc36817238"/>
            <w:bookmarkStart w:id="8" w:name="_Toc37260154"/>
            <w:bookmarkStart w:id="9" w:name="_Toc37267542"/>
            <w:bookmarkStart w:id="10" w:name="_Toc44712144"/>
            <w:bookmarkStart w:id="11" w:name="_Toc45893457"/>
            <w:bookmarkStart w:id="12" w:name="_Toc53178184"/>
            <w:bookmarkStart w:id="13" w:name="_Toc53178635"/>
            <w:bookmarkStart w:id="14" w:name="_Toc61178861"/>
            <w:bookmarkStart w:id="15" w:name="_Toc61179331"/>
            <w:bookmarkStart w:id="16" w:name="_Toc67916627"/>
            <w:bookmarkStart w:id="17" w:name="_Toc74663225"/>
            <w:bookmarkStart w:id="18" w:name="_Toc82621765"/>
            <w:bookmarkStart w:id="19" w:name="_Toc90422612"/>
            <w:bookmarkStart w:id="20" w:name="_Toc106782805"/>
            <w:bookmarkStart w:id="21" w:name="_Toc107311696"/>
            <w:bookmarkStart w:id="22" w:name="_Toc107419280"/>
            <w:bookmarkStart w:id="23" w:name="_Toc107474907"/>
            <w:bookmarkStart w:id="24" w:name="_Toc114255500"/>
            <w:bookmarkStart w:id="25" w:name="_Toc115186180"/>
            <w:bookmarkStart w:id="26" w:name="_Toc123048994"/>
            <w:bookmarkStart w:id="27" w:name="_Toc123051913"/>
            <w:bookmarkStart w:id="28" w:name="_Toc123054382"/>
            <w:bookmarkStart w:id="29" w:name="_Toc123717483"/>
            <w:bookmarkStart w:id="30" w:name="_Toc124157059"/>
            <w:bookmarkStart w:id="31" w:name="_Toc124266463"/>
            <w:bookmarkStart w:id="32" w:name="_Toc131595821"/>
            <w:bookmarkStart w:id="33" w:name="_Toc131740819"/>
            <w:bookmarkStart w:id="34" w:name="_Toc131766353"/>
            <w:bookmarkStart w:id="35" w:name="_Toc138837575"/>
            <w:bookmarkStart w:id="36" w:name="_Toc156567396"/>
            <w:r w:rsidRPr="00F95B02">
              <w:t>6.5.2.2</w:t>
            </w:r>
            <w:r w:rsidRPr="00F95B02">
              <w:tab/>
              <w:t xml:space="preserve">Minimum Requirement for </w:t>
            </w:r>
            <w:r w:rsidRPr="00F95B02">
              <w:rPr>
                <w:i/>
              </w:rPr>
              <w:t>BS type 1-C</w:t>
            </w:r>
            <w:r w:rsidRPr="00F95B02">
              <w:t xml:space="preserve"> and </w:t>
            </w:r>
            <w:r w:rsidRPr="00F95B02">
              <w:rPr>
                <w:i/>
              </w:rPr>
              <w:t>BS type 1-H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22189F" w:rsidRPr="00F95B02" w:rsidRDefault="0022189F" w:rsidP="0022189F">
            <w:r w:rsidRPr="00F95B02">
              <w:rPr>
                <w:lang w:val="en-US" w:eastAsia="zh-CN"/>
              </w:rPr>
              <w:t xml:space="preserve">For </w:t>
            </w:r>
            <w:r w:rsidRPr="00F95B02">
              <w:rPr>
                <w:i/>
                <w:iCs/>
                <w:lang w:val="en-US" w:eastAsia="zh-CN"/>
              </w:rPr>
              <w:t xml:space="preserve">BS type 1-C </w:t>
            </w:r>
            <w:r w:rsidRPr="00F95B02">
              <w:rPr>
                <w:lang w:val="en-US" w:eastAsia="zh-CN"/>
              </w:rPr>
              <w:t>and</w:t>
            </w:r>
            <w:r w:rsidRPr="00F95B02">
              <w:rPr>
                <w:i/>
                <w:iCs/>
                <w:lang w:val="en-US" w:eastAsia="zh-CN"/>
              </w:rPr>
              <w:t xml:space="preserve"> 1-H</w:t>
            </w:r>
            <w:r w:rsidRPr="00F95B02">
              <w:rPr>
                <w:lang w:val="en-US" w:eastAsia="zh-CN"/>
              </w:rPr>
              <w:t xml:space="preserve">, </w:t>
            </w:r>
            <w:r w:rsidRPr="00F95B02">
              <w:t xml:space="preserve">the EVM levels </w:t>
            </w:r>
            <w:r w:rsidRPr="00F95B02">
              <w:rPr>
                <w:rFonts w:eastAsia="宋体"/>
                <w:lang w:val="en-US" w:eastAsia="zh-CN"/>
              </w:rPr>
              <w:t xml:space="preserve">of </w:t>
            </w:r>
            <w:r w:rsidRPr="00F95B02">
              <w:rPr>
                <w:rFonts w:eastAsia="宋体"/>
              </w:rPr>
              <w:t xml:space="preserve">each </w:t>
            </w:r>
            <w:r w:rsidRPr="00F95B02">
              <w:rPr>
                <w:rFonts w:eastAsia="宋体"/>
                <w:lang w:val="en-US" w:eastAsia="zh-CN"/>
              </w:rPr>
              <w:t xml:space="preserve">NR </w:t>
            </w:r>
            <w:r w:rsidRPr="00F95B02">
              <w:rPr>
                <w:rFonts w:eastAsia="宋体"/>
              </w:rPr>
              <w:t>carrier</w:t>
            </w:r>
            <w:r w:rsidRPr="00F95B02">
              <w:t xml:space="preserve"> for different modulation schemes on PDSCH</w:t>
            </w:r>
            <w:r w:rsidRPr="00F95B02">
              <w:rPr>
                <w:rFonts w:eastAsia="宋体"/>
                <w:lang w:val="en-US" w:eastAsia="zh-CN"/>
              </w:rPr>
              <w:t xml:space="preserve"> </w:t>
            </w:r>
            <w:r w:rsidRPr="00F95B02">
              <w:t>outlined in table 6.5.2.2-1 shall be met using the frame structure described in clause 6.5.2.3.</w:t>
            </w:r>
          </w:p>
          <w:p w:rsidR="0022189F" w:rsidRPr="00F95B02" w:rsidRDefault="0022189F" w:rsidP="0022189F">
            <w:pPr>
              <w:pStyle w:val="TH"/>
            </w:pPr>
            <w:r w:rsidRPr="00F95B02">
              <w:t xml:space="preserve">Table 6.5.2.2-1: EVM requirements for </w:t>
            </w:r>
            <w:r w:rsidRPr="00F95B02">
              <w:rPr>
                <w:i/>
              </w:rPr>
              <w:t>BS type 1-C</w:t>
            </w:r>
            <w:r w:rsidRPr="00F95B02">
              <w:t xml:space="preserve"> and </w:t>
            </w:r>
            <w:r w:rsidRPr="00F95B02">
              <w:rPr>
                <w:i/>
              </w:rPr>
              <w:t>BS type 1-H</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2189F" w:rsidRPr="00F95B02" w:rsidTr="0045062A">
              <w:trPr>
                <w:cantSplit/>
                <w:jc w:val="center"/>
              </w:trPr>
              <w:tc>
                <w:tcPr>
                  <w:tcW w:w="3214" w:type="dxa"/>
                </w:tcPr>
                <w:p w:rsidR="0022189F" w:rsidRPr="00F95B02" w:rsidRDefault="0022189F" w:rsidP="0022189F">
                  <w:pPr>
                    <w:pStyle w:val="TAH"/>
                    <w:rPr>
                      <w:rFonts w:cs="Arial"/>
                    </w:rPr>
                  </w:pPr>
                  <w:r w:rsidRPr="00F95B02">
                    <w:rPr>
                      <w:rFonts w:cs="Arial"/>
                    </w:rPr>
                    <w:t>Modulation scheme for PDSCH</w:t>
                  </w:r>
                </w:p>
              </w:tc>
              <w:tc>
                <w:tcPr>
                  <w:tcW w:w="2583" w:type="dxa"/>
                </w:tcPr>
                <w:p w:rsidR="0022189F" w:rsidRPr="00F95B02" w:rsidRDefault="0022189F" w:rsidP="0022189F">
                  <w:pPr>
                    <w:pStyle w:val="TAH"/>
                    <w:rPr>
                      <w:rFonts w:cs="Arial"/>
                    </w:rPr>
                  </w:pPr>
                  <w:r w:rsidRPr="00F95B02">
                    <w:rPr>
                      <w:rFonts w:cs="Arial"/>
                    </w:rPr>
                    <w:t>Required EVM</w:t>
                  </w:r>
                </w:p>
              </w:tc>
            </w:tr>
            <w:tr w:rsidR="0022189F" w:rsidRPr="00F95B02" w:rsidTr="0045062A">
              <w:trPr>
                <w:cantSplit/>
                <w:jc w:val="center"/>
              </w:trPr>
              <w:tc>
                <w:tcPr>
                  <w:tcW w:w="3214" w:type="dxa"/>
                </w:tcPr>
                <w:p w:rsidR="0022189F" w:rsidRPr="00F95B02" w:rsidRDefault="0022189F" w:rsidP="0022189F">
                  <w:pPr>
                    <w:pStyle w:val="TAC"/>
                    <w:rPr>
                      <w:rFonts w:cs="Arial"/>
                    </w:rPr>
                  </w:pPr>
                  <w:r w:rsidRPr="00F95B02">
                    <w:rPr>
                      <w:rFonts w:cs="Arial"/>
                    </w:rPr>
                    <w:t>QPSK</w:t>
                  </w:r>
                </w:p>
              </w:tc>
              <w:tc>
                <w:tcPr>
                  <w:tcW w:w="2583" w:type="dxa"/>
                </w:tcPr>
                <w:p w:rsidR="0022189F" w:rsidRPr="00F95B02" w:rsidRDefault="0022189F" w:rsidP="0022189F">
                  <w:pPr>
                    <w:pStyle w:val="TAC"/>
                    <w:rPr>
                      <w:rFonts w:cs="Arial"/>
                    </w:rPr>
                  </w:pPr>
                  <w:r w:rsidRPr="00F95B02">
                    <w:rPr>
                      <w:rFonts w:cs="Arial"/>
                    </w:rPr>
                    <w:t>17.5 %</w:t>
                  </w:r>
                </w:p>
              </w:tc>
            </w:tr>
            <w:tr w:rsidR="0022189F" w:rsidRPr="00F95B02" w:rsidTr="0045062A">
              <w:trPr>
                <w:cantSplit/>
                <w:jc w:val="center"/>
              </w:trPr>
              <w:tc>
                <w:tcPr>
                  <w:tcW w:w="3214" w:type="dxa"/>
                </w:tcPr>
                <w:p w:rsidR="0022189F" w:rsidRPr="00F95B02" w:rsidRDefault="0022189F" w:rsidP="0022189F">
                  <w:pPr>
                    <w:pStyle w:val="TAC"/>
                    <w:rPr>
                      <w:rFonts w:cs="Arial"/>
                    </w:rPr>
                  </w:pPr>
                  <w:r w:rsidRPr="00F95B02">
                    <w:rPr>
                      <w:rFonts w:cs="Arial"/>
                    </w:rPr>
                    <w:t>16QAM</w:t>
                  </w:r>
                </w:p>
              </w:tc>
              <w:tc>
                <w:tcPr>
                  <w:tcW w:w="2583" w:type="dxa"/>
                </w:tcPr>
                <w:p w:rsidR="0022189F" w:rsidRPr="00F95B02" w:rsidRDefault="0022189F" w:rsidP="0022189F">
                  <w:pPr>
                    <w:pStyle w:val="TAC"/>
                    <w:rPr>
                      <w:rFonts w:cs="Arial"/>
                    </w:rPr>
                  </w:pPr>
                  <w:r w:rsidRPr="00F95B02">
                    <w:rPr>
                      <w:rFonts w:cs="Arial"/>
                    </w:rPr>
                    <w:t>12.5 %</w:t>
                  </w:r>
                </w:p>
              </w:tc>
            </w:tr>
            <w:tr w:rsidR="0022189F" w:rsidRPr="00F95B02" w:rsidTr="0045062A">
              <w:trPr>
                <w:cantSplit/>
                <w:jc w:val="center"/>
              </w:trPr>
              <w:tc>
                <w:tcPr>
                  <w:tcW w:w="3214" w:type="dxa"/>
                </w:tcPr>
                <w:p w:rsidR="0022189F" w:rsidRPr="00F95B02" w:rsidRDefault="0022189F" w:rsidP="0022189F">
                  <w:pPr>
                    <w:pStyle w:val="TAC"/>
                    <w:rPr>
                      <w:rFonts w:cs="Arial"/>
                    </w:rPr>
                  </w:pPr>
                  <w:r w:rsidRPr="00F95B02">
                    <w:rPr>
                      <w:rFonts w:cs="Arial"/>
                    </w:rPr>
                    <w:t>64QAM</w:t>
                  </w:r>
                </w:p>
              </w:tc>
              <w:tc>
                <w:tcPr>
                  <w:tcW w:w="2583" w:type="dxa"/>
                </w:tcPr>
                <w:p w:rsidR="0022189F" w:rsidRPr="00F95B02" w:rsidRDefault="0022189F" w:rsidP="0022189F">
                  <w:pPr>
                    <w:pStyle w:val="TAC"/>
                    <w:rPr>
                      <w:rFonts w:cs="Arial"/>
                    </w:rPr>
                  </w:pPr>
                  <w:r w:rsidRPr="00F95B02">
                    <w:rPr>
                      <w:rFonts w:cs="Arial"/>
                    </w:rPr>
                    <w:t>8 %</w:t>
                  </w:r>
                </w:p>
              </w:tc>
            </w:tr>
            <w:tr w:rsidR="0022189F" w:rsidRPr="00F95B02" w:rsidTr="0045062A">
              <w:trPr>
                <w:cantSplit/>
                <w:jc w:val="center"/>
              </w:trPr>
              <w:tc>
                <w:tcPr>
                  <w:tcW w:w="3214" w:type="dxa"/>
                </w:tcPr>
                <w:p w:rsidR="0022189F" w:rsidRPr="00F95B02" w:rsidRDefault="0022189F" w:rsidP="0022189F">
                  <w:pPr>
                    <w:pStyle w:val="TAC"/>
                    <w:rPr>
                      <w:rFonts w:cs="Arial"/>
                    </w:rPr>
                  </w:pPr>
                  <w:r w:rsidRPr="00F95B02">
                    <w:rPr>
                      <w:rFonts w:cs="Arial"/>
                    </w:rPr>
                    <w:t>256QAM</w:t>
                  </w:r>
                </w:p>
              </w:tc>
              <w:tc>
                <w:tcPr>
                  <w:tcW w:w="2583" w:type="dxa"/>
                </w:tcPr>
                <w:p w:rsidR="0022189F" w:rsidRPr="00F95B02" w:rsidRDefault="0022189F" w:rsidP="0022189F">
                  <w:pPr>
                    <w:pStyle w:val="TAC"/>
                    <w:rPr>
                      <w:rFonts w:cs="Arial"/>
                    </w:rPr>
                  </w:pPr>
                  <w:r w:rsidRPr="00F95B02">
                    <w:rPr>
                      <w:rFonts w:cs="Arial"/>
                    </w:rPr>
                    <w:t>3.5 %</w:t>
                  </w:r>
                </w:p>
              </w:tc>
            </w:tr>
            <w:tr w:rsidR="0022189F" w:rsidRPr="00F95B02" w:rsidTr="0045062A">
              <w:trPr>
                <w:cantSplit/>
                <w:jc w:val="center"/>
              </w:trPr>
              <w:tc>
                <w:tcPr>
                  <w:tcW w:w="3214" w:type="dxa"/>
                  <w:tcBorders>
                    <w:top w:val="single" w:sz="4" w:space="0" w:color="auto"/>
                    <w:left w:val="single" w:sz="4" w:space="0" w:color="auto"/>
                    <w:bottom w:val="single" w:sz="4" w:space="0" w:color="auto"/>
                    <w:right w:val="single" w:sz="4" w:space="0" w:color="auto"/>
                  </w:tcBorders>
                </w:tcPr>
                <w:p w:rsidR="0022189F" w:rsidRPr="0022189F" w:rsidRDefault="0022189F" w:rsidP="0022189F">
                  <w:pPr>
                    <w:pStyle w:val="TAC"/>
                    <w:rPr>
                      <w:rFonts w:cs="Arial"/>
                      <w:b/>
                      <w:highlight w:val="yellow"/>
                    </w:rPr>
                  </w:pPr>
                  <w:r w:rsidRPr="0022189F">
                    <w:rPr>
                      <w:rFonts w:cs="Arial" w:hint="eastAsia"/>
                      <w:b/>
                      <w:highlight w:val="yellow"/>
                      <w:lang w:eastAsia="zh-CN"/>
                    </w:rPr>
                    <w:t>1</w:t>
                  </w:r>
                  <w:r w:rsidRPr="0022189F">
                    <w:rPr>
                      <w:rFonts w:cs="Arial"/>
                      <w:b/>
                      <w:highlight w:val="yellow"/>
                      <w:lang w:eastAsia="zh-CN"/>
                    </w:rPr>
                    <w:t>024QAM</w:t>
                  </w:r>
                </w:p>
              </w:tc>
              <w:tc>
                <w:tcPr>
                  <w:tcW w:w="2583" w:type="dxa"/>
                  <w:tcBorders>
                    <w:top w:val="single" w:sz="4" w:space="0" w:color="auto"/>
                    <w:left w:val="single" w:sz="4" w:space="0" w:color="auto"/>
                    <w:bottom w:val="single" w:sz="4" w:space="0" w:color="auto"/>
                    <w:right w:val="single" w:sz="4" w:space="0" w:color="auto"/>
                  </w:tcBorders>
                </w:tcPr>
                <w:p w:rsidR="0022189F" w:rsidRPr="0022189F" w:rsidRDefault="0022189F" w:rsidP="0022189F">
                  <w:pPr>
                    <w:pStyle w:val="TAC"/>
                    <w:rPr>
                      <w:rFonts w:cs="Arial"/>
                      <w:b/>
                      <w:highlight w:val="yellow"/>
                      <w:vertAlign w:val="superscript"/>
                      <w:lang w:eastAsia="zh-CN"/>
                    </w:rPr>
                  </w:pPr>
                  <w:r w:rsidRPr="0022189F">
                    <w:rPr>
                      <w:rFonts w:cs="Arial"/>
                      <w:b/>
                      <w:highlight w:val="yellow"/>
                      <w:lang w:eastAsia="zh-CN"/>
                    </w:rPr>
                    <w:t>2.5 %</w:t>
                  </w:r>
                  <w:r w:rsidRPr="0022189F">
                    <w:rPr>
                      <w:rFonts w:cs="Arial"/>
                      <w:b/>
                      <w:highlight w:val="yellow"/>
                      <w:vertAlign w:val="superscript"/>
                      <w:lang w:eastAsia="zh-CN"/>
                    </w:rPr>
                    <w:t>1</w:t>
                  </w:r>
                </w:p>
                <w:p w:rsidR="0022189F" w:rsidRPr="0022189F" w:rsidRDefault="0022189F" w:rsidP="0022189F">
                  <w:pPr>
                    <w:pStyle w:val="TAC"/>
                    <w:rPr>
                      <w:rFonts w:cs="Arial"/>
                      <w:b/>
                      <w:highlight w:val="yellow"/>
                    </w:rPr>
                  </w:pPr>
                  <w:r w:rsidRPr="0022189F">
                    <w:rPr>
                      <w:rFonts w:cs="Arial"/>
                      <w:b/>
                      <w:highlight w:val="yellow"/>
                      <w:lang w:eastAsia="zh-CN"/>
                    </w:rPr>
                    <w:t>2.8 %</w:t>
                  </w:r>
                  <w:r w:rsidRPr="0022189F">
                    <w:rPr>
                      <w:rFonts w:cs="Arial"/>
                      <w:b/>
                      <w:highlight w:val="yellow"/>
                      <w:vertAlign w:val="superscript"/>
                      <w:lang w:eastAsia="zh-CN"/>
                    </w:rPr>
                    <w:t>2</w:t>
                  </w:r>
                </w:p>
              </w:tc>
            </w:tr>
            <w:tr w:rsidR="0022189F" w:rsidRPr="00F95B02" w:rsidTr="0045062A">
              <w:trPr>
                <w:cantSplit/>
                <w:jc w:val="center"/>
              </w:trPr>
              <w:tc>
                <w:tcPr>
                  <w:tcW w:w="5797" w:type="dxa"/>
                  <w:gridSpan w:val="2"/>
                </w:tcPr>
                <w:p w:rsidR="0022189F" w:rsidRPr="008C3360" w:rsidRDefault="0022189F" w:rsidP="0022189F">
                  <w:pPr>
                    <w:pStyle w:val="TAN"/>
                    <w:rPr>
                      <w:rFonts w:eastAsiaTheme="minorEastAsia"/>
                      <w:lang w:eastAsia="zh-CN"/>
                    </w:rPr>
                  </w:pPr>
                  <w:r w:rsidRPr="008C3360">
                    <w:rPr>
                      <w:rFonts w:eastAsiaTheme="minorEastAsia"/>
                    </w:rPr>
                    <w:t>N</w:t>
                  </w:r>
                  <w:r>
                    <w:rPr>
                      <w:rFonts w:eastAsiaTheme="minorEastAsia"/>
                    </w:rPr>
                    <w:t>ote</w:t>
                  </w:r>
                  <w:r w:rsidRPr="008C3360">
                    <w:rPr>
                      <w:rFonts w:eastAsiaTheme="minorEastAsia"/>
                      <w:lang w:eastAsia="zh-CN"/>
                    </w:rPr>
                    <w:t>1</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equal to or below 4.2 GHz.</w:t>
                  </w:r>
                </w:p>
                <w:p w:rsidR="0022189F" w:rsidRPr="00F95B02" w:rsidRDefault="0022189F" w:rsidP="0022189F">
                  <w:pPr>
                    <w:pStyle w:val="TAN"/>
                  </w:pPr>
                  <w:r w:rsidRPr="008C3360">
                    <w:rPr>
                      <w:rFonts w:eastAsiaTheme="minorEastAsia"/>
                    </w:rPr>
                    <w:t>N</w:t>
                  </w:r>
                  <w:r>
                    <w:rPr>
                      <w:rFonts w:eastAsiaTheme="minorEastAsia"/>
                    </w:rPr>
                    <w:t>ote</w:t>
                  </w:r>
                  <w:r w:rsidRPr="008C3360">
                    <w:rPr>
                      <w:rFonts w:eastAsiaTheme="minorEastAsia"/>
                    </w:rPr>
                    <w:t xml:space="preserve"> </w:t>
                  </w:r>
                  <w:r w:rsidRPr="008C3360">
                    <w:rPr>
                      <w:rFonts w:eastAsiaTheme="minorEastAsia"/>
                      <w:lang w:eastAsia="zh-CN"/>
                    </w:rPr>
                    <w:t>2</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above 4.2 GHz.</w:t>
                  </w:r>
                </w:p>
              </w:tc>
            </w:tr>
          </w:tbl>
          <w:p w:rsidR="0022189F" w:rsidRPr="00F95B02" w:rsidRDefault="0022189F" w:rsidP="0022189F"/>
          <w:p w:rsidR="0022189F" w:rsidRPr="0022189F" w:rsidRDefault="0022189F" w:rsidP="0022189F">
            <w:pPr>
              <w:rPr>
                <w:rFonts w:eastAsiaTheme="minorEastAsia"/>
                <w:lang w:eastAsia="zh-CN"/>
              </w:rPr>
            </w:pPr>
            <w:r w:rsidRPr="00F95B02">
              <w:lastRenderedPageBreak/>
              <w:t>The modulation quality requirements for NB-IoT are specified in TS 36.104 [13] clause 6.5.2.</w:t>
            </w:r>
          </w:p>
        </w:tc>
      </w:tr>
    </w:tbl>
    <w:p w:rsidR="0022189F" w:rsidRDefault="0022189F" w:rsidP="004736D4">
      <w:pPr>
        <w:rPr>
          <w:rFonts w:eastAsiaTheme="minorEastAsia"/>
          <w:lang w:eastAsia="zh-CN"/>
        </w:rPr>
      </w:pPr>
    </w:p>
    <w:p w:rsidR="0022189F" w:rsidRDefault="0022189F" w:rsidP="004736D4">
      <w:pPr>
        <w:rPr>
          <w:rFonts w:eastAsiaTheme="minorEastAsia"/>
          <w:lang w:eastAsia="zh-CN"/>
        </w:rPr>
      </w:pPr>
    </w:p>
    <w:tbl>
      <w:tblPr>
        <w:tblStyle w:val="afc"/>
        <w:tblW w:w="0" w:type="auto"/>
        <w:tblLook w:val="04A0" w:firstRow="1" w:lastRow="0" w:firstColumn="1" w:lastColumn="0" w:noHBand="0" w:noVBand="1"/>
      </w:tblPr>
      <w:tblGrid>
        <w:gridCol w:w="9631"/>
      </w:tblGrid>
      <w:tr w:rsidR="0022189F" w:rsidTr="0022189F">
        <w:tc>
          <w:tcPr>
            <w:tcW w:w="9631" w:type="dxa"/>
          </w:tcPr>
          <w:p w:rsidR="0022189F" w:rsidRPr="00A1115A" w:rsidRDefault="0022189F" w:rsidP="0022189F">
            <w:pPr>
              <w:pStyle w:val="2"/>
              <w:numPr>
                <w:ilvl w:val="0"/>
                <w:numId w:val="0"/>
              </w:numPr>
              <w:spacing w:after="240"/>
              <w:outlineLvl w:val="1"/>
            </w:pPr>
            <w:bookmarkStart w:id="37" w:name="_Toc45888422"/>
            <w:bookmarkStart w:id="38" w:name="_Toc45889021"/>
            <w:bookmarkStart w:id="39" w:name="_Toc61367747"/>
            <w:bookmarkStart w:id="40" w:name="_Toc61373130"/>
            <w:bookmarkStart w:id="41" w:name="_Toc68231080"/>
            <w:bookmarkStart w:id="42" w:name="_Toc69084493"/>
            <w:bookmarkStart w:id="43" w:name="_Toc75467506"/>
            <w:bookmarkStart w:id="44" w:name="_Toc76509528"/>
            <w:bookmarkStart w:id="45" w:name="_Toc76718518"/>
            <w:bookmarkStart w:id="46" w:name="_Toc83580865"/>
            <w:bookmarkStart w:id="47" w:name="_Toc84405374"/>
            <w:bookmarkStart w:id="48" w:name="_Toc84413983"/>
            <w:r w:rsidRPr="00A1115A">
              <w:t>7.4</w:t>
            </w:r>
            <w:r w:rsidRPr="00A1115A">
              <w:tab/>
              <w:t>Maximum input level</w:t>
            </w:r>
            <w:bookmarkEnd w:id="37"/>
            <w:bookmarkEnd w:id="38"/>
            <w:bookmarkEnd w:id="39"/>
            <w:bookmarkEnd w:id="40"/>
            <w:bookmarkEnd w:id="41"/>
            <w:bookmarkEnd w:id="42"/>
            <w:bookmarkEnd w:id="43"/>
            <w:bookmarkEnd w:id="44"/>
            <w:bookmarkEnd w:id="45"/>
            <w:bookmarkEnd w:id="46"/>
            <w:bookmarkEnd w:id="47"/>
            <w:bookmarkEnd w:id="48"/>
          </w:p>
          <w:p w:rsidR="0022189F" w:rsidRPr="00A1115A" w:rsidRDefault="0022189F" w:rsidP="0022189F">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rsidR="0022189F" w:rsidRPr="00A1115A" w:rsidRDefault="0022189F" w:rsidP="0022189F">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817"/>
              <w:gridCol w:w="1349"/>
              <w:gridCol w:w="3118"/>
              <w:gridCol w:w="1985"/>
            </w:tblGrid>
            <w:tr w:rsidR="0022189F" w:rsidRPr="00416F94" w:rsidTr="0045062A">
              <w:trPr>
                <w:trHeight w:val="187"/>
                <w:jc w:val="center"/>
              </w:trPr>
              <w:tc>
                <w:tcPr>
                  <w:tcW w:w="1515" w:type="dxa"/>
                  <w:vMerge w:val="restart"/>
                  <w:shd w:val="clear" w:color="auto" w:fill="auto"/>
                  <w:vAlign w:val="center"/>
                </w:tcPr>
                <w:p w:rsidR="0022189F" w:rsidRPr="00416F94" w:rsidRDefault="0022189F" w:rsidP="0022189F">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rsidR="0022189F" w:rsidRPr="00416F94" w:rsidRDefault="0022189F" w:rsidP="0022189F">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rsidR="0022189F" w:rsidRPr="00416F94" w:rsidRDefault="0022189F" w:rsidP="0022189F">
                  <w:pPr>
                    <w:keepNext/>
                    <w:keepLines/>
                    <w:spacing w:after="0"/>
                    <w:jc w:val="center"/>
                    <w:rPr>
                      <w:rFonts w:ascii="Arial" w:hAnsi="Arial" w:cs="Arial"/>
                      <w:b/>
                      <w:sz w:val="18"/>
                    </w:rPr>
                  </w:pPr>
                  <w:r w:rsidRPr="00416F94">
                    <w:rPr>
                      <w:rFonts w:ascii="Arial" w:hAnsi="Arial" w:cs="Arial"/>
                      <w:b/>
                      <w:sz w:val="18"/>
                    </w:rPr>
                    <w:t>Channel bandwidth (MHz)</w:t>
                  </w:r>
                </w:p>
              </w:tc>
            </w:tr>
            <w:tr w:rsidR="0022189F" w:rsidRPr="00416F94" w:rsidTr="0045062A">
              <w:trPr>
                <w:trHeight w:val="187"/>
                <w:jc w:val="center"/>
              </w:trPr>
              <w:tc>
                <w:tcPr>
                  <w:tcW w:w="1515" w:type="dxa"/>
                  <w:vMerge/>
                  <w:tcBorders>
                    <w:bottom w:val="single" w:sz="4" w:space="0" w:color="auto"/>
                  </w:tcBorders>
                  <w:shd w:val="clear" w:color="auto" w:fill="auto"/>
                  <w:vAlign w:val="center"/>
                </w:tcPr>
                <w:p w:rsidR="0022189F" w:rsidRPr="00416F94" w:rsidRDefault="0022189F" w:rsidP="0022189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rsidR="0022189F" w:rsidRPr="00416F94" w:rsidRDefault="0022189F" w:rsidP="0022189F">
                  <w:pPr>
                    <w:keepNext/>
                    <w:keepLines/>
                    <w:spacing w:after="0"/>
                    <w:jc w:val="center"/>
                    <w:rPr>
                      <w:rFonts w:ascii="Arial" w:hAnsi="Arial" w:cs="Arial"/>
                      <w:b/>
                      <w:sz w:val="18"/>
                    </w:rPr>
                  </w:pPr>
                </w:p>
              </w:tc>
              <w:tc>
                <w:tcPr>
                  <w:tcW w:w="1349" w:type="dxa"/>
                  <w:vAlign w:val="center"/>
                </w:tcPr>
                <w:p w:rsidR="0022189F" w:rsidRPr="00416F94" w:rsidRDefault="0022189F" w:rsidP="0022189F">
                  <w:pPr>
                    <w:keepNext/>
                    <w:keepLines/>
                    <w:spacing w:after="0"/>
                    <w:jc w:val="center"/>
                    <w:rPr>
                      <w:rFonts w:ascii="Arial" w:hAnsi="Arial" w:cs="Arial"/>
                      <w:b/>
                      <w:sz w:val="18"/>
                    </w:rPr>
                  </w:pPr>
                  <w:r>
                    <w:rPr>
                      <w:rFonts w:ascii="Arial" w:hAnsi="Arial" w:cs="Arial"/>
                      <w:b/>
                      <w:sz w:val="18"/>
                    </w:rPr>
                    <w:t xml:space="preserve">3, </w:t>
                  </w:r>
                  <w:r w:rsidRPr="00416F94">
                    <w:rPr>
                      <w:rFonts w:ascii="Arial" w:hAnsi="Arial" w:cs="Arial"/>
                      <w:b/>
                      <w:sz w:val="18"/>
                    </w:rPr>
                    <w:t>5, 10, 15, 20</w:t>
                  </w:r>
                </w:p>
              </w:tc>
              <w:tc>
                <w:tcPr>
                  <w:tcW w:w="3118" w:type="dxa"/>
                  <w:vAlign w:val="center"/>
                </w:tcPr>
                <w:p w:rsidR="0022189F" w:rsidRPr="00416F94" w:rsidRDefault="0022189F" w:rsidP="0022189F">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rsidR="0022189F" w:rsidRPr="00416F94" w:rsidRDefault="0022189F" w:rsidP="0022189F">
                  <w:pPr>
                    <w:keepNext/>
                    <w:keepLines/>
                    <w:spacing w:after="0"/>
                    <w:jc w:val="center"/>
                    <w:rPr>
                      <w:rFonts w:ascii="Arial" w:hAnsi="Arial" w:cs="Arial"/>
                      <w:b/>
                      <w:sz w:val="18"/>
                    </w:rPr>
                  </w:pPr>
                  <w:r w:rsidRPr="00416F94">
                    <w:rPr>
                      <w:rFonts w:ascii="Arial" w:hAnsi="Arial" w:cs="Arial"/>
                      <w:b/>
                      <w:sz w:val="18"/>
                    </w:rPr>
                    <w:t>60, 70, 80, 90, 100</w:t>
                  </w:r>
                </w:p>
              </w:tc>
            </w:tr>
            <w:tr w:rsidR="0022189F" w:rsidRPr="00416F94" w:rsidTr="0045062A">
              <w:trPr>
                <w:trHeight w:val="187"/>
                <w:jc w:val="center"/>
              </w:trPr>
              <w:tc>
                <w:tcPr>
                  <w:tcW w:w="1515" w:type="dxa"/>
                  <w:tcBorders>
                    <w:bottom w:val="nil"/>
                  </w:tcBorders>
                  <w:shd w:val="clear" w:color="auto" w:fill="auto"/>
                  <w:vAlign w:val="center"/>
                </w:tcPr>
                <w:p w:rsidR="0022189F" w:rsidRPr="00416F94" w:rsidRDefault="0022189F" w:rsidP="0022189F">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rsidR="0022189F" w:rsidRPr="00416F94" w:rsidRDefault="0022189F" w:rsidP="0022189F">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rsidR="0022189F" w:rsidRPr="00416F94" w:rsidRDefault="0022189F" w:rsidP="0022189F">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rsidR="0022189F" w:rsidRPr="00416F94" w:rsidRDefault="0022189F" w:rsidP="0022189F">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w:t>
                  </w:r>
                  <w:proofErr w:type="spellStart"/>
                  <w:r w:rsidRPr="00416F94">
                    <w:rPr>
                      <w:rFonts w:ascii="Arial" w:hAnsi="Arial" w:cs="Arial"/>
                      <w:sz w:val="18"/>
                      <w:szCs w:val="18"/>
                    </w:rPr>
                    <w:t>BW</w:t>
                  </w:r>
                  <w:r w:rsidRPr="00416F94">
                    <w:rPr>
                      <w:rFonts w:ascii="Arial" w:hAnsi="Arial" w:cs="Arial"/>
                      <w:sz w:val="18"/>
                      <w:szCs w:val="18"/>
                      <w:vertAlign w:val="subscript"/>
                    </w:rPr>
                    <w:t>Channel</w:t>
                  </w:r>
                  <w:proofErr w:type="spellEnd"/>
                  <w:r w:rsidRPr="00416F94">
                    <w:rPr>
                      <w:rFonts w:ascii="Arial" w:hAnsi="Arial" w:cs="Arial"/>
                      <w:sz w:val="18"/>
                      <w:szCs w:val="18"/>
                    </w:rPr>
                    <w:t xml:space="preserve"> /</w:t>
                  </w:r>
                  <w:proofErr w:type="gramStart"/>
                  <w:r w:rsidRPr="00416F94">
                    <w:rPr>
                      <w:rFonts w:ascii="Arial" w:hAnsi="Arial" w:cs="Arial"/>
                      <w:sz w:val="18"/>
                      <w:szCs w:val="18"/>
                    </w:rPr>
                    <w:t>20)</w:t>
                  </w:r>
                  <w:r w:rsidRPr="00416F94">
                    <w:rPr>
                      <w:rFonts w:ascii="Arial" w:hAnsi="Arial" w:cs="Arial"/>
                      <w:sz w:val="18"/>
                      <w:szCs w:val="18"/>
                      <w:vertAlign w:val="superscript"/>
                    </w:rPr>
                    <w:t>Note</w:t>
                  </w:r>
                  <w:proofErr w:type="gramEnd"/>
                  <w:r w:rsidRPr="00416F94">
                    <w:rPr>
                      <w:rFonts w:ascii="Arial" w:hAnsi="Arial" w:cs="Arial"/>
                      <w:sz w:val="18"/>
                      <w:szCs w:val="18"/>
                      <w:vertAlign w:val="superscript"/>
                    </w:rPr>
                    <w:t xml:space="preserve"> 2</w:t>
                  </w:r>
                </w:p>
              </w:tc>
              <w:tc>
                <w:tcPr>
                  <w:tcW w:w="1985" w:type="dxa"/>
                  <w:vAlign w:val="center"/>
                </w:tcPr>
                <w:p w:rsidR="0022189F" w:rsidRPr="00416F94" w:rsidRDefault="0022189F" w:rsidP="0022189F">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22189F" w:rsidRPr="00416F94" w:rsidTr="0045062A">
              <w:trPr>
                <w:trHeight w:val="187"/>
                <w:jc w:val="center"/>
              </w:trPr>
              <w:tc>
                <w:tcPr>
                  <w:tcW w:w="1515" w:type="dxa"/>
                  <w:tcBorders>
                    <w:top w:val="nil"/>
                  </w:tcBorders>
                  <w:shd w:val="clear" w:color="auto" w:fill="auto"/>
                  <w:vAlign w:val="center"/>
                </w:tcPr>
                <w:p w:rsidR="0022189F" w:rsidRPr="00416F94" w:rsidRDefault="0022189F" w:rsidP="0022189F">
                  <w:pPr>
                    <w:keepNext/>
                    <w:keepLines/>
                    <w:spacing w:after="0"/>
                    <w:jc w:val="center"/>
                    <w:rPr>
                      <w:rFonts w:ascii="Arial" w:hAnsi="Arial" w:cs="Arial"/>
                      <w:sz w:val="18"/>
                    </w:rPr>
                  </w:pPr>
                </w:p>
              </w:tc>
              <w:tc>
                <w:tcPr>
                  <w:tcW w:w="817" w:type="dxa"/>
                  <w:tcBorders>
                    <w:top w:val="nil"/>
                  </w:tcBorders>
                  <w:shd w:val="clear" w:color="auto" w:fill="auto"/>
                  <w:vAlign w:val="center"/>
                </w:tcPr>
                <w:p w:rsidR="0022189F" w:rsidRPr="00416F94" w:rsidRDefault="0022189F" w:rsidP="0022189F">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rsidR="0022189F" w:rsidRPr="00416F94" w:rsidRDefault="0022189F" w:rsidP="0022189F">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w:t>
                  </w:r>
                  <w:r w:rsidRPr="0022189F">
                    <w:rPr>
                      <w:rFonts w:ascii="Arial" w:hAnsi="Arial" w:cs="Arial"/>
                      <w:sz w:val="18"/>
                      <w:highlight w:val="yellow"/>
                      <w:vertAlign w:val="superscript"/>
                      <w:lang w:eastAsia="zh-CN"/>
                    </w:rPr>
                    <w:t>5</w:t>
                  </w:r>
                </w:p>
              </w:tc>
              <w:tc>
                <w:tcPr>
                  <w:tcW w:w="3118" w:type="dxa"/>
                  <w:tcBorders>
                    <w:top w:val="single" w:sz="4" w:space="0" w:color="auto"/>
                    <w:left w:val="single" w:sz="4" w:space="0" w:color="auto"/>
                    <w:bottom w:val="single" w:sz="4" w:space="0" w:color="auto"/>
                    <w:right w:val="single" w:sz="4" w:space="0" w:color="auto"/>
                  </w:tcBorders>
                  <w:vAlign w:val="center"/>
                </w:tcPr>
                <w:p w:rsidR="0022189F" w:rsidRPr="00416F94" w:rsidRDefault="0022189F" w:rsidP="0022189F">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3,</w:t>
                  </w:r>
                  <w:r w:rsidRPr="0022189F">
                    <w:rPr>
                      <w:rFonts w:ascii="Arial" w:hAnsi="Arial" w:cs="Arial"/>
                      <w:sz w:val="18"/>
                      <w:szCs w:val="18"/>
                      <w:highlight w:val="yellow"/>
                      <w:vertAlign w:val="superscript"/>
                    </w:rPr>
                    <w:t>5</w:t>
                  </w:r>
                </w:p>
              </w:tc>
              <w:tc>
                <w:tcPr>
                  <w:tcW w:w="1985" w:type="dxa"/>
                  <w:tcBorders>
                    <w:top w:val="single" w:sz="4" w:space="0" w:color="auto"/>
                    <w:left w:val="single" w:sz="4" w:space="0" w:color="auto"/>
                    <w:bottom w:val="single" w:sz="4" w:space="0" w:color="auto"/>
                    <w:right w:val="single" w:sz="4" w:space="0" w:color="auto"/>
                  </w:tcBorders>
                  <w:vAlign w:val="center"/>
                </w:tcPr>
                <w:p w:rsidR="0022189F" w:rsidRPr="00416F94" w:rsidRDefault="0022189F" w:rsidP="0022189F">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w:t>
                  </w:r>
                  <w:r w:rsidRPr="0022189F">
                    <w:rPr>
                      <w:rFonts w:ascii="Arial" w:hAnsi="Arial" w:cs="Arial"/>
                      <w:sz w:val="18"/>
                      <w:highlight w:val="yellow"/>
                      <w:vertAlign w:val="superscript"/>
                      <w:lang w:eastAsia="zh-CN"/>
                    </w:rPr>
                    <w:t>5</w:t>
                  </w:r>
                </w:p>
              </w:tc>
            </w:tr>
            <w:tr w:rsidR="0022189F" w:rsidRPr="00416F94" w:rsidTr="0045062A">
              <w:trPr>
                <w:trHeight w:val="398"/>
                <w:jc w:val="center"/>
              </w:trPr>
              <w:tc>
                <w:tcPr>
                  <w:tcW w:w="8784" w:type="dxa"/>
                  <w:gridSpan w:val="5"/>
                </w:tcPr>
                <w:p w:rsidR="0022189F" w:rsidRDefault="0022189F" w:rsidP="0022189F">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rsidR="0022189F" w:rsidRDefault="0022189F" w:rsidP="0022189F">
                  <w:pPr>
                    <w:pStyle w:val="TAN"/>
                  </w:pPr>
                  <w:r>
                    <w:t>NOTE 2:</w:t>
                  </w:r>
                  <w:r>
                    <w:tab/>
                    <w:t>Reference measurement channel is A.3.2.3 or A.3.3.3 for 64 QAM.</w:t>
                  </w:r>
                </w:p>
                <w:p w:rsidR="0022189F" w:rsidRDefault="0022189F" w:rsidP="0022189F">
                  <w:pPr>
                    <w:pStyle w:val="TAN"/>
                  </w:pPr>
                  <w:r>
                    <w:t xml:space="preserve">NOTE </w:t>
                  </w:r>
                  <w:r>
                    <w:rPr>
                      <w:lang w:eastAsia="zh-CN"/>
                    </w:rPr>
                    <w:t>3</w:t>
                  </w:r>
                  <w:r>
                    <w:t>:</w:t>
                  </w:r>
                  <w:r>
                    <w:tab/>
                    <w:t>Reference measurement channel is A.3.2.4 or A.3.3.4 for 256 QAM.</w:t>
                  </w:r>
                </w:p>
                <w:p w:rsidR="0022189F" w:rsidRDefault="0022189F" w:rsidP="0022189F">
                  <w:pPr>
                    <w:pStyle w:val="TAN"/>
                    <w:rPr>
                      <w:szCs w:val="18"/>
                    </w:rPr>
                  </w:pPr>
                  <w:r>
                    <w:t xml:space="preserve">NOTE </w:t>
                  </w:r>
                  <w:r>
                    <w:rPr>
                      <w:lang w:eastAsia="zh-CN"/>
                    </w:rPr>
                    <w:t>4</w:t>
                  </w:r>
                  <w:r>
                    <w:t>:</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w:t>
                  </w:r>
                  <w:r>
                    <w:rPr>
                      <w:szCs w:val="18"/>
                    </w:rPr>
                    <w:t>is rounded to the nearest 0.5dB value.</w:t>
                  </w:r>
                </w:p>
                <w:p w:rsidR="0022189F" w:rsidRPr="00416F94" w:rsidRDefault="0022189F" w:rsidP="0022189F">
                  <w:pPr>
                    <w:pStyle w:val="TAN"/>
                  </w:pPr>
                  <w:r w:rsidRPr="0022189F">
                    <w:rPr>
                      <w:rFonts w:eastAsia="等线" w:hint="eastAsia"/>
                      <w:highlight w:val="yellow"/>
                      <w:lang w:eastAsia="zh-CN"/>
                    </w:rPr>
                    <w:t xml:space="preserve">NOTE </w:t>
                  </w:r>
                  <w:r w:rsidRPr="0022189F">
                    <w:rPr>
                      <w:rFonts w:eastAsia="等线"/>
                      <w:highlight w:val="yellow"/>
                      <w:lang w:eastAsia="zh-CN"/>
                    </w:rPr>
                    <w:t>5</w:t>
                  </w:r>
                  <w:r w:rsidRPr="0022189F">
                    <w:rPr>
                      <w:rFonts w:eastAsia="等线" w:hint="eastAsia"/>
                      <w:highlight w:val="yellow"/>
                      <w:lang w:eastAsia="zh-CN"/>
                    </w:rPr>
                    <w:t>:</w:t>
                  </w:r>
                  <w:r w:rsidRPr="0022189F">
                    <w:rPr>
                      <w:rFonts w:eastAsia="等线"/>
                      <w:highlight w:val="yellow"/>
                    </w:rPr>
                    <w:tab/>
                  </w:r>
                  <w:r w:rsidRPr="0022189F">
                    <w:rPr>
                      <w:rFonts w:eastAsia="等线" w:hint="eastAsia"/>
                      <w:highlight w:val="yellow"/>
                      <w:lang w:eastAsia="zh-CN"/>
                    </w:rPr>
                    <w:t xml:space="preserve"> </w:t>
                  </w:r>
                  <w:r w:rsidRPr="0022189F">
                    <w:rPr>
                      <w:rFonts w:eastAsia="等线"/>
                      <w:highlight w:val="yellow"/>
                    </w:rPr>
                    <w:t xml:space="preserve">Reference measurement channel is </w:t>
                  </w:r>
                  <w:r w:rsidRPr="0022189F">
                    <w:rPr>
                      <w:rFonts w:eastAsia="等线"/>
                      <w:highlight w:val="yellow"/>
                      <w:lang w:val="en-US" w:eastAsia="zh-CN"/>
                    </w:rPr>
                    <w:t>A.3.2.5</w:t>
                  </w:r>
                  <w:r w:rsidRPr="0022189F">
                    <w:rPr>
                      <w:highlight w:val="yellow"/>
                    </w:rPr>
                    <w:t xml:space="preserve"> </w:t>
                  </w:r>
                  <w:r w:rsidRPr="0022189F">
                    <w:rPr>
                      <w:rFonts w:eastAsia="等线"/>
                      <w:highlight w:val="yellow"/>
                      <w:lang w:val="en-US" w:eastAsia="zh-CN"/>
                    </w:rPr>
                    <w:t>or A.3.3.5</w:t>
                  </w:r>
                  <w:r w:rsidRPr="0022189F">
                    <w:rPr>
                      <w:rFonts w:eastAsia="等线"/>
                      <w:highlight w:val="yellow"/>
                    </w:rPr>
                    <w:t xml:space="preserve"> for </w:t>
                  </w:r>
                  <w:r w:rsidRPr="0022189F">
                    <w:rPr>
                      <w:rFonts w:eastAsia="等线" w:hint="eastAsia"/>
                      <w:highlight w:val="yellow"/>
                      <w:lang w:eastAsia="zh-CN"/>
                    </w:rPr>
                    <w:t>1024</w:t>
                  </w:r>
                  <w:r w:rsidRPr="0022189F">
                    <w:rPr>
                      <w:rFonts w:eastAsia="等线"/>
                      <w:highlight w:val="yellow"/>
                    </w:rPr>
                    <w:t xml:space="preserve"> QAM.</w:t>
                  </w:r>
                </w:p>
              </w:tc>
            </w:tr>
          </w:tbl>
          <w:p w:rsidR="0022189F" w:rsidRDefault="0022189F" w:rsidP="004736D4">
            <w:pPr>
              <w:rPr>
                <w:rFonts w:eastAsiaTheme="minorEastAsia"/>
                <w:lang w:eastAsia="zh-CN"/>
              </w:rPr>
            </w:pPr>
          </w:p>
        </w:tc>
      </w:tr>
    </w:tbl>
    <w:p w:rsidR="0022189F" w:rsidRDefault="0022189F" w:rsidP="004736D4">
      <w:pPr>
        <w:rPr>
          <w:rFonts w:eastAsiaTheme="minorEastAsia"/>
          <w:lang w:eastAsia="zh-CN"/>
        </w:rPr>
      </w:pPr>
    </w:p>
    <w:p w:rsidR="004F3E49" w:rsidRDefault="00416A86" w:rsidP="004736D4">
      <w:pPr>
        <w:rPr>
          <w:rFonts w:eastAsiaTheme="minorEastAsia"/>
          <w:lang w:eastAsia="zh-CN"/>
        </w:rPr>
      </w:pPr>
      <w:r>
        <w:rPr>
          <w:rFonts w:eastAsiaTheme="minorEastAsia"/>
          <w:lang w:eastAsia="zh-CN"/>
        </w:rPr>
        <w:t>On one hand, there is a greater chance to achieve a good DL SNR for 1024QAM deployment</w:t>
      </w:r>
      <w:r w:rsidRPr="00416A86">
        <w:rPr>
          <w:rFonts w:eastAsiaTheme="minorEastAsia" w:hint="eastAsia"/>
          <w:lang w:eastAsia="zh-CN"/>
        </w:rPr>
        <w:t xml:space="preserve"> </w:t>
      </w:r>
      <w:r>
        <w:rPr>
          <w:rFonts w:eastAsiaTheme="minorEastAsia"/>
          <w:lang w:eastAsia="zh-CN"/>
        </w:rPr>
        <w:t xml:space="preserve">for ATG scenario. On the other hand, from UE implementation perspective, ATG UE may have more difficulties to implement DL 1024QAM than </w:t>
      </w:r>
      <w:r w:rsidR="004F3E49">
        <w:rPr>
          <w:rFonts w:eastAsiaTheme="minorEastAsia"/>
          <w:lang w:eastAsia="zh-CN"/>
        </w:rPr>
        <w:t>general CPE. However, this capability can be optional. Thus, we’d like to propose the following two options to finalize this issue in Rel-18.</w:t>
      </w:r>
    </w:p>
    <w:p w:rsidR="004736D4" w:rsidRDefault="00CB0162" w:rsidP="004736D4">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sidR="00944943">
        <w:rPr>
          <w:rFonts w:eastAsiaTheme="minorEastAsia"/>
          <w:b/>
          <w:lang w:eastAsia="zh-CN"/>
        </w:rPr>
        <w:t>1</w:t>
      </w:r>
      <w:r w:rsidRPr="00483D01">
        <w:rPr>
          <w:rFonts w:eastAsiaTheme="minorEastAsia"/>
          <w:b/>
          <w:lang w:eastAsia="zh-CN"/>
        </w:rPr>
        <w:t>:</w:t>
      </w:r>
      <w:r>
        <w:rPr>
          <w:rFonts w:eastAsiaTheme="minorEastAsia"/>
          <w:b/>
          <w:lang w:eastAsia="zh-CN"/>
        </w:rPr>
        <w:t xml:space="preserve"> </w:t>
      </w:r>
      <w:r w:rsidR="004F3E49">
        <w:rPr>
          <w:rFonts w:eastAsiaTheme="minorEastAsia"/>
          <w:b/>
          <w:lang w:eastAsia="zh-CN"/>
        </w:rPr>
        <w:t xml:space="preserve">the </w:t>
      </w:r>
      <w:r w:rsidR="004F3E49" w:rsidRPr="004F3E49">
        <w:rPr>
          <w:rFonts w:eastAsiaTheme="minorEastAsia"/>
          <w:b/>
          <w:lang w:eastAsia="zh-CN"/>
        </w:rPr>
        <w:t xml:space="preserve">following two options </w:t>
      </w:r>
      <w:r w:rsidR="004F3E49">
        <w:rPr>
          <w:rFonts w:eastAsiaTheme="minorEastAsia"/>
          <w:b/>
          <w:lang w:eastAsia="zh-CN"/>
        </w:rPr>
        <w:t>are listed to address this 1024QAM issue</w:t>
      </w:r>
      <w:r w:rsidR="00EB2EF4">
        <w:rPr>
          <w:rFonts w:eastAsiaTheme="minorEastAsia"/>
          <w:b/>
          <w:lang w:eastAsia="zh-CN"/>
        </w:rPr>
        <w:t xml:space="preserve"> for ATG UE</w:t>
      </w:r>
      <w:r w:rsidRPr="00CB0162">
        <w:rPr>
          <w:rFonts w:eastAsiaTheme="minorEastAsia"/>
          <w:b/>
          <w:lang w:eastAsia="zh-CN"/>
        </w:rPr>
        <w:t>.</w:t>
      </w:r>
    </w:p>
    <w:p w:rsidR="004F3E49" w:rsidRDefault="004F3E49" w:rsidP="004736D4">
      <w:pPr>
        <w:rPr>
          <w:rFonts w:eastAsiaTheme="minorEastAsia"/>
          <w:b/>
          <w:lang w:eastAsia="zh-CN"/>
        </w:rPr>
      </w:pPr>
      <w:r>
        <w:rPr>
          <w:rFonts w:eastAsiaTheme="minorEastAsia"/>
          <w:lang w:eastAsia="zh-CN"/>
        </w:rPr>
        <w:tab/>
      </w:r>
      <w:r w:rsidRPr="004F3E49">
        <w:rPr>
          <w:rFonts w:eastAsiaTheme="minorEastAsia"/>
          <w:b/>
          <w:lang w:eastAsia="zh-CN"/>
        </w:rPr>
        <w:t xml:space="preserve">Option 1: </w:t>
      </w:r>
      <w:r>
        <w:rPr>
          <w:rFonts w:eastAsiaTheme="minorEastAsia"/>
          <w:b/>
          <w:lang w:eastAsia="zh-CN"/>
        </w:rPr>
        <w:t>1024QAM can be supported by ATG UE optionally since Rel-18.</w:t>
      </w:r>
    </w:p>
    <w:p w:rsidR="004513A1" w:rsidRPr="004736D4" w:rsidRDefault="004F3E49" w:rsidP="004513A1">
      <w:pPr>
        <w:rPr>
          <w:rFonts w:eastAsiaTheme="minorEastAsia"/>
          <w:lang w:eastAsia="zh-CN"/>
        </w:rPr>
      </w:pPr>
      <w:r>
        <w:rPr>
          <w:rFonts w:eastAsiaTheme="minorEastAsia"/>
          <w:lang w:eastAsia="zh-CN"/>
        </w:rPr>
        <w:tab/>
      </w:r>
      <w:r w:rsidRPr="004F3E49">
        <w:rPr>
          <w:rFonts w:eastAsiaTheme="minorEastAsia"/>
          <w:b/>
          <w:lang w:eastAsia="zh-CN"/>
        </w:rPr>
        <w:t xml:space="preserve">Option 2: </w:t>
      </w:r>
      <w:r>
        <w:rPr>
          <w:rFonts w:eastAsiaTheme="minorEastAsia"/>
          <w:b/>
          <w:lang w:eastAsia="zh-CN"/>
        </w:rPr>
        <w:t>1024QAM is not supported by ATG UE in Rel-18, but whether to support 1024QAM for ATG UE can be discussed in future release.</w:t>
      </w:r>
    </w:p>
    <w:p w:rsidR="00845003" w:rsidRDefault="00845003" w:rsidP="00845003">
      <w:pPr>
        <w:pStyle w:val="1"/>
        <w:rPr>
          <w:lang w:eastAsia="zh-CN"/>
        </w:rPr>
      </w:pPr>
      <w:r>
        <w:rPr>
          <w:lang w:eastAsia="zh-CN"/>
        </w:rPr>
        <w:t>Summary</w:t>
      </w:r>
    </w:p>
    <w:p w:rsidR="00EB2EF4" w:rsidRDefault="00EB2EF4" w:rsidP="00EB2EF4">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the </w:t>
      </w:r>
      <w:r w:rsidRPr="004F3E49">
        <w:rPr>
          <w:rFonts w:eastAsiaTheme="minorEastAsia"/>
          <w:b/>
          <w:lang w:eastAsia="zh-CN"/>
        </w:rPr>
        <w:t xml:space="preserve">following two options </w:t>
      </w:r>
      <w:r>
        <w:rPr>
          <w:rFonts w:eastAsiaTheme="minorEastAsia"/>
          <w:b/>
          <w:lang w:eastAsia="zh-CN"/>
        </w:rPr>
        <w:t>are listed to address this 1024QAM issue for ATG UE</w:t>
      </w:r>
      <w:r w:rsidRPr="00CB0162">
        <w:rPr>
          <w:rFonts w:eastAsiaTheme="minorEastAsia"/>
          <w:b/>
          <w:lang w:eastAsia="zh-CN"/>
        </w:rPr>
        <w:t>.</w:t>
      </w:r>
    </w:p>
    <w:p w:rsidR="00EB2EF4" w:rsidRDefault="00EB2EF4" w:rsidP="00EB2EF4">
      <w:pPr>
        <w:rPr>
          <w:rFonts w:eastAsiaTheme="minorEastAsia"/>
          <w:b/>
          <w:lang w:eastAsia="zh-CN"/>
        </w:rPr>
      </w:pPr>
      <w:r>
        <w:rPr>
          <w:rFonts w:eastAsiaTheme="minorEastAsia"/>
          <w:lang w:eastAsia="zh-CN"/>
        </w:rPr>
        <w:tab/>
      </w:r>
      <w:r w:rsidRPr="004F3E49">
        <w:rPr>
          <w:rFonts w:eastAsiaTheme="minorEastAsia"/>
          <w:b/>
          <w:lang w:eastAsia="zh-CN"/>
        </w:rPr>
        <w:t xml:space="preserve">Option 1: </w:t>
      </w:r>
      <w:r>
        <w:rPr>
          <w:rFonts w:eastAsiaTheme="minorEastAsia"/>
          <w:b/>
          <w:lang w:eastAsia="zh-CN"/>
        </w:rPr>
        <w:t>1024QAM can be supported by ATG UE optionally since Rel-18.</w:t>
      </w:r>
    </w:p>
    <w:p w:rsidR="00EB2EF4" w:rsidRPr="00EB2EF4" w:rsidRDefault="00EB2EF4" w:rsidP="008C5F47">
      <w:pPr>
        <w:rPr>
          <w:rFonts w:eastAsiaTheme="minorEastAsia"/>
          <w:b/>
          <w:lang w:eastAsia="zh-CN"/>
        </w:rPr>
      </w:pPr>
      <w:r>
        <w:rPr>
          <w:rFonts w:eastAsiaTheme="minorEastAsia"/>
          <w:lang w:eastAsia="zh-CN"/>
        </w:rPr>
        <w:tab/>
      </w:r>
      <w:r w:rsidRPr="004F3E49">
        <w:rPr>
          <w:rFonts w:eastAsiaTheme="minorEastAsia"/>
          <w:b/>
          <w:lang w:eastAsia="zh-CN"/>
        </w:rPr>
        <w:t xml:space="preserve">Option 2: </w:t>
      </w:r>
      <w:r>
        <w:rPr>
          <w:rFonts w:eastAsiaTheme="minorEastAsia"/>
          <w:b/>
          <w:lang w:eastAsia="zh-CN"/>
        </w:rPr>
        <w:t>1024QAM is not supported by ATG UE in Rel-18, but whether to support 1024QAM for ATG UE can be discussed in future release.</w:t>
      </w:r>
    </w:p>
    <w:p w:rsidR="00B02AE0" w:rsidRPr="00A81A25" w:rsidRDefault="00B02AE0" w:rsidP="00572A4C">
      <w:pPr>
        <w:pStyle w:val="1"/>
        <w:numPr>
          <w:ilvl w:val="0"/>
          <w:numId w:val="0"/>
        </w:numPr>
      </w:pPr>
      <w:r>
        <w:t>References</w:t>
      </w:r>
    </w:p>
    <w:p w:rsidR="000B1F9A" w:rsidRDefault="00B755E6" w:rsidP="00845003">
      <w:pPr>
        <w:overflowPunct/>
        <w:autoSpaceDE/>
        <w:autoSpaceDN/>
        <w:adjustRightInd/>
        <w:textAlignment w:val="auto"/>
        <w:rPr>
          <w:rFonts w:eastAsia="宋体"/>
          <w:lang w:eastAsia="zh-CN"/>
        </w:rPr>
      </w:pPr>
      <w:r>
        <w:rPr>
          <w:rFonts w:eastAsia="宋体"/>
          <w:lang w:eastAsia="zh-CN"/>
        </w:rPr>
        <w:t xml:space="preserve">[1] </w:t>
      </w:r>
    </w:p>
    <w:p w:rsidR="00900FB0" w:rsidRDefault="008F2632" w:rsidP="009724A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p>
    <w:p w:rsidR="00900FB0" w:rsidRDefault="00900FB0" w:rsidP="005C79D9">
      <w:pPr>
        <w:overflowPunct/>
        <w:autoSpaceDE/>
        <w:autoSpaceDN/>
        <w:adjustRightInd/>
        <w:textAlignment w:val="auto"/>
        <w:rPr>
          <w:rFonts w:eastAsia="宋体"/>
          <w:lang w:eastAsia="zh-CN"/>
        </w:rPr>
      </w:pPr>
    </w:p>
    <w:sectPr w:rsidR="00900FB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50F" w:rsidRDefault="0074350F">
      <w:r>
        <w:separator/>
      </w:r>
    </w:p>
  </w:endnote>
  <w:endnote w:type="continuationSeparator" w:id="0">
    <w:p w:rsidR="0074350F" w:rsidRDefault="0074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50F" w:rsidRDefault="0074350F">
      <w:r>
        <w:separator/>
      </w:r>
    </w:p>
  </w:footnote>
  <w:footnote w:type="continuationSeparator" w:id="0">
    <w:p w:rsidR="0074350F" w:rsidRDefault="00743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1"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3"/>
  </w:num>
  <w:num w:numId="5">
    <w:abstractNumId w:val="1"/>
  </w:num>
  <w:num w:numId="6">
    <w:abstractNumId w:val="11"/>
  </w:num>
  <w:num w:numId="7">
    <w:abstractNumId w:val="10"/>
  </w:num>
  <w:num w:numId="8">
    <w:abstractNumId w:val="4"/>
  </w:num>
  <w:num w:numId="9">
    <w:abstractNumId w:val="12"/>
  </w:num>
  <w:num w:numId="10">
    <w:abstractNumId w:val="0"/>
  </w:num>
  <w:num w:numId="11">
    <w:abstractNumId w:val="8"/>
  </w:num>
  <w:num w:numId="12">
    <w:abstractNumId w:val="5"/>
  </w:num>
  <w:num w:numId="13">
    <w:abstractNumId w:val="9"/>
  </w:num>
  <w:num w:numId="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7B9"/>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89F"/>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1E3"/>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A86"/>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6D4"/>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3E49"/>
    <w:rsid w:val="004F6373"/>
    <w:rsid w:val="004F6B1F"/>
    <w:rsid w:val="004F6E37"/>
    <w:rsid w:val="0050101A"/>
    <w:rsid w:val="005013B4"/>
    <w:rsid w:val="00502279"/>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3E3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37B"/>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59A"/>
    <w:rsid w:val="00690875"/>
    <w:rsid w:val="00690903"/>
    <w:rsid w:val="00690BA3"/>
    <w:rsid w:val="00690DD2"/>
    <w:rsid w:val="0069121E"/>
    <w:rsid w:val="00691346"/>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B46"/>
    <w:rsid w:val="00702D05"/>
    <w:rsid w:val="00702D63"/>
    <w:rsid w:val="00703165"/>
    <w:rsid w:val="0070391A"/>
    <w:rsid w:val="00703C33"/>
    <w:rsid w:val="0070447D"/>
    <w:rsid w:val="00704900"/>
    <w:rsid w:val="007049F2"/>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50F"/>
    <w:rsid w:val="0074366F"/>
    <w:rsid w:val="007437AE"/>
    <w:rsid w:val="00743B6B"/>
    <w:rsid w:val="00743EF3"/>
    <w:rsid w:val="00743FF7"/>
    <w:rsid w:val="0074406F"/>
    <w:rsid w:val="007444F7"/>
    <w:rsid w:val="0074451B"/>
    <w:rsid w:val="00744E19"/>
    <w:rsid w:val="0074553D"/>
    <w:rsid w:val="0074615B"/>
    <w:rsid w:val="007461FB"/>
    <w:rsid w:val="0074654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4AB"/>
    <w:rsid w:val="007D26C1"/>
    <w:rsid w:val="007D2B2E"/>
    <w:rsid w:val="007D2D68"/>
    <w:rsid w:val="007D2E32"/>
    <w:rsid w:val="007D382E"/>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AAB"/>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24AB"/>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BB9"/>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18B"/>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710"/>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E7D28"/>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A69"/>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2EF4"/>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1E0B"/>
    <w:rsid w:val="00F7219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587"/>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9E8"/>
    <w:rsid w:val="00FD32F8"/>
    <w:rsid w:val="00FD418C"/>
    <w:rsid w:val="00FD41E0"/>
    <w:rsid w:val="00FD5731"/>
    <w:rsid w:val="00FD63F9"/>
    <w:rsid w:val="00FD65C6"/>
    <w:rsid w:val="00FD69E7"/>
    <w:rsid w:val="00FD7538"/>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1CD7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Reference">
    <w:name w:val="Reference"/>
    <w:basedOn w:val="a1"/>
    <w:qFormat/>
    <w:rsid w:val="0022189F"/>
    <w:pPr>
      <w:keepLines/>
      <w:numPr>
        <w:ilvl w:val="1"/>
        <w:numId w:val="13"/>
      </w:numPr>
      <w:tabs>
        <w:tab w:val="left" w:pos="-1985"/>
      </w:tabs>
      <w:overflowPunct/>
      <w:autoSpaceDE/>
      <w:autoSpaceDN/>
      <w:adjustRightInd/>
      <w:textAlignment w:val="auto"/>
    </w:pPr>
    <w:rPr>
      <w:rFonts w:eastAsia="MS Mincho"/>
    </w:rPr>
  </w:style>
  <w:style w:type="paragraph" w:customStyle="1" w:styleId="B1">
    <w:name w:val="B1+"/>
    <w:basedOn w:val="B10"/>
    <w:qFormat/>
    <w:rsid w:val="0022189F"/>
    <w:pPr>
      <w:numPr>
        <w:numId w:val="14"/>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32191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1C0F8-AD23-4EBF-9F2B-8BF2814AD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31804</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518</cp:revision>
  <cp:lastPrinted>2010-01-07T02:23:00Z</cp:lastPrinted>
  <dcterms:created xsi:type="dcterms:W3CDTF">2021-02-10T02:54:00Z</dcterms:created>
  <dcterms:modified xsi:type="dcterms:W3CDTF">2024-02-19T13:16:00Z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(3)vaS5ZRwUZ2/5iND1qKHR+vY+v+dR4Nqf80fYbAbo6CfMnkwCa9z0wBDJYCKo8bgTTEQnVBLE
ATMAY8qTDuLh8ItDBzHl7/O1wTBWE6ficRG83mf04pM9ux12U2ZGuw9ZyH4X/bFkjKVaHEfq
ustm92sxBoCMUfmp56YCi7X2U7Q97Y+lzQIX07L61mcKCJoNvCz7Sl+wyA9Dla+58oHdIbHz
vG6mmZDabh6HbbBq6Y</vt:lpwstr>
  </property>
  <property fmtid="{D5CDD505-2E9C-101B-9397-08002B2CF9AE}" pid="3" name="_2015_ms_pID_725343_00">
    <vt:lpwstr>_2015_ms_pID_725343</vt:lpwstr>
  </property>
  <property fmtid="{D5CDD505-2E9C-101B-9397-08002B2CF9AE}" pid="4" name="_2015_ms_pID_7253431">
    <vt:lpwstr>gJpD64/pt3DI5InOU5DMFOmlWbPDt9TbnqEj/w6eesGtS43Pp05KRn
Xvz/jBTCMOiEkCDUK0m+gm6/GuxaQlX1ebHhUppziv0tGfgBN2B3TGSQn3YvT8gjQZCD347g
Sjbp5/33wAv+MZLDsmqB1BtZoD3DJyEOTWTdxjXnNGLIooRZhLS8Z8JjYUMN8ns2i2GUj61y
uiLyCkqEKnoFRRI/1MgB9QsUFYm5k+YWJ1gI</vt:lpwstr>
  </property>
  <property fmtid="{D5CDD505-2E9C-101B-9397-08002B2CF9AE}" pid="5" name="_2015_ms_pID_7253431_00">
    <vt:lpwstr>_2015_ms_pID_7253431</vt:lpwstr>
  </property>
  <property fmtid="{D5CDD505-2E9C-101B-9397-08002B2CF9AE}" pid="6" name="_2015_ms_pID_7253432">
    <vt:lpwstr>V19gdcja5d84//BZWyfTAzaYjUSUd52DUa01
6ooBV4F06//IFODBDt2c4mVG9572b66jsTobwNDOqVFFxdwgfTc=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