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514D7BE2"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w:t>
      </w:r>
      <w:r w:rsidR="009B18BC">
        <w:rPr>
          <w:rFonts w:cs="Arial"/>
          <w:b/>
          <w:sz w:val="24"/>
          <w:lang w:val="en-US" w:eastAsia="zh-CN"/>
        </w:rPr>
        <w:t>10</w:t>
      </w:r>
      <w:r w:rsidR="007D4E93" w:rsidRPr="007D4E93">
        <w:rPr>
          <w:rFonts w:cs="Arial"/>
          <w:b/>
          <w:sz w:val="24"/>
          <w:lang w:val="en-US" w:eastAsia="zh-CN"/>
        </w:rPr>
        <w:tab/>
      </w:r>
      <w:bookmarkStart w:id="2" w:name="_GoBack"/>
      <w:r w:rsidR="00D95D7F" w:rsidRPr="00D95D7F">
        <w:rPr>
          <w:rFonts w:eastAsia="宋体" w:cs="Arial"/>
          <w:b/>
          <w:sz w:val="24"/>
          <w:lang w:val="en-US" w:eastAsia="zh-CN"/>
        </w:rPr>
        <w:t>R4-2401344</w:t>
      </w:r>
      <w:bookmarkEnd w:id="2"/>
    </w:p>
    <w:p w14:paraId="245253B7" w14:textId="6FC4AF29" w:rsidR="00DE11B8" w:rsidRPr="0061575F" w:rsidRDefault="00B773C9" w:rsidP="00DE11B8">
      <w:pPr>
        <w:pStyle w:val="a3"/>
        <w:tabs>
          <w:tab w:val="left" w:pos="2160"/>
        </w:tabs>
        <w:ind w:left="2127" w:hanging="2127"/>
        <w:jc w:val="both"/>
        <w:rPr>
          <w:rFonts w:eastAsia="宋体" w:cs="Arial"/>
          <w:noProof w:val="0"/>
          <w:sz w:val="24"/>
        </w:rPr>
      </w:pPr>
      <w:r w:rsidRPr="00B773C9">
        <w:rPr>
          <w:rFonts w:cs="Arial"/>
          <w:noProof w:val="0"/>
          <w:sz w:val="24"/>
        </w:rPr>
        <w:t>Chicago, US, November 13 – 17, 2023</w:t>
      </w:r>
    </w:p>
    <w:bookmarkEnd w:id="0"/>
    <w:bookmarkEnd w:id="1"/>
    <w:p w14:paraId="05625486" w14:textId="77777777" w:rsidR="00070561" w:rsidRPr="00DE11B8" w:rsidRDefault="00070561" w:rsidP="00F90E24">
      <w:pPr>
        <w:pStyle w:val="a5"/>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 xml:space="preserve">improvement on FR2 </w:t>
      </w:r>
      <w:proofErr w:type="spellStart"/>
      <w:r w:rsidR="00B81A29" w:rsidRPr="00B81A29">
        <w:rPr>
          <w:rFonts w:ascii="Arial" w:eastAsia="宋体" w:hAnsi="Arial"/>
          <w:b/>
          <w:sz w:val="24"/>
          <w:lang w:val="en-US" w:eastAsia="zh-CN"/>
        </w:rPr>
        <w:t>SCell</w:t>
      </w:r>
      <w:proofErr w:type="spellEnd"/>
      <w:r w:rsidR="00B81A29" w:rsidRPr="00B81A29">
        <w:rPr>
          <w:rFonts w:ascii="Arial" w:eastAsia="宋体" w:hAnsi="Arial"/>
          <w:b/>
          <w:sz w:val="24"/>
          <w:lang w:val="en-US" w:eastAsia="zh-CN"/>
        </w:rPr>
        <w:t>/SCG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B5907B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E7829">
        <w:rPr>
          <w:rFonts w:ascii="Arial" w:eastAsia="宋体" w:hAnsi="Arial"/>
          <w:b/>
          <w:sz w:val="24"/>
          <w:lang w:val="en-US" w:eastAsia="zh-CN"/>
        </w:rPr>
        <w:t>8</w:t>
      </w:r>
      <w:r w:rsidR="00FF4D1A" w:rsidRPr="00FF4D1A">
        <w:rPr>
          <w:rFonts w:ascii="Arial" w:eastAsia="宋体" w:hAnsi="Arial"/>
          <w:b/>
          <w:sz w:val="24"/>
          <w:lang w:val="en-US" w:eastAsia="zh-CN"/>
        </w:rPr>
        <w:t>.</w:t>
      </w:r>
      <w:r w:rsidR="009B18BC">
        <w:rPr>
          <w:rFonts w:ascii="Arial" w:eastAsia="宋体" w:hAnsi="Arial"/>
          <w:b/>
          <w:sz w:val="24"/>
          <w:lang w:val="en-US" w:eastAsia="zh-CN"/>
        </w:rPr>
        <w:t>16.1.3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04FDDEB5"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w:t>
      </w:r>
      <w:r w:rsidR="0077776F">
        <w:rPr>
          <w:rFonts w:eastAsiaTheme="minorEastAsia"/>
          <w:lang w:val="en-US" w:eastAsia="zh-CN"/>
        </w:rPr>
        <w:t xml:space="preserve"> the solution based on existing measurement</w:t>
      </w:r>
      <w:r w:rsidR="00F31620">
        <w:rPr>
          <w:rFonts w:eastAsiaTheme="minorEastAsia"/>
          <w:lang w:val="en-US" w:eastAsia="zh-CN"/>
        </w:rPr>
        <w:t>.</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567ABF4D" w14:textId="545B57C3" w:rsidR="00542D33" w:rsidRDefault="00542D33" w:rsidP="00542D33">
      <w:pPr>
        <w:pStyle w:val="2"/>
        <w:rPr>
          <w:lang w:eastAsia="zh-CN"/>
        </w:rPr>
      </w:pPr>
      <w:r>
        <w:rPr>
          <w:rFonts w:hint="eastAsia"/>
          <w:lang w:eastAsia="zh-CN"/>
        </w:rPr>
        <w:t>C</w:t>
      </w:r>
      <w:r>
        <w:rPr>
          <w:lang w:eastAsia="zh-CN"/>
        </w:rPr>
        <w:t>onditions of validity check</w:t>
      </w:r>
    </w:p>
    <w:p w14:paraId="72B98E38" w14:textId="07EAD1AE" w:rsidR="00270836" w:rsidRPr="00270836" w:rsidRDefault="003866CE" w:rsidP="00270836">
      <w:pPr>
        <w:rPr>
          <w:iCs/>
          <w:lang w:val="en-US" w:eastAsia="ja-JP"/>
        </w:rPr>
      </w:pPr>
      <w:r>
        <w:rPr>
          <w:rFonts w:eastAsia="宋体"/>
          <w:lang w:eastAsia="zh-CN"/>
        </w:rPr>
        <w:t xml:space="preserve">As per RANP conclusion, R18 fast CA/DC measurement only focus on solution based on existing measurement. From RAN4 perspective, there is one minor remaining issue on </w:t>
      </w:r>
      <w:r w:rsidR="00E25F37">
        <w:rPr>
          <w:rFonts w:eastAsia="宋体"/>
          <w:lang w:eastAsia="zh-CN"/>
        </w:rPr>
        <w:t xml:space="preserve">the </w:t>
      </w:r>
      <w:r>
        <w:rPr>
          <w:rFonts w:eastAsia="宋体"/>
          <w:lang w:eastAsia="zh-CN"/>
        </w:rPr>
        <w:t>side conditions on validity check</w:t>
      </w:r>
      <w:r w:rsidR="004A329D">
        <w:rPr>
          <w:rFonts w:eastAsia="宋体"/>
          <w:lang w:eastAsia="zh-CN"/>
        </w:rPr>
        <w:t xml:space="preserve"> [1]</w:t>
      </w:r>
      <w:r>
        <w:rPr>
          <w:rFonts w:eastAsia="宋体"/>
          <w:lang w:eastAsia="zh-CN"/>
        </w:rPr>
        <w:t>.</w:t>
      </w:r>
    </w:p>
    <w:tbl>
      <w:tblPr>
        <w:tblStyle w:val="afa"/>
        <w:tblW w:w="0" w:type="auto"/>
        <w:tblLook w:val="0600" w:firstRow="0" w:lastRow="0" w:firstColumn="0" w:lastColumn="0" w:noHBand="1" w:noVBand="1"/>
      </w:tblPr>
      <w:tblGrid>
        <w:gridCol w:w="9621"/>
      </w:tblGrid>
      <w:tr w:rsidR="003866CE" w:rsidRPr="003866CE" w14:paraId="7D6FF7AC" w14:textId="77777777" w:rsidTr="003866CE">
        <w:tc>
          <w:tcPr>
            <w:tcW w:w="9621" w:type="dxa"/>
          </w:tcPr>
          <w:p w14:paraId="55D53672" w14:textId="77777777" w:rsidR="003866CE" w:rsidRPr="003866CE" w:rsidRDefault="003866CE" w:rsidP="003866CE">
            <w:pPr>
              <w:rPr>
                <w:b/>
                <w:bCs/>
                <w:color w:val="000000" w:themeColor="text1"/>
                <w:u w:val="single"/>
                <w:lang w:val="en-US" w:eastAsia="ko-KR"/>
              </w:rPr>
            </w:pPr>
            <w:r w:rsidRPr="003866CE">
              <w:rPr>
                <w:b/>
                <w:color w:val="000000" w:themeColor="text1"/>
                <w:u w:val="single"/>
                <w:lang w:val="en-US" w:eastAsia="ko-KR"/>
              </w:rPr>
              <w:t>Issue 2-2-3: side conditions</w:t>
            </w:r>
          </w:p>
          <w:p w14:paraId="6F96A886" w14:textId="77777777" w:rsidR="003866CE" w:rsidRPr="003866CE" w:rsidRDefault="003866CE" w:rsidP="003866CE">
            <w:pPr>
              <w:pStyle w:val="afe"/>
              <w:numPr>
                <w:ilvl w:val="0"/>
                <w:numId w:val="14"/>
              </w:numPr>
              <w:spacing w:after="120"/>
              <w:ind w:left="360"/>
              <w:contextualSpacing w:val="0"/>
              <w:rPr>
                <w:rFonts w:eastAsia="宋体"/>
                <w:color w:val="000000" w:themeColor="text1"/>
                <w:sz w:val="20"/>
                <w:szCs w:val="20"/>
                <w:u w:val="single"/>
                <w:lang w:val="en-US"/>
              </w:rPr>
            </w:pPr>
            <w:r w:rsidRPr="003866CE">
              <w:rPr>
                <w:rFonts w:eastAsia="宋体"/>
                <w:color w:val="000000" w:themeColor="text1"/>
                <w:sz w:val="20"/>
                <w:szCs w:val="20"/>
                <w:u w:val="single"/>
                <w:lang w:val="en-US"/>
              </w:rPr>
              <w:t>Candidate solutions:</w:t>
            </w:r>
          </w:p>
          <w:p w14:paraId="01CC1937" w14:textId="77777777" w:rsidR="003866CE" w:rsidRPr="003866CE" w:rsidRDefault="003866CE" w:rsidP="003866CE">
            <w:pPr>
              <w:pStyle w:val="afe"/>
              <w:numPr>
                <w:ilvl w:val="1"/>
                <w:numId w:val="14"/>
              </w:numPr>
              <w:spacing w:after="120"/>
              <w:ind w:left="1080"/>
              <w:contextualSpacing w:val="0"/>
              <w:rPr>
                <w:rFonts w:eastAsia="宋体"/>
                <w:color w:val="000000" w:themeColor="text1"/>
                <w:sz w:val="20"/>
                <w:szCs w:val="20"/>
                <w:lang w:val="en-US"/>
              </w:rPr>
            </w:pPr>
            <w:r w:rsidRPr="003866CE">
              <w:rPr>
                <w:rFonts w:eastAsia="宋体"/>
                <w:color w:val="000000" w:themeColor="text1"/>
                <w:sz w:val="20"/>
                <w:szCs w:val="20"/>
                <w:lang w:val="en-US"/>
              </w:rPr>
              <w:t xml:space="preserve">Proposal 1: </w:t>
            </w:r>
            <w:r w:rsidRPr="003866CE">
              <w:rPr>
                <w:rFonts w:eastAsia="宋体"/>
                <w:bCs/>
                <w:color w:val="000000" w:themeColor="text1"/>
                <w:sz w:val="20"/>
                <w:szCs w:val="20"/>
                <w:lang w:val="en-US"/>
              </w:rPr>
              <w:t>there is no cell reselection occurred before reporting</w:t>
            </w:r>
            <w:r w:rsidRPr="003866CE">
              <w:rPr>
                <w:rFonts w:eastAsia="宋体"/>
                <w:color w:val="000000" w:themeColor="text1"/>
                <w:sz w:val="20"/>
                <w:szCs w:val="20"/>
                <w:lang w:val="en-US"/>
              </w:rPr>
              <w:t>. (vivo)</w:t>
            </w:r>
          </w:p>
          <w:p w14:paraId="0DF00243" w14:textId="77777777" w:rsidR="003866CE" w:rsidRPr="003866CE" w:rsidRDefault="003866CE" w:rsidP="003866CE">
            <w:pPr>
              <w:pStyle w:val="afe"/>
              <w:numPr>
                <w:ilvl w:val="1"/>
                <w:numId w:val="14"/>
              </w:numPr>
              <w:spacing w:after="120"/>
              <w:ind w:left="1080"/>
              <w:contextualSpacing w:val="0"/>
              <w:rPr>
                <w:rFonts w:eastAsia="宋体"/>
                <w:color w:val="000000" w:themeColor="text1"/>
                <w:sz w:val="20"/>
                <w:szCs w:val="20"/>
                <w:lang w:val="en-US"/>
              </w:rPr>
            </w:pPr>
            <w:r w:rsidRPr="003866CE">
              <w:rPr>
                <w:rFonts w:eastAsia="宋体"/>
                <w:color w:val="000000" w:themeColor="text1"/>
                <w:sz w:val="20"/>
                <w:szCs w:val="20"/>
                <w:lang w:val="en-US"/>
              </w:rPr>
              <w:t xml:space="preserve">Proposal 2: </w:t>
            </w:r>
            <w:r w:rsidRPr="003866CE">
              <w:rPr>
                <w:rFonts w:eastAsia="宋体"/>
                <w:bCs/>
                <w:color w:val="000000" w:themeColor="text1"/>
                <w:sz w:val="20"/>
                <w:szCs w:val="20"/>
                <w:lang w:val="en-US"/>
              </w:rPr>
              <w:t>Reuse the same side conditions configured on RSRP or RSRQ for EMR. (MTK)</w:t>
            </w:r>
          </w:p>
          <w:p w14:paraId="4B938F6C" w14:textId="77777777" w:rsidR="003866CE" w:rsidRPr="003866CE" w:rsidRDefault="003866CE" w:rsidP="003866CE">
            <w:pPr>
              <w:pStyle w:val="afe"/>
              <w:numPr>
                <w:ilvl w:val="1"/>
                <w:numId w:val="14"/>
              </w:numPr>
              <w:spacing w:after="120"/>
              <w:ind w:left="1080"/>
              <w:contextualSpacing w:val="0"/>
              <w:rPr>
                <w:rFonts w:eastAsia="宋体"/>
                <w:color w:val="000000" w:themeColor="text1"/>
                <w:sz w:val="20"/>
                <w:szCs w:val="20"/>
                <w:lang w:val="en-US"/>
              </w:rPr>
            </w:pPr>
            <w:r w:rsidRPr="003866CE">
              <w:rPr>
                <w:rFonts w:eastAsia="宋体"/>
                <w:color w:val="000000" w:themeColor="text1"/>
                <w:sz w:val="20"/>
                <w:szCs w:val="20"/>
                <w:lang w:val="en-US"/>
              </w:rPr>
              <w:t xml:space="preserve">Proposal </w:t>
            </w:r>
            <w:r w:rsidRPr="003866CE">
              <w:rPr>
                <w:rFonts w:eastAsia="宋体"/>
                <w:bCs/>
                <w:color w:val="000000" w:themeColor="text1"/>
                <w:sz w:val="20"/>
                <w:szCs w:val="20"/>
                <w:lang w:val="en-US"/>
              </w:rPr>
              <w:t xml:space="preserve">3: </w:t>
            </w:r>
            <w:r w:rsidRPr="003866CE">
              <w:rPr>
                <w:rFonts w:eastAsia="宋体"/>
                <w:color w:val="000000" w:themeColor="text1"/>
                <w:sz w:val="20"/>
                <w:szCs w:val="20"/>
                <w:lang w:val="en-US"/>
              </w:rPr>
              <w:t>UE perform a validity check if the following conditions:</w:t>
            </w:r>
            <w:r w:rsidRPr="003866CE">
              <w:rPr>
                <w:rFonts w:eastAsia="宋体"/>
                <w:bCs/>
                <w:color w:val="000000" w:themeColor="text1"/>
                <w:sz w:val="20"/>
                <w:szCs w:val="20"/>
                <w:lang w:val="en-US"/>
              </w:rPr>
              <w:t xml:space="preserve"> (QC)</w:t>
            </w:r>
          </w:p>
          <w:p w14:paraId="76F1ECDC" w14:textId="77777777" w:rsidR="003866CE" w:rsidRPr="003866CE" w:rsidRDefault="003866CE" w:rsidP="003866CE">
            <w:pPr>
              <w:pStyle w:val="afe"/>
              <w:numPr>
                <w:ilvl w:val="2"/>
                <w:numId w:val="14"/>
              </w:numPr>
              <w:spacing w:after="120"/>
              <w:ind w:left="1800"/>
              <w:contextualSpacing w:val="0"/>
              <w:rPr>
                <w:bCs/>
                <w:color w:val="000000" w:themeColor="text1"/>
                <w:sz w:val="20"/>
                <w:szCs w:val="20"/>
                <w:lang w:val="en-US"/>
              </w:rPr>
            </w:pPr>
            <w:r w:rsidRPr="003866CE">
              <w:rPr>
                <w:bCs/>
                <w:color w:val="000000" w:themeColor="text1"/>
                <w:sz w:val="20"/>
                <w:szCs w:val="20"/>
                <w:lang w:val="en-US"/>
              </w:rPr>
              <w:t>If NW explicitly configured measurement configurations for R18 fast FR2 CA/DC setup,</w:t>
            </w:r>
          </w:p>
          <w:p w14:paraId="3A18B0D4" w14:textId="77777777" w:rsidR="003866CE" w:rsidRPr="003866CE" w:rsidRDefault="003866CE" w:rsidP="003866CE">
            <w:pPr>
              <w:pStyle w:val="afe"/>
              <w:numPr>
                <w:ilvl w:val="3"/>
                <w:numId w:val="14"/>
              </w:numPr>
              <w:spacing w:after="120"/>
              <w:ind w:left="2520"/>
              <w:contextualSpacing w:val="0"/>
              <w:rPr>
                <w:bCs/>
                <w:color w:val="000000" w:themeColor="text1"/>
                <w:sz w:val="20"/>
                <w:szCs w:val="20"/>
                <w:lang w:val="en-US"/>
              </w:rPr>
            </w:pPr>
            <w:r w:rsidRPr="003866CE">
              <w:rPr>
                <w:bCs/>
                <w:color w:val="000000" w:themeColor="text1"/>
                <w:sz w:val="20"/>
                <w:szCs w:val="20"/>
                <w:lang w:val="en-US"/>
              </w:rPr>
              <w:t xml:space="preserve">If the FR2 configurations are broadcasted in SIB11, measurement configuration </w:t>
            </w:r>
            <w:proofErr w:type="gramStart"/>
            <w:r w:rsidRPr="003866CE">
              <w:rPr>
                <w:bCs/>
                <w:color w:val="000000" w:themeColor="text1"/>
                <w:sz w:val="20"/>
                <w:szCs w:val="20"/>
                <w:lang w:val="en-US"/>
              </w:rPr>
              <w:t>are</w:t>
            </w:r>
            <w:proofErr w:type="gramEnd"/>
            <w:r w:rsidRPr="003866CE">
              <w:rPr>
                <w:bCs/>
                <w:color w:val="000000" w:themeColor="text1"/>
                <w:sz w:val="20"/>
                <w:szCs w:val="20"/>
                <w:lang w:val="en-US"/>
              </w:rPr>
              <w:t xml:space="preserve"> not changed in SIB11 during IDLE/INACTIVE state, </w:t>
            </w:r>
          </w:p>
          <w:p w14:paraId="6044870F" w14:textId="77777777" w:rsidR="003866CE" w:rsidRPr="003866CE" w:rsidRDefault="003866CE" w:rsidP="003866CE">
            <w:pPr>
              <w:pStyle w:val="afe"/>
              <w:numPr>
                <w:ilvl w:val="3"/>
                <w:numId w:val="14"/>
              </w:numPr>
              <w:spacing w:after="120"/>
              <w:ind w:left="2520"/>
              <w:contextualSpacing w:val="0"/>
              <w:rPr>
                <w:bCs/>
                <w:color w:val="000000" w:themeColor="text1"/>
                <w:sz w:val="20"/>
                <w:szCs w:val="20"/>
                <w:lang w:val="en-US"/>
              </w:rPr>
            </w:pPr>
            <w:r w:rsidRPr="003866CE">
              <w:rPr>
                <w:bCs/>
                <w:color w:val="000000" w:themeColor="text1"/>
                <w:sz w:val="20"/>
                <w:szCs w:val="20"/>
                <w:lang w:val="en-US"/>
              </w:rPr>
              <w:t xml:space="preserve">Otherwise, validity check is not performed. </w:t>
            </w:r>
          </w:p>
          <w:p w14:paraId="3FFE46AE" w14:textId="77777777" w:rsidR="003866CE" w:rsidRPr="003866CE" w:rsidRDefault="003866CE" w:rsidP="003866CE">
            <w:pPr>
              <w:spacing w:after="120"/>
              <w:rPr>
                <w:bCs/>
                <w:color w:val="000000" w:themeColor="text1"/>
                <w:lang w:val="en-US"/>
              </w:rPr>
            </w:pPr>
          </w:p>
          <w:p w14:paraId="18EA6132" w14:textId="77777777" w:rsidR="003866CE" w:rsidRPr="003866CE" w:rsidRDefault="003866CE" w:rsidP="003866CE">
            <w:pPr>
              <w:pStyle w:val="afe"/>
              <w:numPr>
                <w:ilvl w:val="3"/>
                <w:numId w:val="14"/>
              </w:numPr>
              <w:spacing w:after="120"/>
              <w:ind w:left="2520"/>
              <w:contextualSpacing w:val="0"/>
              <w:rPr>
                <w:bCs/>
                <w:color w:val="000000" w:themeColor="text1"/>
                <w:sz w:val="20"/>
                <w:szCs w:val="20"/>
                <w:lang w:val="en-US"/>
              </w:rPr>
            </w:pPr>
            <w:r w:rsidRPr="003866CE">
              <w:rPr>
                <w:bCs/>
                <w:color w:val="000000" w:themeColor="text1"/>
                <w:sz w:val="20"/>
                <w:szCs w:val="20"/>
                <w:lang w:val="en-US"/>
              </w:rPr>
              <w:t>If the configurations are provided upon RRC release</w:t>
            </w:r>
          </w:p>
          <w:p w14:paraId="729F88C9" w14:textId="77777777" w:rsidR="003866CE" w:rsidRPr="003866CE" w:rsidRDefault="003866CE" w:rsidP="003866CE">
            <w:pPr>
              <w:pStyle w:val="afe"/>
              <w:numPr>
                <w:ilvl w:val="4"/>
                <w:numId w:val="14"/>
              </w:numPr>
              <w:spacing w:after="120"/>
              <w:ind w:left="3240"/>
              <w:contextualSpacing w:val="0"/>
              <w:rPr>
                <w:bCs/>
                <w:color w:val="000000" w:themeColor="text1"/>
                <w:sz w:val="20"/>
                <w:szCs w:val="20"/>
                <w:lang w:val="en-US"/>
              </w:rPr>
            </w:pPr>
            <w:r w:rsidRPr="003866CE">
              <w:rPr>
                <w:bCs/>
                <w:color w:val="000000" w:themeColor="text1"/>
                <w:sz w:val="20"/>
                <w:szCs w:val="20"/>
                <w:lang w:val="en-US"/>
              </w:rPr>
              <w:t xml:space="preserve">EMR needs to be configured. </w:t>
            </w:r>
          </w:p>
          <w:p w14:paraId="6D4F8E1D" w14:textId="77777777" w:rsidR="003866CE" w:rsidRPr="009B18BC" w:rsidRDefault="003866CE" w:rsidP="003866CE">
            <w:pPr>
              <w:pStyle w:val="afe"/>
              <w:numPr>
                <w:ilvl w:val="4"/>
                <w:numId w:val="14"/>
              </w:numPr>
              <w:spacing w:after="120"/>
              <w:ind w:left="3240"/>
              <w:contextualSpacing w:val="0"/>
              <w:rPr>
                <w:bCs/>
                <w:color w:val="000000" w:themeColor="text1"/>
                <w:sz w:val="20"/>
                <w:szCs w:val="20"/>
                <w:highlight w:val="yellow"/>
                <w:lang w:val="en-US"/>
              </w:rPr>
            </w:pPr>
            <w:r w:rsidRPr="009B18BC">
              <w:rPr>
                <w:bCs/>
                <w:color w:val="000000" w:themeColor="text1"/>
                <w:sz w:val="20"/>
                <w:szCs w:val="20"/>
                <w:highlight w:val="yellow"/>
                <w:lang w:val="en-US"/>
              </w:rPr>
              <w:t>T331 timer does not expire</w:t>
            </w:r>
            <w:bookmarkStart w:id="9" w:name="_Hlk157020961"/>
            <w:r w:rsidRPr="009B18BC">
              <w:rPr>
                <w:bCs/>
                <w:color w:val="000000" w:themeColor="text1"/>
                <w:sz w:val="20"/>
                <w:szCs w:val="20"/>
                <w:highlight w:val="yellow"/>
                <w:lang w:val="en-US"/>
              </w:rPr>
              <w:t xml:space="preserve"> within the last [X] sec</w:t>
            </w:r>
            <w:bookmarkEnd w:id="9"/>
            <w:r w:rsidRPr="009B18BC">
              <w:rPr>
                <w:bCs/>
                <w:color w:val="000000" w:themeColor="text1"/>
                <w:sz w:val="20"/>
                <w:szCs w:val="20"/>
                <w:highlight w:val="yellow"/>
                <w:lang w:val="en-US"/>
              </w:rPr>
              <w:t xml:space="preserve"> before msg1 transmission.</w:t>
            </w:r>
          </w:p>
          <w:p w14:paraId="200BDB8F" w14:textId="77777777" w:rsidR="003866CE" w:rsidRPr="003866CE" w:rsidRDefault="003866CE" w:rsidP="003866CE">
            <w:pPr>
              <w:pStyle w:val="afe"/>
              <w:numPr>
                <w:ilvl w:val="3"/>
                <w:numId w:val="14"/>
              </w:numPr>
              <w:spacing w:after="120"/>
              <w:ind w:left="2520"/>
              <w:contextualSpacing w:val="0"/>
              <w:rPr>
                <w:bCs/>
                <w:color w:val="000000" w:themeColor="text1"/>
                <w:sz w:val="20"/>
                <w:szCs w:val="20"/>
                <w:lang w:val="en-US"/>
              </w:rPr>
            </w:pPr>
            <w:r w:rsidRPr="003866CE">
              <w:rPr>
                <w:bCs/>
                <w:color w:val="000000" w:themeColor="text1"/>
                <w:sz w:val="20"/>
                <w:szCs w:val="20"/>
                <w:lang w:val="en-US"/>
              </w:rPr>
              <w:t xml:space="preserve">Otherwise, validity check is not performed. </w:t>
            </w:r>
          </w:p>
          <w:p w14:paraId="01F2BB85" w14:textId="77777777" w:rsidR="003866CE" w:rsidRPr="003866CE" w:rsidRDefault="003866CE" w:rsidP="003866CE">
            <w:pPr>
              <w:pStyle w:val="afe"/>
              <w:numPr>
                <w:ilvl w:val="2"/>
                <w:numId w:val="14"/>
              </w:numPr>
              <w:spacing w:after="120"/>
              <w:ind w:left="1800"/>
              <w:contextualSpacing w:val="0"/>
              <w:rPr>
                <w:bCs/>
                <w:color w:val="000000" w:themeColor="text1"/>
                <w:sz w:val="20"/>
                <w:szCs w:val="20"/>
                <w:lang w:val="en-US"/>
              </w:rPr>
            </w:pPr>
            <w:r w:rsidRPr="003866CE">
              <w:rPr>
                <w:bCs/>
                <w:color w:val="000000" w:themeColor="text1"/>
                <w:sz w:val="20"/>
                <w:szCs w:val="20"/>
                <w:lang w:val="en-US"/>
              </w:rPr>
              <w:t xml:space="preserve">Otherwise, UE does not perform a validity check. </w:t>
            </w:r>
          </w:p>
          <w:p w14:paraId="58108421" w14:textId="77777777" w:rsidR="003866CE" w:rsidRPr="003866CE" w:rsidRDefault="003866CE" w:rsidP="003866CE">
            <w:pPr>
              <w:pStyle w:val="afe"/>
              <w:numPr>
                <w:ilvl w:val="1"/>
                <w:numId w:val="14"/>
              </w:numPr>
              <w:spacing w:after="120"/>
              <w:ind w:left="1080"/>
              <w:contextualSpacing w:val="0"/>
              <w:rPr>
                <w:bCs/>
                <w:color w:val="000000" w:themeColor="text1"/>
                <w:sz w:val="20"/>
                <w:szCs w:val="20"/>
                <w:lang w:val="en-US"/>
              </w:rPr>
            </w:pPr>
            <w:r w:rsidRPr="003866CE">
              <w:rPr>
                <w:bCs/>
                <w:color w:val="000000" w:themeColor="text1"/>
                <w:sz w:val="20"/>
                <w:szCs w:val="20"/>
                <w:lang w:val="en-US"/>
              </w:rPr>
              <w:t>Proposal 4: The validity check is not applicable to: (QC)</w:t>
            </w:r>
          </w:p>
          <w:p w14:paraId="0CA9C348" w14:textId="77777777" w:rsidR="003866CE" w:rsidRPr="003866CE" w:rsidRDefault="003866CE" w:rsidP="003866CE">
            <w:pPr>
              <w:pStyle w:val="afe"/>
              <w:numPr>
                <w:ilvl w:val="2"/>
                <w:numId w:val="14"/>
              </w:numPr>
              <w:spacing w:after="120"/>
              <w:ind w:left="1800"/>
              <w:contextualSpacing w:val="0"/>
              <w:rPr>
                <w:bCs/>
                <w:color w:val="000000" w:themeColor="text1"/>
                <w:sz w:val="20"/>
                <w:szCs w:val="20"/>
                <w:lang w:val="en-US"/>
              </w:rPr>
            </w:pPr>
            <w:r w:rsidRPr="003866CE">
              <w:rPr>
                <w:bCs/>
                <w:color w:val="000000" w:themeColor="text1"/>
                <w:sz w:val="20"/>
                <w:szCs w:val="20"/>
                <w:lang w:val="en-US"/>
              </w:rPr>
              <w:t xml:space="preserve">Any measurements during IDLE/INACTIVE but not related to R18 fast FR2 CA/DC setup. </w:t>
            </w:r>
          </w:p>
          <w:p w14:paraId="67B54ABD" w14:textId="77777777" w:rsidR="003866CE" w:rsidRPr="003866CE" w:rsidRDefault="003866CE" w:rsidP="003866CE">
            <w:pPr>
              <w:pStyle w:val="afe"/>
              <w:numPr>
                <w:ilvl w:val="2"/>
                <w:numId w:val="14"/>
              </w:numPr>
              <w:spacing w:after="120"/>
              <w:ind w:left="1800"/>
              <w:contextualSpacing w:val="0"/>
              <w:rPr>
                <w:bCs/>
                <w:color w:val="000000" w:themeColor="text1"/>
                <w:sz w:val="20"/>
                <w:szCs w:val="20"/>
                <w:lang w:val="en-US"/>
              </w:rPr>
            </w:pPr>
            <w:r w:rsidRPr="003866CE">
              <w:rPr>
                <w:bCs/>
                <w:color w:val="000000" w:themeColor="text1"/>
                <w:sz w:val="20"/>
                <w:szCs w:val="20"/>
                <w:lang w:val="en-US"/>
              </w:rPr>
              <w:t xml:space="preserve">R16 EMR measurements reporting, if EMR is configured. </w:t>
            </w:r>
          </w:p>
          <w:p w14:paraId="31012D98" w14:textId="77777777" w:rsidR="003866CE" w:rsidRPr="003866CE" w:rsidRDefault="003866CE" w:rsidP="003866CE">
            <w:pPr>
              <w:pStyle w:val="afe"/>
              <w:numPr>
                <w:ilvl w:val="2"/>
                <w:numId w:val="14"/>
              </w:numPr>
              <w:spacing w:after="120"/>
              <w:ind w:left="1800"/>
              <w:contextualSpacing w:val="0"/>
              <w:rPr>
                <w:bCs/>
                <w:color w:val="000000" w:themeColor="text1"/>
                <w:sz w:val="20"/>
                <w:szCs w:val="20"/>
                <w:lang w:val="en-US"/>
              </w:rPr>
            </w:pPr>
            <w:r w:rsidRPr="003866CE">
              <w:rPr>
                <w:bCs/>
                <w:color w:val="000000" w:themeColor="text1"/>
                <w:sz w:val="20"/>
                <w:szCs w:val="20"/>
                <w:lang w:val="en-US"/>
              </w:rPr>
              <w:t>Any measurements during CONNECTED mode.</w:t>
            </w:r>
          </w:p>
          <w:p w14:paraId="153F0081" w14:textId="77777777" w:rsidR="003866CE" w:rsidRPr="003866CE" w:rsidRDefault="003866CE" w:rsidP="003866CE">
            <w:pPr>
              <w:pStyle w:val="afe"/>
              <w:numPr>
                <w:ilvl w:val="0"/>
                <w:numId w:val="21"/>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3866CE">
              <w:rPr>
                <w:rFonts w:eastAsia="宋体"/>
                <w:color w:val="000000" w:themeColor="text1"/>
                <w:sz w:val="20"/>
                <w:szCs w:val="20"/>
                <w:u w:val="single"/>
                <w:lang w:val="en-US"/>
              </w:rPr>
              <w:t>Recommended WF</w:t>
            </w:r>
          </w:p>
          <w:p w14:paraId="2D031800" w14:textId="77777777" w:rsidR="003866CE" w:rsidRPr="003866CE" w:rsidRDefault="003866CE" w:rsidP="003866CE">
            <w:pPr>
              <w:pStyle w:val="afe"/>
              <w:numPr>
                <w:ilvl w:val="1"/>
                <w:numId w:val="14"/>
              </w:numPr>
              <w:spacing w:after="120"/>
              <w:ind w:left="1080"/>
              <w:contextualSpacing w:val="0"/>
              <w:rPr>
                <w:rFonts w:eastAsia="宋体"/>
                <w:color w:val="000000" w:themeColor="text1"/>
                <w:sz w:val="20"/>
                <w:szCs w:val="20"/>
                <w:lang w:val="en-US"/>
              </w:rPr>
            </w:pPr>
            <w:r w:rsidRPr="003866CE">
              <w:rPr>
                <w:rFonts w:eastAsia="宋体"/>
                <w:color w:val="000000" w:themeColor="text1"/>
                <w:sz w:val="20"/>
                <w:szCs w:val="20"/>
                <w:lang w:val="en-US"/>
              </w:rPr>
              <w:t>Discuss other side conditions in maintenance.</w:t>
            </w:r>
          </w:p>
          <w:p w14:paraId="573A94EC" w14:textId="77777777" w:rsidR="003866CE" w:rsidRPr="003866CE" w:rsidRDefault="003866CE" w:rsidP="00C45AFF">
            <w:pPr>
              <w:rPr>
                <w:rFonts w:eastAsiaTheme="minorEastAsia"/>
                <w:iCs/>
                <w:lang w:eastAsia="zh-CN"/>
              </w:rPr>
            </w:pPr>
          </w:p>
        </w:tc>
      </w:tr>
    </w:tbl>
    <w:p w14:paraId="69E48A41" w14:textId="1236550F" w:rsidR="00752957" w:rsidRDefault="00752957" w:rsidP="00C45AFF">
      <w:pPr>
        <w:rPr>
          <w:rFonts w:eastAsiaTheme="minorEastAsia"/>
          <w:iCs/>
          <w:lang w:eastAsia="zh-CN"/>
        </w:rPr>
      </w:pPr>
    </w:p>
    <w:p w14:paraId="77B4F981" w14:textId="7595F88E" w:rsidR="00752957" w:rsidRDefault="00752957" w:rsidP="00C45AFF">
      <w:pPr>
        <w:rPr>
          <w:rFonts w:eastAsiaTheme="minorEastAsia"/>
          <w:iCs/>
          <w:lang w:eastAsia="zh-CN"/>
        </w:rPr>
      </w:pPr>
      <w:r>
        <w:rPr>
          <w:rFonts w:eastAsiaTheme="minorEastAsia"/>
          <w:iCs/>
          <w:lang w:eastAsia="zh-CN"/>
        </w:rPr>
        <w:lastRenderedPageBreak/>
        <w:t>For R18 fast CA/DC</w:t>
      </w:r>
      <w:r w:rsidR="00120AA0">
        <w:rPr>
          <w:rFonts w:eastAsiaTheme="minorEastAsia"/>
          <w:iCs/>
          <w:lang w:eastAsia="zh-CN"/>
        </w:rPr>
        <w:t xml:space="preserve"> setup</w:t>
      </w:r>
      <w:r>
        <w:rPr>
          <w:rFonts w:eastAsiaTheme="minorEastAsia"/>
          <w:iCs/>
          <w:lang w:eastAsia="zh-CN"/>
        </w:rPr>
        <w:t>, it is agreed that the validity check shall be within X seconds before MSG1. For EMR</w:t>
      </w:r>
      <w:r w:rsidR="009C17CE">
        <w:rPr>
          <w:rFonts w:eastAsiaTheme="minorEastAsia"/>
          <w:iCs/>
          <w:lang w:eastAsia="zh-CN"/>
        </w:rPr>
        <w:t xml:space="preserve"> </w:t>
      </w:r>
      <w:r w:rsidR="00EA5D53">
        <w:rPr>
          <w:rFonts w:eastAsiaTheme="minorEastAsia"/>
          <w:iCs/>
          <w:lang w:eastAsia="zh-CN"/>
        </w:rPr>
        <w:t xml:space="preserve">based </w:t>
      </w:r>
      <w:r w:rsidR="009C17CE">
        <w:rPr>
          <w:rFonts w:eastAsiaTheme="minorEastAsia"/>
          <w:iCs/>
          <w:lang w:eastAsia="zh-CN"/>
        </w:rPr>
        <w:t>measurement</w:t>
      </w:r>
      <w:r>
        <w:rPr>
          <w:rFonts w:eastAsiaTheme="minorEastAsia"/>
          <w:iCs/>
          <w:lang w:eastAsia="zh-CN"/>
        </w:rPr>
        <w:t>, if T331</w:t>
      </w:r>
      <w:r w:rsidR="009B18BC">
        <w:rPr>
          <w:rFonts w:eastAsiaTheme="minorEastAsia"/>
          <w:iCs/>
          <w:lang w:eastAsia="zh-CN"/>
        </w:rPr>
        <w:t xml:space="preserve"> </w:t>
      </w:r>
      <w:r w:rsidR="009C17CE">
        <w:rPr>
          <w:rFonts w:eastAsiaTheme="minorEastAsia"/>
          <w:iCs/>
          <w:lang w:eastAsia="zh-CN"/>
        </w:rPr>
        <w:t xml:space="preserve">is expired, it is up to UE implementation to continue to measure. </w:t>
      </w:r>
      <w:r w:rsidR="00120AA0">
        <w:rPr>
          <w:rFonts w:eastAsiaTheme="minorEastAsia"/>
          <w:iCs/>
          <w:lang w:eastAsia="zh-CN"/>
        </w:rPr>
        <w:t>The timer T331 is not a factor to decide the validity of the measurement results. If measurement is performed within the last X seconds before MSG</w:t>
      </w:r>
      <w:r w:rsidR="009B18BC">
        <w:rPr>
          <w:rFonts w:eastAsiaTheme="minorEastAsia"/>
          <w:iCs/>
          <w:lang w:eastAsia="zh-CN"/>
        </w:rPr>
        <w:t>1</w:t>
      </w:r>
      <w:r w:rsidR="00120AA0">
        <w:rPr>
          <w:rFonts w:eastAsiaTheme="minorEastAsia"/>
          <w:iCs/>
          <w:lang w:eastAsia="zh-CN"/>
        </w:rPr>
        <w:t>, the measurement is regarded as “valid” even if T331 is expired.</w:t>
      </w:r>
      <w:r w:rsidR="004A329D">
        <w:rPr>
          <w:rFonts w:eastAsiaTheme="minorEastAsia"/>
          <w:iCs/>
          <w:lang w:eastAsia="zh-CN"/>
        </w:rPr>
        <w:t xml:space="preserve"> </w:t>
      </w:r>
    </w:p>
    <w:tbl>
      <w:tblPr>
        <w:tblStyle w:val="afa"/>
        <w:tblW w:w="0" w:type="auto"/>
        <w:tblLook w:val="0600" w:firstRow="0" w:lastRow="0" w:firstColumn="0" w:lastColumn="0" w:noHBand="1" w:noVBand="1"/>
      </w:tblPr>
      <w:tblGrid>
        <w:gridCol w:w="9621"/>
      </w:tblGrid>
      <w:tr w:rsidR="00752957" w14:paraId="3FF280F6" w14:textId="77777777" w:rsidTr="00752957">
        <w:tc>
          <w:tcPr>
            <w:tcW w:w="9621" w:type="dxa"/>
          </w:tcPr>
          <w:p w14:paraId="554A2B5E" w14:textId="77777777" w:rsidR="00752957" w:rsidRPr="00A2656C" w:rsidRDefault="00752957" w:rsidP="00752957">
            <w:r w:rsidRPr="00A2656C">
              <w:t>The measurement results are considered valid if the following conditions are met:</w:t>
            </w:r>
          </w:p>
          <w:p w14:paraId="196E925D" w14:textId="77777777" w:rsidR="00752957" w:rsidRPr="00A2656C" w:rsidRDefault="00752957" w:rsidP="00752957">
            <w:pPr>
              <w:numPr>
                <w:ilvl w:val="0"/>
                <w:numId w:val="24"/>
              </w:numPr>
              <w:rPr>
                <w:lang w:val="en-US"/>
              </w:rPr>
            </w:pPr>
            <w:r w:rsidRPr="00A2656C">
              <w:t xml:space="preserve">the measurements are performed </w:t>
            </w:r>
            <w:r w:rsidRPr="00A2656C">
              <w:rPr>
                <w:lang w:val="en-US"/>
              </w:rPr>
              <w:t xml:space="preserve">within the last [X] seconds </w:t>
            </w:r>
            <w:r w:rsidRPr="00752957">
              <w:rPr>
                <w:highlight w:val="yellow"/>
                <w:lang w:val="en-US"/>
              </w:rPr>
              <w:t>before msg1 transmission for RRC resume/setup request</w:t>
            </w:r>
            <w:r w:rsidRPr="00A2656C">
              <w:rPr>
                <w:lang w:val="en-US"/>
              </w:rPr>
              <w:t>, where [X] is configured by [TBD], and</w:t>
            </w:r>
          </w:p>
          <w:p w14:paraId="41F1ABC3" w14:textId="77777777" w:rsidR="00752957" w:rsidRPr="00A2656C" w:rsidRDefault="00752957" w:rsidP="00752957">
            <w:pPr>
              <w:numPr>
                <w:ilvl w:val="0"/>
                <w:numId w:val="24"/>
              </w:numPr>
              <w:rPr>
                <w:lang w:val="en-US"/>
              </w:rPr>
            </w:pPr>
            <w:r w:rsidRPr="00A2656C">
              <w:rPr>
                <w:lang w:val="en-US"/>
              </w:rPr>
              <w:t>the measurement results satisfy measurement accuracy requirement at the measurement instance.</w:t>
            </w:r>
          </w:p>
          <w:p w14:paraId="454695ED" w14:textId="77777777" w:rsidR="00752957" w:rsidRPr="00752957" w:rsidRDefault="00752957" w:rsidP="00C45AFF">
            <w:pPr>
              <w:rPr>
                <w:rFonts w:eastAsiaTheme="minorEastAsia"/>
                <w:iCs/>
                <w:lang w:val="en-US" w:eastAsia="zh-CN"/>
              </w:rPr>
            </w:pPr>
          </w:p>
        </w:tc>
      </w:tr>
    </w:tbl>
    <w:p w14:paraId="17A17F44" w14:textId="7DABEDDD" w:rsidR="009B18BC" w:rsidRPr="009B18BC" w:rsidRDefault="00E25F37" w:rsidP="00C45AFF">
      <w:pPr>
        <w:rPr>
          <w:rFonts w:eastAsiaTheme="minorEastAsia"/>
          <w:b/>
          <w:iCs/>
          <w:lang w:eastAsia="zh-CN"/>
        </w:rPr>
      </w:pPr>
      <w:r>
        <w:rPr>
          <w:rFonts w:eastAsiaTheme="minorEastAsia"/>
          <w:b/>
          <w:iCs/>
          <w:lang w:eastAsia="zh-CN"/>
        </w:rPr>
        <w:t>Proposal</w:t>
      </w:r>
      <w:r w:rsidR="00120AA0" w:rsidRPr="00120AA0">
        <w:rPr>
          <w:rFonts w:eastAsiaTheme="minorEastAsia"/>
          <w:b/>
          <w:iCs/>
          <w:lang w:eastAsia="zh-CN"/>
        </w:rPr>
        <w:t xml:space="preserve"> </w:t>
      </w:r>
      <w:r>
        <w:rPr>
          <w:rFonts w:eastAsiaTheme="minorEastAsia"/>
          <w:b/>
          <w:iCs/>
          <w:lang w:eastAsia="zh-CN"/>
        </w:rPr>
        <w:t>1</w:t>
      </w:r>
      <w:r w:rsidR="00120AA0" w:rsidRPr="00120AA0">
        <w:rPr>
          <w:rFonts w:eastAsiaTheme="minorEastAsia"/>
          <w:b/>
          <w:iCs/>
          <w:lang w:eastAsia="zh-CN"/>
        </w:rPr>
        <w:t xml:space="preserve">: The expiration of T331 </w:t>
      </w:r>
      <w:r>
        <w:rPr>
          <w:rFonts w:eastAsiaTheme="minorEastAsia"/>
          <w:b/>
          <w:iCs/>
          <w:lang w:eastAsia="zh-CN"/>
        </w:rPr>
        <w:t>has no impact on</w:t>
      </w:r>
      <w:r w:rsidR="00120AA0" w:rsidRPr="00120AA0">
        <w:rPr>
          <w:rFonts w:eastAsiaTheme="minorEastAsia"/>
          <w:b/>
          <w:iCs/>
          <w:lang w:eastAsia="zh-CN"/>
        </w:rPr>
        <w:t xml:space="preserve"> </w:t>
      </w:r>
      <w:r>
        <w:rPr>
          <w:rFonts w:eastAsiaTheme="minorEastAsia"/>
          <w:b/>
          <w:iCs/>
          <w:lang w:eastAsia="zh-CN"/>
        </w:rPr>
        <w:t>judgement of</w:t>
      </w:r>
      <w:r w:rsidR="00120AA0" w:rsidRPr="00120AA0">
        <w:rPr>
          <w:rFonts w:eastAsiaTheme="minorEastAsia"/>
          <w:b/>
          <w:iCs/>
          <w:lang w:eastAsia="zh-CN"/>
        </w:rPr>
        <w:t xml:space="preserve"> the validity of the measurement results.</w:t>
      </w:r>
    </w:p>
    <w:p w14:paraId="6F93105D" w14:textId="4BCAB56A" w:rsidR="00990811" w:rsidRDefault="00542D33" w:rsidP="00542D33">
      <w:pPr>
        <w:pStyle w:val="2"/>
        <w:rPr>
          <w:rFonts w:eastAsia="宋体"/>
          <w:b/>
          <w:lang w:eastAsia="zh-CN"/>
        </w:rPr>
      </w:pPr>
      <w:r>
        <w:rPr>
          <w:rFonts w:eastAsia="宋体"/>
          <w:b/>
          <w:lang w:eastAsia="zh-CN"/>
        </w:rPr>
        <w:t>Feature list</w:t>
      </w:r>
    </w:p>
    <w:p w14:paraId="3A9E8810" w14:textId="3F1B0F08" w:rsidR="00542D33" w:rsidRDefault="001E320A" w:rsidP="00542D33">
      <w:pPr>
        <w:rPr>
          <w:rFonts w:eastAsiaTheme="minorEastAsia"/>
          <w:lang w:eastAsia="zh-CN"/>
        </w:rPr>
      </w:pPr>
      <w:r>
        <w:rPr>
          <w:rFonts w:eastAsiaTheme="minorEastAsia"/>
          <w:lang w:eastAsia="zh-CN"/>
        </w:rPr>
        <w:t>The UE capability for the solution based on existing measurement for R18 fast CA/DC setup is provided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EB5514" w:rsidRPr="00ED211A" w14:paraId="7E9EC111" w14:textId="77777777" w:rsidTr="00EB5514">
        <w:trPr>
          <w:trHeight w:val="290"/>
        </w:trPr>
        <w:tc>
          <w:tcPr>
            <w:tcW w:w="5098" w:type="dxa"/>
            <w:shd w:val="clear" w:color="auto" w:fill="auto"/>
            <w:vAlign w:val="center"/>
          </w:tcPr>
          <w:p w14:paraId="54B37F53" w14:textId="77777777" w:rsidR="00EB5514" w:rsidRPr="00ED211A" w:rsidRDefault="00EB5514" w:rsidP="007F48FD">
            <w:pPr>
              <w:rPr>
                <w:rFonts w:ascii="Arial" w:eastAsia="等线" w:hAnsi="Arial" w:cs="Arial"/>
                <w:b/>
                <w:bCs/>
                <w:color w:val="000000"/>
                <w:sz w:val="16"/>
                <w:szCs w:val="16"/>
              </w:rPr>
            </w:pPr>
            <w:r>
              <w:rPr>
                <w:rFonts w:ascii="Arial" w:eastAsia="Times New Roman" w:hAnsi="Arial" w:cs="Arial"/>
                <w:b/>
                <w:color w:val="000000"/>
                <w:sz w:val="18"/>
              </w:rPr>
              <w:t>Features</w:t>
            </w:r>
          </w:p>
        </w:tc>
        <w:tc>
          <w:tcPr>
            <w:tcW w:w="4536" w:type="dxa"/>
            <w:vAlign w:val="center"/>
          </w:tcPr>
          <w:p w14:paraId="05286C79" w14:textId="73B4BCDB" w:rsidR="00EB5514" w:rsidRPr="00ED211A" w:rsidRDefault="00EB5514" w:rsidP="007F48FD">
            <w:pPr>
              <w:rPr>
                <w:rFonts w:ascii="Arial" w:eastAsia="等线" w:hAnsi="Arial" w:cs="Arial"/>
                <w:color w:val="000000"/>
                <w:sz w:val="18"/>
                <w:szCs w:val="18"/>
              </w:rPr>
            </w:pPr>
            <w:r w:rsidRPr="00ED211A">
              <w:rPr>
                <w:rFonts w:ascii="Arial" w:eastAsia="等线" w:hAnsi="Arial" w:cs="Arial"/>
                <w:color w:val="000000"/>
                <w:sz w:val="18"/>
                <w:szCs w:val="18"/>
              </w:rPr>
              <w:t>39</w:t>
            </w:r>
            <w:r w:rsidR="00264F41">
              <w:rPr>
                <w:rFonts w:ascii="Arial" w:eastAsia="等线" w:hAnsi="Arial" w:cs="Arial"/>
                <w:color w:val="000000"/>
                <w:sz w:val="18"/>
                <w:szCs w:val="18"/>
              </w:rPr>
              <w:t>.</w:t>
            </w:r>
            <w:r>
              <w:rPr>
                <w:rFonts w:ascii="Arial" w:eastAsia="等线" w:hAnsi="Arial" w:cs="Arial" w:hint="eastAsia"/>
                <w:color w:val="000000"/>
                <w:sz w:val="18"/>
                <w:szCs w:val="18"/>
              </w:rPr>
              <w:t xml:space="preserve"> </w:t>
            </w:r>
            <w:r w:rsidRPr="00ED211A">
              <w:rPr>
                <w:rFonts w:ascii="Arial" w:eastAsia="等线" w:hAnsi="Arial" w:cs="Arial"/>
                <w:color w:val="000000"/>
                <w:sz w:val="18"/>
                <w:szCs w:val="18"/>
              </w:rPr>
              <w:t>NR_Mob_enh2</w:t>
            </w:r>
          </w:p>
        </w:tc>
      </w:tr>
      <w:tr w:rsidR="00EB5514" w:rsidRPr="00ED211A" w14:paraId="2497D644" w14:textId="77777777" w:rsidTr="00EB5514">
        <w:trPr>
          <w:trHeight w:val="290"/>
        </w:trPr>
        <w:tc>
          <w:tcPr>
            <w:tcW w:w="5098" w:type="dxa"/>
            <w:shd w:val="clear" w:color="auto" w:fill="auto"/>
            <w:vAlign w:val="center"/>
          </w:tcPr>
          <w:p w14:paraId="2B619B4B" w14:textId="77777777" w:rsidR="00EB5514" w:rsidRPr="00ED211A" w:rsidRDefault="00EB5514" w:rsidP="007F48FD">
            <w:pPr>
              <w:rPr>
                <w:rFonts w:ascii="Arial" w:eastAsia="等线" w:hAnsi="Arial" w:cs="Arial"/>
                <w:b/>
                <w:bCs/>
                <w:color w:val="000000"/>
                <w:sz w:val="16"/>
                <w:szCs w:val="16"/>
              </w:rPr>
            </w:pPr>
            <w:r>
              <w:rPr>
                <w:rFonts w:ascii="Arial" w:eastAsia="等线" w:hAnsi="Arial" w:cs="Arial" w:hint="eastAsia"/>
                <w:b/>
                <w:bCs/>
                <w:color w:val="000000"/>
                <w:sz w:val="16"/>
                <w:szCs w:val="16"/>
              </w:rPr>
              <w:t>Index</w:t>
            </w:r>
          </w:p>
        </w:tc>
        <w:tc>
          <w:tcPr>
            <w:tcW w:w="4536" w:type="dxa"/>
            <w:vAlign w:val="center"/>
          </w:tcPr>
          <w:p w14:paraId="5A8F584C" w14:textId="77777777" w:rsidR="00EB5514" w:rsidRPr="00ED211A" w:rsidRDefault="00EB5514" w:rsidP="007F48FD">
            <w:pPr>
              <w:rPr>
                <w:rFonts w:ascii="Arial" w:eastAsia="等线" w:hAnsi="Arial" w:cs="Arial"/>
                <w:color w:val="000000"/>
                <w:sz w:val="18"/>
                <w:szCs w:val="18"/>
              </w:rPr>
            </w:pPr>
            <w:r w:rsidRPr="00ED211A">
              <w:rPr>
                <w:rFonts w:ascii="Arial" w:eastAsia="等线" w:hAnsi="Arial" w:cs="Arial"/>
                <w:color w:val="000000"/>
                <w:sz w:val="18"/>
                <w:szCs w:val="18"/>
              </w:rPr>
              <w:t>39-</w:t>
            </w:r>
            <w:r>
              <w:rPr>
                <w:rFonts w:ascii="Arial" w:eastAsia="等线" w:hAnsi="Arial" w:cs="Arial"/>
                <w:color w:val="000000"/>
                <w:sz w:val="18"/>
                <w:szCs w:val="18"/>
              </w:rPr>
              <w:t>x</w:t>
            </w:r>
          </w:p>
        </w:tc>
      </w:tr>
      <w:tr w:rsidR="00EB5514" w:rsidRPr="00ED211A" w14:paraId="214CA3D9" w14:textId="77777777" w:rsidTr="00EB5514">
        <w:trPr>
          <w:trHeight w:val="290"/>
        </w:trPr>
        <w:tc>
          <w:tcPr>
            <w:tcW w:w="5098" w:type="dxa"/>
            <w:shd w:val="clear" w:color="auto" w:fill="auto"/>
            <w:vAlign w:val="center"/>
            <w:hideMark/>
          </w:tcPr>
          <w:p w14:paraId="7003C4B8"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Feature group</w:t>
            </w:r>
          </w:p>
        </w:tc>
        <w:tc>
          <w:tcPr>
            <w:tcW w:w="4536" w:type="dxa"/>
            <w:vAlign w:val="center"/>
          </w:tcPr>
          <w:p w14:paraId="5B9EB4C3" w14:textId="64FDBD12" w:rsidR="00EB5514" w:rsidRPr="00ED211A" w:rsidRDefault="00EB5514" w:rsidP="007F48FD">
            <w:pPr>
              <w:rPr>
                <w:rFonts w:ascii="Arial" w:eastAsia="等线" w:hAnsi="Arial" w:cs="Arial"/>
                <w:b/>
                <w:bCs/>
                <w:color w:val="000000"/>
                <w:sz w:val="16"/>
                <w:szCs w:val="16"/>
              </w:rPr>
            </w:pPr>
            <w:r w:rsidRPr="0010265F">
              <w:rPr>
                <w:rFonts w:ascii="Arial" w:eastAsia="Times New Roman" w:hAnsi="Arial" w:cs="Arial"/>
                <w:bCs/>
                <w:color w:val="000000"/>
                <w:sz w:val="18"/>
              </w:rPr>
              <w:t>Measurement validation during connection setup/resume</w:t>
            </w:r>
            <w:r>
              <w:rPr>
                <w:rFonts w:ascii="Arial" w:eastAsia="Times New Roman" w:hAnsi="Arial" w:cs="Arial"/>
                <w:bCs/>
                <w:color w:val="000000"/>
                <w:sz w:val="18"/>
              </w:rPr>
              <w:t xml:space="preserve"> for fast CA/DC setup</w:t>
            </w:r>
          </w:p>
        </w:tc>
      </w:tr>
      <w:tr w:rsidR="00EB5514" w:rsidRPr="00ED211A" w14:paraId="1881F60B" w14:textId="77777777" w:rsidTr="00EB5514">
        <w:trPr>
          <w:trHeight w:val="290"/>
        </w:trPr>
        <w:tc>
          <w:tcPr>
            <w:tcW w:w="5098" w:type="dxa"/>
            <w:shd w:val="clear" w:color="auto" w:fill="auto"/>
            <w:vAlign w:val="center"/>
            <w:hideMark/>
          </w:tcPr>
          <w:p w14:paraId="14367767"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Components</w:t>
            </w:r>
          </w:p>
        </w:tc>
        <w:tc>
          <w:tcPr>
            <w:tcW w:w="4536" w:type="dxa"/>
            <w:vAlign w:val="center"/>
          </w:tcPr>
          <w:p w14:paraId="088F6D68" w14:textId="2361A2F1" w:rsidR="00EB5514" w:rsidRPr="00ED211A" w:rsidRDefault="00264F41" w:rsidP="007F48FD">
            <w:pPr>
              <w:rPr>
                <w:rFonts w:ascii="Arial" w:eastAsia="等线" w:hAnsi="Arial" w:cs="Arial"/>
                <w:b/>
                <w:bCs/>
                <w:color w:val="000000"/>
                <w:sz w:val="16"/>
                <w:szCs w:val="16"/>
              </w:rPr>
            </w:pPr>
            <w:r>
              <w:rPr>
                <w:rFonts w:ascii="Arial" w:eastAsia="Times New Roman" w:hAnsi="Arial" w:cs="Arial"/>
                <w:bCs/>
                <w:color w:val="000000"/>
                <w:sz w:val="18"/>
              </w:rPr>
              <w:t>Indicate UE s</w:t>
            </w:r>
            <w:r w:rsidRPr="0010265F">
              <w:rPr>
                <w:rFonts w:ascii="Arial" w:eastAsia="Times New Roman" w:hAnsi="Arial" w:cs="Arial"/>
                <w:bCs/>
                <w:color w:val="000000"/>
                <w:sz w:val="18"/>
              </w:rPr>
              <w:t>upport</w:t>
            </w:r>
            <w:r>
              <w:rPr>
                <w:rFonts w:ascii="Arial" w:eastAsia="Times New Roman" w:hAnsi="Arial" w:cs="Arial"/>
                <w:bCs/>
                <w:color w:val="000000"/>
                <w:sz w:val="18"/>
              </w:rPr>
              <w:t>ing</w:t>
            </w:r>
            <w:r w:rsidRPr="0010265F">
              <w:rPr>
                <w:rFonts w:ascii="Arial" w:eastAsia="Times New Roman" w:hAnsi="Arial" w:cs="Arial"/>
                <w:bCs/>
                <w:color w:val="000000"/>
                <w:sz w:val="18"/>
              </w:rPr>
              <w:t xml:space="preserve"> measurement validation during connection setup/resume</w:t>
            </w:r>
            <w:r>
              <w:rPr>
                <w:rFonts w:ascii="Arial" w:eastAsia="Times New Roman" w:hAnsi="Arial" w:cs="Arial"/>
                <w:bCs/>
                <w:color w:val="000000"/>
                <w:sz w:val="18"/>
              </w:rPr>
              <w:t xml:space="preserve"> for fast CA/DC setup</w:t>
            </w:r>
          </w:p>
        </w:tc>
      </w:tr>
      <w:tr w:rsidR="00EB5514" w:rsidRPr="00ED211A" w14:paraId="6714B1DC" w14:textId="77777777" w:rsidTr="00EB5514">
        <w:trPr>
          <w:trHeight w:val="290"/>
        </w:trPr>
        <w:tc>
          <w:tcPr>
            <w:tcW w:w="5098" w:type="dxa"/>
            <w:shd w:val="clear" w:color="auto" w:fill="auto"/>
            <w:vAlign w:val="center"/>
            <w:hideMark/>
          </w:tcPr>
          <w:p w14:paraId="4CC8D30C"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Prerequisite feature groups</w:t>
            </w:r>
          </w:p>
        </w:tc>
        <w:tc>
          <w:tcPr>
            <w:tcW w:w="4536" w:type="dxa"/>
            <w:vAlign w:val="center"/>
          </w:tcPr>
          <w:p w14:paraId="4F554A8A"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 xml:space="preserve">　</w:t>
            </w:r>
          </w:p>
        </w:tc>
      </w:tr>
      <w:tr w:rsidR="00EB5514" w:rsidRPr="00ED211A" w14:paraId="43CC3B4A" w14:textId="77777777" w:rsidTr="00EB5514">
        <w:trPr>
          <w:trHeight w:val="290"/>
        </w:trPr>
        <w:tc>
          <w:tcPr>
            <w:tcW w:w="5098" w:type="dxa"/>
            <w:shd w:val="clear" w:color="auto" w:fill="auto"/>
            <w:vAlign w:val="center"/>
            <w:hideMark/>
          </w:tcPr>
          <w:p w14:paraId="1FF84174"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 xml:space="preserve">Need for the </w:t>
            </w:r>
            <w:proofErr w:type="spellStart"/>
            <w:r w:rsidRPr="00ED211A">
              <w:rPr>
                <w:rFonts w:ascii="Arial" w:eastAsia="等线" w:hAnsi="Arial" w:cs="Arial"/>
                <w:b/>
                <w:bCs/>
                <w:color w:val="000000"/>
                <w:sz w:val="16"/>
                <w:szCs w:val="16"/>
              </w:rPr>
              <w:t>gNB</w:t>
            </w:r>
            <w:proofErr w:type="spellEnd"/>
            <w:r w:rsidRPr="00ED211A">
              <w:rPr>
                <w:rFonts w:ascii="Arial" w:eastAsia="等线" w:hAnsi="Arial" w:cs="Arial"/>
                <w:b/>
                <w:bCs/>
                <w:color w:val="000000"/>
                <w:sz w:val="16"/>
                <w:szCs w:val="16"/>
              </w:rPr>
              <w:t xml:space="preserve"> to know if the feature is supported</w:t>
            </w:r>
          </w:p>
        </w:tc>
        <w:tc>
          <w:tcPr>
            <w:tcW w:w="4536" w:type="dxa"/>
            <w:vAlign w:val="center"/>
          </w:tcPr>
          <w:p w14:paraId="11F3D4A3"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Yes</w:t>
            </w:r>
          </w:p>
        </w:tc>
      </w:tr>
      <w:tr w:rsidR="00EB5514" w:rsidRPr="00ED211A" w14:paraId="68A29FCC" w14:textId="77777777" w:rsidTr="00EB5514">
        <w:trPr>
          <w:trHeight w:val="290"/>
        </w:trPr>
        <w:tc>
          <w:tcPr>
            <w:tcW w:w="5098" w:type="dxa"/>
            <w:shd w:val="clear" w:color="auto" w:fill="auto"/>
            <w:vAlign w:val="center"/>
            <w:hideMark/>
          </w:tcPr>
          <w:p w14:paraId="0D0B64BF"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Applicable to the capability signalling exchange between UEs (V2X WI only)”.</w:t>
            </w:r>
          </w:p>
        </w:tc>
        <w:tc>
          <w:tcPr>
            <w:tcW w:w="4536" w:type="dxa"/>
            <w:vAlign w:val="center"/>
          </w:tcPr>
          <w:p w14:paraId="0924A538"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N/A</w:t>
            </w:r>
          </w:p>
        </w:tc>
      </w:tr>
      <w:tr w:rsidR="00EB5514" w:rsidRPr="00ED211A" w14:paraId="1103606F" w14:textId="77777777" w:rsidTr="00EB5514">
        <w:trPr>
          <w:trHeight w:val="290"/>
        </w:trPr>
        <w:tc>
          <w:tcPr>
            <w:tcW w:w="5098" w:type="dxa"/>
            <w:shd w:val="clear" w:color="auto" w:fill="auto"/>
            <w:vAlign w:val="center"/>
            <w:hideMark/>
          </w:tcPr>
          <w:p w14:paraId="41D94175"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Consequence if the feature is not supported by the UE</w:t>
            </w:r>
          </w:p>
        </w:tc>
        <w:tc>
          <w:tcPr>
            <w:tcW w:w="4536" w:type="dxa"/>
            <w:vAlign w:val="center"/>
          </w:tcPr>
          <w:p w14:paraId="46B0F201" w14:textId="77777777" w:rsidR="00EB5514" w:rsidRPr="00ED211A" w:rsidRDefault="00EB5514" w:rsidP="007F48FD">
            <w:pPr>
              <w:rPr>
                <w:rFonts w:ascii="Arial" w:eastAsia="等线" w:hAnsi="Arial" w:cs="Arial"/>
                <w:b/>
                <w:bCs/>
                <w:color w:val="000000"/>
                <w:sz w:val="16"/>
                <w:szCs w:val="16"/>
              </w:rPr>
            </w:pPr>
            <w:r w:rsidRPr="0010265F">
              <w:rPr>
                <w:rFonts w:ascii="Arial" w:eastAsia="宋体" w:hAnsi="Arial" w:cs="Arial"/>
                <w:bCs/>
                <w:color w:val="000000"/>
                <w:sz w:val="18"/>
              </w:rPr>
              <w:t>UE does not support measurement validation during connection setup/resume</w:t>
            </w:r>
          </w:p>
        </w:tc>
      </w:tr>
      <w:tr w:rsidR="00EB5514" w:rsidRPr="00ED211A" w14:paraId="37CDD2C1" w14:textId="77777777" w:rsidTr="00EB5514">
        <w:trPr>
          <w:trHeight w:val="804"/>
        </w:trPr>
        <w:tc>
          <w:tcPr>
            <w:tcW w:w="5098" w:type="dxa"/>
            <w:shd w:val="clear" w:color="auto" w:fill="auto"/>
            <w:vAlign w:val="center"/>
            <w:hideMark/>
          </w:tcPr>
          <w:p w14:paraId="4997343A"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Type</w:t>
            </w:r>
          </w:p>
          <w:p w14:paraId="48BB6DDC"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(the ‘type’ definition from UE features should be based on the granularity of 1) Per UE or 2) Per Band or 3) Per BC or 4) Per FS or 5) Per FSPC)</w:t>
            </w:r>
          </w:p>
        </w:tc>
        <w:tc>
          <w:tcPr>
            <w:tcW w:w="4536" w:type="dxa"/>
            <w:vAlign w:val="center"/>
          </w:tcPr>
          <w:p w14:paraId="59727420" w14:textId="2F4E4999" w:rsidR="00EB5514" w:rsidRPr="00C03E04" w:rsidRDefault="00EB5514" w:rsidP="007F48FD">
            <w:pPr>
              <w:rPr>
                <w:rFonts w:ascii="Arial" w:eastAsia="等线" w:hAnsi="Arial" w:cs="Arial"/>
                <w:b/>
                <w:bCs/>
                <w:color w:val="000000"/>
                <w:sz w:val="16"/>
                <w:szCs w:val="16"/>
                <w:highlight w:val="yellow"/>
              </w:rPr>
            </w:pPr>
            <w:r w:rsidRPr="00C92C88">
              <w:rPr>
                <w:rFonts w:ascii="Arial" w:eastAsia="等线" w:hAnsi="Arial" w:cs="Arial"/>
                <w:color w:val="000000"/>
                <w:sz w:val="18"/>
                <w:szCs w:val="18"/>
              </w:rPr>
              <w:t>Per</w:t>
            </w:r>
            <w:r>
              <w:rPr>
                <w:rFonts w:ascii="Arial" w:eastAsia="等线" w:hAnsi="Arial" w:cs="Arial"/>
                <w:color w:val="000000"/>
                <w:sz w:val="18"/>
                <w:szCs w:val="18"/>
              </w:rPr>
              <w:t xml:space="preserve"> </w:t>
            </w:r>
            <w:r w:rsidRPr="00C92C88">
              <w:rPr>
                <w:rFonts w:ascii="Arial" w:eastAsia="等线" w:hAnsi="Arial" w:cs="Arial"/>
                <w:color w:val="000000"/>
                <w:sz w:val="18"/>
                <w:szCs w:val="18"/>
              </w:rPr>
              <w:t>UE</w:t>
            </w:r>
          </w:p>
        </w:tc>
      </w:tr>
      <w:tr w:rsidR="00EB5514" w:rsidRPr="00ED211A" w14:paraId="426F6BA9" w14:textId="77777777" w:rsidTr="00EB5514">
        <w:trPr>
          <w:trHeight w:val="290"/>
        </w:trPr>
        <w:tc>
          <w:tcPr>
            <w:tcW w:w="5098" w:type="dxa"/>
            <w:shd w:val="clear" w:color="auto" w:fill="auto"/>
            <w:vAlign w:val="center"/>
            <w:hideMark/>
          </w:tcPr>
          <w:p w14:paraId="6E1B1605"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Need of FDD/TDD differentiation</w:t>
            </w:r>
          </w:p>
        </w:tc>
        <w:tc>
          <w:tcPr>
            <w:tcW w:w="4536" w:type="dxa"/>
            <w:vAlign w:val="center"/>
          </w:tcPr>
          <w:p w14:paraId="2028AAD7"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No</w:t>
            </w:r>
          </w:p>
        </w:tc>
      </w:tr>
      <w:tr w:rsidR="00EB5514" w:rsidRPr="00ED211A" w14:paraId="5270C219" w14:textId="77777777" w:rsidTr="00EB5514">
        <w:trPr>
          <w:trHeight w:val="290"/>
        </w:trPr>
        <w:tc>
          <w:tcPr>
            <w:tcW w:w="5098" w:type="dxa"/>
            <w:shd w:val="clear" w:color="auto" w:fill="auto"/>
            <w:vAlign w:val="center"/>
            <w:hideMark/>
          </w:tcPr>
          <w:p w14:paraId="47820FAE"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Need of FR1/FR2 differentiation</w:t>
            </w:r>
          </w:p>
        </w:tc>
        <w:tc>
          <w:tcPr>
            <w:tcW w:w="4536" w:type="dxa"/>
            <w:vAlign w:val="center"/>
          </w:tcPr>
          <w:p w14:paraId="63A06585" w14:textId="77777777" w:rsidR="00EB5514" w:rsidRPr="00ED211A" w:rsidRDefault="00EB5514" w:rsidP="007F48FD">
            <w:pPr>
              <w:rPr>
                <w:rFonts w:ascii="Arial" w:eastAsia="等线" w:hAnsi="Arial" w:cs="Arial"/>
                <w:b/>
                <w:bCs/>
                <w:color w:val="000000"/>
                <w:sz w:val="16"/>
                <w:szCs w:val="16"/>
              </w:rPr>
            </w:pPr>
            <w:r w:rsidRPr="00C92C88">
              <w:rPr>
                <w:rFonts w:ascii="Arial" w:eastAsia="等线" w:hAnsi="Arial" w:cs="Arial"/>
                <w:color w:val="000000"/>
                <w:sz w:val="18"/>
                <w:szCs w:val="18"/>
              </w:rPr>
              <w:t>Yes</w:t>
            </w:r>
          </w:p>
        </w:tc>
      </w:tr>
      <w:tr w:rsidR="00EB5514" w:rsidRPr="00ED211A" w14:paraId="1032C4CB" w14:textId="77777777" w:rsidTr="00EB5514">
        <w:trPr>
          <w:trHeight w:val="290"/>
        </w:trPr>
        <w:tc>
          <w:tcPr>
            <w:tcW w:w="5098" w:type="dxa"/>
            <w:shd w:val="clear" w:color="auto" w:fill="auto"/>
            <w:vAlign w:val="center"/>
            <w:hideMark/>
          </w:tcPr>
          <w:p w14:paraId="4AD322A8"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Capability interpretation for mixture of FDD/TDD and/or FR1/FR2</w:t>
            </w:r>
          </w:p>
        </w:tc>
        <w:tc>
          <w:tcPr>
            <w:tcW w:w="4536" w:type="dxa"/>
            <w:vAlign w:val="center"/>
          </w:tcPr>
          <w:p w14:paraId="20E55E40"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N/A</w:t>
            </w:r>
          </w:p>
        </w:tc>
      </w:tr>
      <w:tr w:rsidR="00EB5514" w:rsidRPr="00ED211A" w14:paraId="74F3689D" w14:textId="77777777" w:rsidTr="00EB5514">
        <w:trPr>
          <w:trHeight w:val="290"/>
        </w:trPr>
        <w:tc>
          <w:tcPr>
            <w:tcW w:w="5098" w:type="dxa"/>
            <w:shd w:val="clear" w:color="auto" w:fill="auto"/>
            <w:vAlign w:val="center"/>
            <w:hideMark/>
          </w:tcPr>
          <w:p w14:paraId="06B460DD"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Note</w:t>
            </w:r>
          </w:p>
        </w:tc>
        <w:tc>
          <w:tcPr>
            <w:tcW w:w="4536" w:type="dxa"/>
            <w:vAlign w:val="center"/>
          </w:tcPr>
          <w:p w14:paraId="50F4ABD7" w14:textId="4D7CEAD3" w:rsidR="00EB5514" w:rsidRPr="00ED211A" w:rsidRDefault="00EB5514" w:rsidP="007F48FD">
            <w:pPr>
              <w:rPr>
                <w:rFonts w:ascii="Arial" w:eastAsia="等线" w:hAnsi="Arial" w:cs="Arial"/>
                <w:b/>
                <w:bCs/>
                <w:color w:val="000000"/>
                <w:sz w:val="16"/>
                <w:szCs w:val="16"/>
              </w:rPr>
            </w:pPr>
          </w:p>
        </w:tc>
      </w:tr>
      <w:tr w:rsidR="00EB5514" w:rsidRPr="00ED211A" w14:paraId="1554F1FB" w14:textId="77777777" w:rsidTr="00EB5514">
        <w:trPr>
          <w:trHeight w:val="290"/>
        </w:trPr>
        <w:tc>
          <w:tcPr>
            <w:tcW w:w="5098" w:type="dxa"/>
            <w:shd w:val="clear" w:color="auto" w:fill="auto"/>
            <w:vAlign w:val="center"/>
            <w:hideMark/>
          </w:tcPr>
          <w:p w14:paraId="39014C64"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Mandatory/Optional</w:t>
            </w:r>
          </w:p>
        </w:tc>
        <w:tc>
          <w:tcPr>
            <w:tcW w:w="4536" w:type="dxa"/>
            <w:vAlign w:val="center"/>
          </w:tcPr>
          <w:p w14:paraId="01DC6DD3" w14:textId="04CE605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 xml:space="preserve">Optional with capability </w:t>
            </w:r>
            <w:r w:rsidR="005E1C7A" w:rsidRPr="00ED211A">
              <w:rPr>
                <w:rFonts w:ascii="Arial" w:eastAsia="等线" w:hAnsi="Arial" w:cs="Arial"/>
                <w:color w:val="000000"/>
                <w:sz w:val="18"/>
                <w:szCs w:val="18"/>
              </w:rPr>
              <w:t>signalling</w:t>
            </w:r>
          </w:p>
        </w:tc>
      </w:tr>
    </w:tbl>
    <w:p w14:paraId="76F9EC05" w14:textId="264B7910" w:rsidR="00542D33" w:rsidRDefault="00542D33" w:rsidP="00542D33">
      <w:pPr>
        <w:rPr>
          <w:rFonts w:eastAsiaTheme="minorEastAsia"/>
          <w:lang w:eastAsia="zh-CN"/>
        </w:rPr>
      </w:pPr>
    </w:p>
    <w:p w14:paraId="3870310E" w14:textId="77777777" w:rsidR="00542D33" w:rsidRPr="00542D33" w:rsidRDefault="00542D33" w:rsidP="00542D33">
      <w:pPr>
        <w:rPr>
          <w:rFonts w:eastAsiaTheme="minorEastAsia"/>
          <w:lang w:eastAsia="zh-CN"/>
        </w:rPr>
      </w:pP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 xml:space="preserve">FR2 </w:t>
      </w:r>
      <w:proofErr w:type="spellStart"/>
      <w:r w:rsidR="00193176" w:rsidRPr="00193176">
        <w:rPr>
          <w:rFonts w:eastAsia="宋体"/>
          <w:lang w:val="en-US" w:eastAsia="zh-CN"/>
        </w:rPr>
        <w:t>SCell</w:t>
      </w:r>
      <w:proofErr w:type="spellEnd"/>
      <w:r w:rsidR="00193176" w:rsidRPr="00193176">
        <w:rPr>
          <w:rFonts w:eastAsia="宋体"/>
          <w:lang w:val="en-US" w:eastAsia="zh-CN"/>
        </w:rPr>
        <w:t>/SCG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218B5EDE" w14:textId="55520BF2" w:rsidR="00E25F37" w:rsidRDefault="00E25F37" w:rsidP="00E25F37">
      <w:pPr>
        <w:rPr>
          <w:rFonts w:eastAsiaTheme="minorEastAsia"/>
          <w:b/>
          <w:iCs/>
          <w:lang w:eastAsia="zh-CN"/>
        </w:rPr>
      </w:pPr>
      <w:r>
        <w:rPr>
          <w:rFonts w:eastAsiaTheme="minorEastAsia"/>
          <w:b/>
          <w:iCs/>
          <w:lang w:eastAsia="zh-CN"/>
        </w:rPr>
        <w:t>Proposal</w:t>
      </w:r>
      <w:r w:rsidRPr="00120AA0">
        <w:rPr>
          <w:rFonts w:eastAsiaTheme="minorEastAsia"/>
          <w:b/>
          <w:iCs/>
          <w:lang w:eastAsia="zh-CN"/>
        </w:rPr>
        <w:t xml:space="preserve"> </w:t>
      </w:r>
      <w:r>
        <w:rPr>
          <w:rFonts w:eastAsiaTheme="minorEastAsia"/>
          <w:b/>
          <w:iCs/>
          <w:lang w:eastAsia="zh-CN"/>
        </w:rPr>
        <w:t>1</w:t>
      </w:r>
      <w:r w:rsidRPr="00120AA0">
        <w:rPr>
          <w:rFonts w:eastAsiaTheme="minorEastAsia"/>
          <w:b/>
          <w:iCs/>
          <w:lang w:eastAsia="zh-CN"/>
        </w:rPr>
        <w:t xml:space="preserve">: The expiration of T331 </w:t>
      </w:r>
      <w:r>
        <w:rPr>
          <w:rFonts w:eastAsiaTheme="minorEastAsia"/>
          <w:b/>
          <w:iCs/>
          <w:lang w:eastAsia="zh-CN"/>
        </w:rPr>
        <w:t>has no impact on</w:t>
      </w:r>
      <w:r w:rsidRPr="00120AA0">
        <w:rPr>
          <w:rFonts w:eastAsiaTheme="minorEastAsia"/>
          <w:b/>
          <w:iCs/>
          <w:lang w:eastAsia="zh-CN"/>
        </w:rPr>
        <w:t xml:space="preserve"> </w:t>
      </w:r>
      <w:r>
        <w:rPr>
          <w:rFonts w:eastAsiaTheme="minorEastAsia"/>
          <w:b/>
          <w:iCs/>
          <w:lang w:eastAsia="zh-CN"/>
        </w:rPr>
        <w:t>judgement of</w:t>
      </w:r>
      <w:r w:rsidRPr="00120AA0">
        <w:rPr>
          <w:rFonts w:eastAsiaTheme="minorEastAsia"/>
          <w:b/>
          <w:iCs/>
          <w:lang w:eastAsia="zh-CN"/>
        </w:rPr>
        <w:t xml:space="preserve"> the validity of the measurement results.</w:t>
      </w:r>
    </w:p>
    <w:p w14:paraId="47A13302" w14:textId="53A55D77" w:rsidR="00EB5514" w:rsidRDefault="00EB5514" w:rsidP="00E25F37">
      <w:pPr>
        <w:rPr>
          <w:rFonts w:eastAsiaTheme="minorEastAsia"/>
          <w:b/>
          <w:iCs/>
          <w:lang w:eastAsia="zh-CN"/>
        </w:rPr>
      </w:pPr>
      <w:r>
        <w:rPr>
          <w:rFonts w:eastAsiaTheme="minorEastAsia" w:hint="eastAsia"/>
          <w:b/>
          <w:iCs/>
          <w:lang w:eastAsia="zh-CN"/>
        </w:rPr>
        <w:lastRenderedPageBreak/>
        <w:t>P</w:t>
      </w:r>
      <w:r>
        <w:rPr>
          <w:rFonts w:eastAsiaTheme="minorEastAsia"/>
          <w:b/>
          <w:iCs/>
          <w:lang w:eastAsia="zh-CN"/>
        </w:rPr>
        <w:t>roposal 2: The UE capability for</w:t>
      </w:r>
      <w:r w:rsidR="00425A1E">
        <w:rPr>
          <w:rFonts w:eastAsiaTheme="minorEastAsia"/>
          <w:b/>
          <w:iCs/>
          <w:lang w:eastAsia="zh-CN"/>
        </w:rPr>
        <w:t xml:space="preserve"> the solution of existing measurement for fast CA/DC setup is provided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EB5514" w:rsidRPr="00ED211A" w14:paraId="091FD219" w14:textId="77777777" w:rsidTr="007F48FD">
        <w:trPr>
          <w:trHeight w:val="290"/>
        </w:trPr>
        <w:tc>
          <w:tcPr>
            <w:tcW w:w="5098" w:type="dxa"/>
            <w:shd w:val="clear" w:color="auto" w:fill="auto"/>
            <w:vAlign w:val="center"/>
          </w:tcPr>
          <w:p w14:paraId="74F72D92" w14:textId="77777777" w:rsidR="00EB5514" w:rsidRPr="00ED211A" w:rsidRDefault="00EB5514" w:rsidP="007F48FD">
            <w:pPr>
              <w:rPr>
                <w:rFonts w:ascii="Arial" w:eastAsia="等线" w:hAnsi="Arial" w:cs="Arial"/>
                <w:b/>
                <w:bCs/>
                <w:color w:val="000000"/>
                <w:sz w:val="16"/>
                <w:szCs w:val="16"/>
              </w:rPr>
            </w:pPr>
            <w:r>
              <w:rPr>
                <w:rFonts w:ascii="Arial" w:eastAsia="Times New Roman" w:hAnsi="Arial" w:cs="Arial"/>
                <w:b/>
                <w:color w:val="000000"/>
                <w:sz w:val="18"/>
              </w:rPr>
              <w:t>Features</w:t>
            </w:r>
          </w:p>
        </w:tc>
        <w:tc>
          <w:tcPr>
            <w:tcW w:w="4536" w:type="dxa"/>
            <w:vAlign w:val="center"/>
          </w:tcPr>
          <w:p w14:paraId="499C3811" w14:textId="2BF134EC" w:rsidR="00EB5514" w:rsidRPr="00ED211A" w:rsidRDefault="00EB5514" w:rsidP="007F48FD">
            <w:pPr>
              <w:rPr>
                <w:rFonts w:ascii="Arial" w:eastAsia="等线" w:hAnsi="Arial" w:cs="Arial"/>
                <w:color w:val="000000"/>
                <w:sz w:val="18"/>
                <w:szCs w:val="18"/>
              </w:rPr>
            </w:pPr>
            <w:r w:rsidRPr="00ED211A">
              <w:rPr>
                <w:rFonts w:ascii="Arial" w:eastAsia="等线" w:hAnsi="Arial" w:cs="Arial"/>
                <w:color w:val="000000"/>
                <w:sz w:val="18"/>
                <w:szCs w:val="18"/>
              </w:rPr>
              <w:t>39</w:t>
            </w:r>
            <w:r w:rsidR="000222CD">
              <w:rPr>
                <w:rFonts w:ascii="Arial" w:eastAsia="等线" w:hAnsi="Arial" w:cs="Arial"/>
                <w:color w:val="000000"/>
                <w:sz w:val="18"/>
                <w:szCs w:val="18"/>
              </w:rPr>
              <w:t>.</w:t>
            </w:r>
            <w:r>
              <w:rPr>
                <w:rFonts w:ascii="Arial" w:eastAsia="等线" w:hAnsi="Arial" w:cs="Arial" w:hint="eastAsia"/>
                <w:color w:val="000000"/>
                <w:sz w:val="18"/>
                <w:szCs w:val="18"/>
              </w:rPr>
              <w:t xml:space="preserve"> </w:t>
            </w:r>
            <w:r w:rsidRPr="00ED211A">
              <w:rPr>
                <w:rFonts w:ascii="Arial" w:eastAsia="等线" w:hAnsi="Arial" w:cs="Arial"/>
                <w:color w:val="000000"/>
                <w:sz w:val="18"/>
                <w:szCs w:val="18"/>
              </w:rPr>
              <w:t>NR_Mob_enh2</w:t>
            </w:r>
          </w:p>
        </w:tc>
      </w:tr>
      <w:tr w:rsidR="00EB5514" w:rsidRPr="00ED211A" w14:paraId="116F0806" w14:textId="77777777" w:rsidTr="007F48FD">
        <w:trPr>
          <w:trHeight w:val="290"/>
        </w:trPr>
        <w:tc>
          <w:tcPr>
            <w:tcW w:w="5098" w:type="dxa"/>
            <w:shd w:val="clear" w:color="auto" w:fill="auto"/>
            <w:vAlign w:val="center"/>
          </w:tcPr>
          <w:p w14:paraId="24CBCE78" w14:textId="77777777" w:rsidR="00EB5514" w:rsidRPr="00ED211A" w:rsidRDefault="00EB5514" w:rsidP="007F48FD">
            <w:pPr>
              <w:rPr>
                <w:rFonts w:ascii="Arial" w:eastAsia="等线" w:hAnsi="Arial" w:cs="Arial"/>
                <w:b/>
                <w:bCs/>
                <w:color w:val="000000"/>
                <w:sz w:val="16"/>
                <w:szCs w:val="16"/>
              </w:rPr>
            </w:pPr>
            <w:r>
              <w:rPr>
                <w:rFonts w:ascii="Arial" w:eastAsia="等线" w:hAnsi="Arial" w:cs="Arial" w:hint="eastAsia"/>
                <w:b/>
                <w:bCs/>
                <w:color w:val="000000"/>
                <w:sz w:val="16"/>
                <w:szCs w:val="16"/>
              </w:rPr>
              <w:t>Index</w:t>
            </w:r>
          </w:p>
        </w:tc>
        <w:tc>
          <w:tcPr>
            <w:tcW w:w="4536" w:type="dxa"/>
            <w:vAlign w:val="center"/>
          </w:tcPr>
          <w:p w14:paraId="39BC8CB6" w14:textId="77777777" w:rsidR="00EB5514" w:rsidRPr="00ED211A" w:rsidRDefault="00EB5514" w:rsidP="007F48FD">
            <w:pPr>
              <w:rPr>
                <w:rFonts w:ascii="Arial" w:eastAsia="等线" w:hAnsi="Arial" w:cs="Arial"/>
                <w:color w:val="000000"/>
                <w:sz w:val="18"/>
                <w:szCs w:val="18"/>
              </w:rPr>
            </w:pPr>
            <w:r w:rsidRPr="00ED211A">
              <w:rPr>
                <w:rFonts w:ascii="Arial" w:eastAsia="等线" w:hAnsi="Arial" w:cs="Arial"/>
                <w:color w:val="000000"/>
                <w:sz w:val="18"/>
                <w:szCs w:val="18"/>
              </w:rPr>
              <w:t>39-</w:t>
            </w:r>
            <w:r>
              <w:rPr>
                <w:rFonts w:ascii="Arial" w:eastAsia="等线" w:hAnsi="Arial" w:cs="Arial"/>
                <w:color w:val="000000"/>
                <w:sz w:val="18"/>
                <w:szCs w:val="18"/>
              </w:rPr>
              <w:t>x</w:t>
            </w:r>
          </w:p>
        </w:tc>
      </w:tr>
      <w:tr w:rsidR="00EB5514" w:rsidRPr="00ED211A" w14:paraId="1C1D002F" w14:textId="77777777" w:rsidTr="007F48FD">
        <w:trPr>
          <w:trHeight w:val="290"/>
        </w:trPr>
        <w:tc>
          <w:tcPr>
            <w:tcW w:w="5098" w:type="dxa"/>
            <w:shd w:val="clear" w:color="auto" w:fill="auto"/>
            <w:vAlign w:val="center"/>
            <w:hideMark/>
          </w:tcPr>
          <w:p w14:paraId="6B9382DA"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Feature group</w:t>
            </w:r>
          </w:p>
        </w:tc>
        <w:tc>
          <w:tcPr>
            <w:tcW w:w="4536" w:type="dxa"/>
            <w:vAlign w:val="center"/>
          </w:tcPr>
          <w:p w14:paraId="150FD9A3" w14:textId="77777777" w:rsidR="00EB5514" w:rsidRPr="00ED211A" w:rsidRDefault="00EB5514" w:rsidP="007F48FD">
            <w:pPr>
              <w:rPr>
                <w:rFonts w:ascii="Arial" w:eastAsia="等线" w:hAnsi="Arial" w:cs="Arial"/>
                <w:b/>
                <w:bCs/>
                <w:color w:val="000000"/>
                <w:sz w:val="16"/>
                <w:szCs w:val="16"/>
              </w:rPr>
            </w:pPr>
            <w:r w:rsidRPr="0010265F">
              <w:rPr>
                <w:rFonts w:ascii="Arial" w:eastAsia="Times New Roman" w:hAnsi="Arial" w:cs="Arial"/>
                <w:bCs/>
                <w:color w:val="000000"/>
                <w:sz w:val="18"/>
              </w:rPr>
              <w:t>Measurement validation during connection setup/resume</w:t>
            </w:r>
            <w:r>
              <w:rPr>
                <w:rFonts w:ascii="Arial" w:eastAsia="Times New Roman" w:hAnsi="Arial" w:cs="Arial"/>
                <w:bCs/>
                <w:color w:val="000000"/>
                <w:sz w:val="18"/>
              </w:rPr>
              <w:t xml:space="preserve"> for fast CA/DC setup</w:t>
            </w:r>
          </w:p>
        </w:tc>
      </w:tr>
      <w:tr w:rsidR="00EB5514" w:rsidRPr="00ED211A" w14:paraId="1D4F2C72" w14:textId="77777777" w:rsidTr="007F48FD">
        <w:trPr>
          <w:trHeight w:val="290"/>
        </w:trPr>
        <w:tc>
          <w:tcPr>
            <w:tcW w:w="5098" w:type="dxa"/>
            <w:shd w:val="clear" w:color="auto" w:fill="auto"/>
            <w:vAlign w:val="center"/>
            <w:hideMark/>
          </w:tcPr>
          <w:p w14:paraId="1F9CC6DF"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Components</w:t>
            </w:r>
          </w:p>
        </w:tc>
        <w:tc>
          <w:tcPr>
            <w:tcW w:w="4536" w:type="dxa"/>
            <w:vAlign w:val="center"/>
          </w:tcPr>
          <w:p w14:paraId="5C860A8A" w14:textId="6A4EDE2B" w:rsidR="00EB5514" w:rsidRPr="00ED211A" w:rsidRDefault="000222CD" w:rsidP="007F48FD">
            <w:pPr>
              <w:rPr>
                <w:rFonts w:ascii="Arial" w:eastAsia="等线" w:hAnsi="Arial" w:cs="Arial"/>
                <w:b/>
                <w:bCs/>
                <w:color w:val="000000"/>
                <w:sz w:val="16"/>
                <w:szCs w:val="16"/>
              </w:rPr>
            </w:pPr>
            <w:r>
              <w:rPr>
                <w:rFonts w:ascii="Arial" w:eastAsia="Times New Roman" w:hAnsi="Arial" w:cs="Arial"/>
                <w:bCs/>
                <w:color w:val="000000"/>
                <w:sz w:val="18"/>
              </w:rPr>
              <w:t>Indicate UE s</w:t>
            </w:r>
            <w:r w:rsidR="00EB5514" w:rsidRPr="0010265F">
              <w:rPr>
                <w:rFonts w:ascii="Arial" w:eastAsia="Times New Roman" w:hAnsi="Arial" w:cs="Arial"/>
                <w:bCs/>
                <w:color w:val="000000"/>
                <w:sz w:val="18"/>
              </w:rPr>
              <w:t>upport</w:t>
            </w:r>
            <w:r>
              <w:rPr>
                <w:rFonts w:ascii="Arial" w:eastAsia="Times New Roman" w:hAnsi="Arial" w:cs="Arial"/>
                <w:bCs/>
                <w:color w:val="000000"/>
                <w:sz w:val="18"/>
              </w:rPr>
              <w:t>ing</w:t>
            </w:r>
            <w:r w:rsidR="00EB5514" w:rsidRPr="0010265F">
              <w:rPr>
                <w:rFonts w:ascii="Arial" w:eastAsia="Times New Roman" w:hAnsi="Arial" w:cs="Arial"/>
                <w:bCs/>
                <w:color w:val="000000"/>
                <w:sz w:val="18"/>
              </w:rPr>
              <w:t xml:space="preserve"> measurement validation during connection setup/resume</w:t>
            </w:r>
            <w:r w:rsidR="00EB5514">
              <w:rPr>
                <w:rFonts w:ascii="Arial" w:eastAsia="Times New Roman" w:hAnsi="Arial" w:cs="Arial"/>
                <w:bCs/>
                <w:color w:val="000000"/>
                <w:sz w:val="18"/>
              </w:rPr>
              <w:t xml:space="preserve"> for fast CA/DC setup</w:t>
            </w:r>
          </w:p>
        </w:tc>
      </w:tr>
      <w:tr w:rsidR="00EB5514" w:rsidRPr="00ED211A" w14:paraId="7294EC27" w14:textId="77777777" w:rsidTr="007F48FD">
        <w:trPr>
          <w:trHeight w:val="290"/>
        </w:trPr>
        <w:tc>
          <w:tcPr>
            <w:tcW w:w="5098" w:type="dxa"/>
            <w:shd w:val="clear" w:color="auto" w:fill="auto"/>
            <w:vAlign w:val="center"/>
            <w:hideMark/>
          </w:tcPr>
          <w:p w14:paraId="0168E2DE"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Prerequisite feature groups</w:t>
            </w:r>
          </w:p>
        </w:tc>
        <w:tc>
          <w:tcPr>
            <w:tcW w:w="4536" w:type="dxa"/>
            <w:vAlign w:val="center"/>
          </w:tcPr>
          <w:p w14:paraId="2FD3FCC5"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 xml:space="preserve">　</w:t>
            </w:r>
          </w:p>
        </w:tc>
      </w:tr>
      <w:tr w:rsidR="00EB5514" w:rsidRPr="00ED211A" w14:paraId="11EC24D0" w14:textId="77777777" w:rsidTr="007F48FD">
        <w:trPr>
          <w:trHeight w:val="290"/>
        </w:trPr>
        <w:tc>
          <w:tcPr>
            <w:tcW w:w="5098" w:type="dxa"/>
            <w:shd w:val="clear" w:color="auto" w:fill="auto"/>
            <w:vAlign w:val="center"/>
            <w:hideMark/>
          </w:tcPr>
          <w:p w14:paraId="563490A9"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 xml:space="preserve">Need for the </w:t>
            </w:r>
            <w:proofErr w:type="spellStart"/>
            <w:r w:rsidRPr="00ED211A">
              <w:rPr>
                <w:rFonts w:ascii="Arial" w:eastAsia="等线" w:hAnsi="Arial" w:cs="Arial"/>
                <w:b/>
                <w:bCs/>
                <w:color w:val="000000"/>
                <w:sz w:val="16"/>
                <w:szCs w:val="16"/>
              </w:rPr>
              <w:t>gNB</w:t>
            </w:r>
            <w:proofErr w:type="spellEnd"/>
            <w:r w:rsidRPr="00ED211A">
              <w:rPr>
                <w:rFonts w:ascii="Arial" w:eastAsia="等线" w:hAnsi="Arial" w:cs="Arial"/>
                <w:b/>
                <w:bCs/>
                <w:color w:val="000000"/>
                <w:sz w:val="16"/>
                <w:szCs w:val="16"/>
              </w:rPr>
              <w:t xml:space="preserve"> to know if the feature is supported</w:t>
            </w:r>
          </w:p>
        </w:tc>
        <w:tc>
          <w:tcPr>
            <w:tcW w:w="4536" w:type="dxa"/>
            <w:vAlign w:val="center"/>
          </w:tcPr>
          <w:p w14:paraId="399E88A0"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Yes</w:t>
            </w:r>
          </w:p>
        </w:tc>
      </w:tr>
      <w:tr w:rsidR="00EB5514" w:rsidRPr="00ED211A" w14:paraId="441B90C5" w14:textId="77777777" w:rsidTr="007F48FD">
        <w:trPr>
          <w:trHeight w:val="290"/>
        </w:trPr>
        <w:tc>
          <w:tcPr>
            <w:tcW w:w="5098" w:type="dxa"/>
            <w:shd w:val="clear" w:color="auto" w:fill="auto"/>
            <w:vAlign w:val="center"/>
            <w:hideMark/>
          </w:tcPr>
          <w:p w14:paraId="2B4D0C5E"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Applicable to the capability signalling exchange between UEs (V2X WI only)”.</w:t>
            </w:r>
          </w:p>
        </w:tc>
        <w:tc>
          <w:tcPr>
            <w:tcW w:w="4536" w:type="dxa"/>
            <w:vAlign w:val="center"/>
          </w:tcPr>
          <w:p w14:paraId="45E02C98"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N/A</w:t>
            </w:r>
          </w:p>
        </w:tc>
      </w:tr>
      <w:tr w:rsidR="00EB5514" w:rsidRPr="00ED211A" w14:paraId="47E4A3B7" w14:textId="77777777" w:rsidTr="007F48FD">
        <w:trPr>
          <w:trHeight w:val="290"/>
        </w:trPr>
        <w:tc>
          <w:tcPr>
            <w:tcW w:w="5098" w:type="dxa"/>
            <w:shd w:val="clear" w:color="auto" w:fill="auto"/>
            <w:vAlign w:val="center"/>
            <w:hideMark/>
          </w:tcPr>
          <w:p w14:paraId="708DAF54"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Consequence if the feature is not supported by the UE</w:t>
            </w:r>
          </w:p>
        </w:tc>
        <w:tc>
          <w:tcPr>
            <w:tcW w:w="4536" w:type="dxa"/>
            <w:vAlign w:val="center"/>
          </w:tcPr>
          <w:p w14:paraId="068C1A96" w14:textId="77777777" w:rsidR="00EB5514" w:rsidRPr="00ED211A" w:rsidRDefault="00EB5514" w:rsidP="007F48FD">
            <w:pPr>
              <w:rPr>
                <w:rFonts w:ascii="Arial" w:eastAsia="等线" w:hAnsi="Arial" w:cs="Arial"/>
                <w:b/>
                <w:bCs/>
                <w:color w:val="000000"/>
                <w:sz w:val="16"/>
                <w:szCs w:val="16"/>
              </w:rPr>
            </w:pPr>
            <w:r w:rsidRPr="0010265F">
              <w:rPr>
                <w:rFonts w:ascii="Arial" w:eastAsia="宋体" w:hAnsi="Arial" w:cs="Arial"/>
                <w:bCs/>
                <w:color w:val="000000"/>
                <w:sz w:val="18"/>
              </w:rPr>
              <w:t>UE does not support measurement validation during connection setup/resume</w:t>
            </w:r>
          </w:p>
        </w:tc>
      </w:tr>
      <w:tr w:rsidR="00EB5514" w:rsidRPr="00ED211A" w14:paraId="54C1C09E" w14:textId="77777777" w:rsidTr="007F48FD">
        <w:trPr>
          <w:trHeight w:val="804"/>
        </w:trPr>
        <w:tc>
          <w:tcPr>
            <w:tcW w:w="5098" w:type="dxa"/>
            <w:shd w:val="clear" w:color="auto" w:fill="auto"/>
            <w:vAlign w:val="center"/>
            <w:hideMark/>
          </w:tcPr>
          <w:p w14:paraId="2969784D"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Type</w:t>
            </w:r>
          </w:p>
          <w:p w14:paraId="4E38ED20"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(the ‘type’ definition from UE features should be based on the granularity of 1) Per UE or 2) Per Band or 3) Per BC or 4) Per FS or 5) Per FSPC)</w:t>
            </w:r>
          </w:p>
        </w:tc>
        <w:tc>
          <w:tcPr>
            <w:tcW w:w="4536" w:type="dxa"/>
            <w:vAlign w:val="center"/>
          </w:tcPr>
          <w:p w14:paraId="78EDC594" w14:textId="77777777" w:rsidR="00EB5514" w:rsidRPr="00C03E04" w:rsidRDefault="00EB5514" w:rsidP="007F48FD">
            <w:pPr>
              <w:rPr>
                <w:rFonts w:ascii="Arial" w:eastAsia="等线" w:hAnsi="Arial" w:cs="Arial"/>
                <w:b/>
                <w:bCs/>
                <w:color w:val="000000"/>
                <w:sz w:val="16"/>
                <w:szCs w:val="16"/>
                <w:highlight w:val="yellow"/>
              </w:rPr>
            </w:pPr>
            <w:r w:rsidRPr="00C92C88">
              <w:rPr>
                <w:rFonts w:ascii="Arial" w:eastAsia="等线" w:hAnsi="Arial" w:cs="Arial"/>
                <w:color w:val="000000"/>
                <w:sz w:val="18"/>
                <w:szCs w:val="18"/>
              </w:rPr>
              <w:t>Per</w:t>
            </w:r>
            <w:r>
              <w:rPr>
                <w:rFonts w:ascii="Arial" w:eastAsia="等线" w:hAnsi="Arial" w:cs="Arial"/>
                <w:color w:val="000000"/>
                <w:sz w:val="18"/>
                <w:szCs w:val="18"/>
              </w:rPr>
              <w:t xml:space="preserve"> </w:t>
            </w:r>
            <w:r w:rsidRPr="00C92C88">
              <w:rPr>
                <w:rFonts w:ascii="Arial" w:eastAsia="等线" w:hAnsi="Arial" w:cs="Arial"/>
                <w:color w:val="000000"/>
                <w:sz w:val="18"/>
                <w:szCs w:val="18"/>
              </w:rPr>
              <w:t>UE</w:t>
            </w:r>
          </w:p>
        </w:tc>
      </w:tr>
      <w:tr w:rsidR="00EB5514" w:rsidRPr="00ED211A" w14:paraId="186504CC" w14:textId="77777777" w:rsidTr="007F48FD">
        <w:trPr>
          <w:trHeight w:val="290"/>
        </w:trPr>
        <w:tc>
          <w:tcPr>
            <w:tcW w:w="5098" w:type="dxa"/>
            <w:shd w:val="clear" w:color="auto" w:fill="auto"/>
            <w:vAlign w:val="center"/>
            <w:hideMark/>
          </w:tcPr>
          <w:p w14:paraId="28073EFF"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Need of FDD/TDD differentiation</w:t>
            </w:r>
          </w:p>
        </w:tc>
        <w:tc>
          <w:tcPr>
            <w:tcW w:w="4536" w:type="dxa"/>
            <w:vAlign w:val="center"/>
          </w:tcPr>
          <w:p w14:paraId="39088F0F"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No</w:t>
            </w:r>
          </w:p>
        </w:tc>
      </w:tr>
      <w:tr w:rsidR="00EB5514" w:rsidRPr="00ED211A" w14:paraId="10EEF4D9" w14:textId="77777777" w:rsidTr="007F48FD">
        <w:trPr>
          <w:trHeight w:val="290"/>
        </w:trPr>
        <w:tc>
          <w:tcPr>
            <w:tcW w:w="5098" w:type="dxa"/>
            <w:shd w:val="clear" w:color="auto" w:fill="auto"/>
            <w:vAlign w:val="center"/>
            <w:hideMark/>
          </w:tcPr>
          <w:p w14:paraId="7675D17C"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Need of FR1/FR2 differentiation</w:t>
            </w:r>
          </w:p>
        </w:tc>
        <w:tc>
          <w:tcPr>
            <w:tcW w:w="4536" w:type="dxa"/>
            <w:vAlign w:val="center"/>
          </w:tcPr>
          <w:p w14:paraId="20F277E9" w14:textId="77777777" w:rsidR="00EB5514" w:rsidRPr="00ED211A" w:rsidRDefault="00EB5514" w:rsidP="007F48FD">
            <w:pPr>
              <w:rPr>
                <w:rFonts w:ascii="Arial" w:eastAsia="等线" w:hAnsi="Arial" w:cs="Arial"/>
                <w:b/>
                <w:bCs/>
                <w:color w:val="000000"/>
                <w:sz w:val="16"/>
                <w:szCs w:val="16"/>
              </w:rPr>
            </w:pPr>
            <w:r w:rsidRPr="00C92C88">
              <w:rPr>
                <w:rFonts w:ascii="Arial" w:eastAsia="等线" w:hAnsi="Arial" w:cs="Arial"/>
                <w:color w:val="000000"/>
                <w:sz w:val="18"/>
                <w:szCs w:val="18"/>
              </w:rPr>
              <w:t>Yes</w:t>
            </w:r>
          </w:p>
        </w:tc>
      </w:tr>
      <w:tr w:rsidR="00EB5514" w:rsidRPr="00ED211A" w14:paraId="71509C3A" w14:textId="77777777" w:rsidTr="007F48FD">
        <w:trPr>
          <w:trHeight w:val="290"/>
        </w:trPr>
        <w:tc>
          <w:tcPr>
            <w:tcW w:w="5098" w:type="dxa"/>
            <w:shd w:val="clear" w:color="auto" w:fill="auto"/>
            <w:vAlign w:val="center"/>
            <w:hideMark/>
          </w:tcPr>
          <w:p w14:paraId="3A33DC15"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Capability interpretation for mixture of FDD/TDD and/or FR1/FR2</w:t>
            </w:r>
          </w:p>
        </w:tc>
        <w:tc>
          <w:tcPr>
            <w:tcW w:w="4536" w:type="dxa"/>
            <w:vAlign w:val="center"/>
          </w:tcPr>
          <w:p w14:paraId="728EF4C2"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N/A</w:t>
            </w:r>
          </w:p>
        </w:tc>
      </w:tr>
      <w:tr w:rsidR="00EB5514" w:rsidRPr="00ED211A" w14:paraId="2537D913" w14:textId="77777777" w:rsidTr="007F48FD">
        <w:trPr>
          <w:trHeight w:val="290"/>
        </w:trPr>
        <w:tc>
          <w:tcPr>
            <w:tcW w:w="5098" w:type="dxa"/>
            <w:shd w:val="clear" w:color="auto" w:fill="auto"/>
            <w:vAlign w:val="center"/>
            <w:hideMark/>
          </w:tcPr>
          <w:p w14:paraId="3C8650AF"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Note</w:t>
            </w:r>
          </w:p>
        </w:tc>
        <w:tc>
          <w:tcPr>
            <w:tcW w:w="4536" w:type="dxa"/>
            <w:vAlign w:val="center"/>
          </w:tcPr>
          <w:p w14:paraId="07D22DE8"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 xml:space="preserve">　</w:t>
            </w:r>
          </w:p>
        </w:tc>
      </w:tr>
      <w:tr w:rsidR="00EB5514" w:rsidRPr="00ED211A" w14:paraId="4158A5E6" w14:textId="77777777" w:rsidTr="007F48FD">
        <w:trPr>
          <w:trHeight w:val="290"/>
        </w:trPr>
        <w:tc>
          <w:tcPr>
            <w:tcW w:w="5098" w:type="dxa"/>
            <w:shd w:val="clear" w:color="auto" w:fill="auto"/>
            <w:vAlign w:val="center"/>
            <w:hideMark/>
          </w:tcPr>
          <w:p w14:paraId="6A8F85CA" w14:textId="77777777"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b/>
                <w:bCs/>
                <w:color w:val="000000"/>
                <w:sz w:val="16"/>
                <w:szCs w:val="16"/>
              </w:rPr>
              <w:t>Mandatory/Optional</w:t>
            </w:r>
          </w:p>
        </w:tc>
        <w:tc>
          <w:tcPr>
            <w:tcW w:w="4536" w:type="dxa"/>
            <w:vAlign w:val="center"/>
          </w:tcPr>
          <w:p w14:paraId="1F0C990F" w14:textId="7C112512" w:rsidR="00EB5514" w:rsidRPr="00ED211A" w:rsidRDefault="00EB5514" w:rsidP="007F48FD">
            <w:pPr>
              <w:rPr>
                <w:rFonts w:ascii="Arial" w:eastAsia="等线" w:hAnsi="Arial" w:cs="Arial"/>
                <w:b/>
                <w:bCs/>
                <w:color w:val="000000"/>
                <w:sz w:val="16"/>
                <w:szCs w:val="16"/>
              </w:rPr>
            </w:pPr>
            <w:r w:rsidRPr="00ED211A">
              <w:rPr>
                <w:rFonts w:ascii="Arial" w:eastAsia="等线" w:hAnsi="Arial" w:cs="Arial"/>
                <w:color w:val="000000"/>
                <w:sz w:val="18"/>
                <w:szCs w:val="18"/>
              </w:rPr>
              <w:t xml:space="preserve">Optional with capability </w:t>
            </w:r>
            <w:r w:rsidR="005E1C7A" w:rsidRPr="00ED211A">
              <w:rPr>
                <w:rFonts w:ascii="Arial" w:eastAsia="等线" w:hAnsi="Arial" w:cs="Arial"/>
                <w:color w:val="000000"/>
                <w:sz w:val="18"/>
                <w:szCs w:val="18"/>
              </w:rPr>
              <w:t>signalling</w:t>
            </w:r>
          </w:p>
        </w:tc>
      </w:tr>
    </w:tbl>
    <w:p w14:paraId="60E2B99A" w14:textId="77777777" w:rsidR="00EB5514" w:rsidRPr="00120AA0" w:rsidRDefault="00EB5514" w:rsidP="00E25F37">
      <w:pPr>
        <w:rPr>
          <w:rFonts w:eastAsiaTheme="minorEastAsia"/>
          <w:b/>
          <w:iCs/>
          <w:lang w:eastAsia="zh-CN"/>
        </w:rPr>
      </w:pPr>
    </w:p>
    <w:p w14:paraId="722BA065" w14:textId="77777777" w:rsidR="00C0754F" w:rsidRDefault="00C0754F" w:rsidP="00C0754F">
      <w:pPr>
        <w:pStyle w:val="1"/>
        <w:jc w:val="both"/>
        <w:rPr>
          <w:lang w:val="en-US"/>
        </w:rPr>
      </w:pPr>
      <w:r w:rsidRPr="00C0754F">
        <w:rPr>
          <w:lang w:val="en-US"/>
        </w:rPr>
        <w:t>Reference</w:t>
      </w:r>
    </w:p>
    <w:p w14:paraId="6EEEEE16" w14:textId="2DBAA434" w:rsidR="006C1AFE" w:rsidRDefault="004A329D" w:rsidP="004F3433">
      <w:pPr>
        <w:pStyle w:val="afe"/>
        <w:numPr>
          <w:ilvl w:val="0"/>
          <w:numId w:val="5"/>
        </w:numPr>
        <w:rPr>
          <w:rFonts w:eastAsia="宋体"/>
          <w:sz w:val="20"/>
          <w:szCs w:val="20"/>
          <w:lang w:val="en-GB" w:eastAsia="zh-CN"/>
        </w:rPr>
      </w:pPr>
      <w:r w:rsidRPr="004A329D">
        <w:rPr>
          <w:rFonts w:eastAsia="宋体"/>
          <w:sz w:val="20"/>
          <w:szCs w:val="20"/>
          <w:lang w:val="en-GB" w:eastAsia="zh-CN"/>
        </w:rPr>
        <w:t>R4-2321398</w:t>
      </w:r>
      <w:r w:rsidR="006C1AFE">
        <w:rPr>
          <w:rFonts w:eastAsia="宋体"/>
          <w:sz w:val="20"/>
          <w:szCs w:val="20"/>
          <w:lang w:val="en-GB" w:eastAsia="zh-CN"/>
        </w:rPr>
        <w:t xml:space="preserve">, </w:t>
      </w:r>
      <w:r w:rsidR="006C1AFE" w:rsidRPr="006C1AFE">
        <w:rPr>
          <w:rFonts w:eastAsia="宋体"/>
          <w:sz w:val="20"/>
          <w:szCs w:val="20"/>
          <w:lang w:val="en-GB" w:eastAsia="zh-CN"/>
        </w:rPr>
        <w:t>WF on NR Mobility Enhancements (Part 2)</w:t>
      </w:r>
      <w:r w:rsidR="006C1AFE" w:rsidRPr="004F3433">
        <w:rPr>
          <w:rFonts w:eastAsia="宋体"/>
          <w:sz w:val="20"/>
          <w:szCs w:val="20"/>
          <w:lang w:val="en-GB" w:eastAsia="zh-CN"/>
        </w:rPr>
        <w:t>,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C4301" w14:textId="77777777" w:rsidR="007F2510" w:rsidRDefault="007F2510">
      <w:r>
        <w:separator/>
      </w:r>
    </w:p>
  </w:endnote>
  <w:endnote w:type="continuationSeparator" w:id="0">
    <w:p w14:paraId="5E8D4A3E" w14:textId="77777777" w:rsidR="007F2510" w:rsidRDefault="007F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0020A" w:rsidRDefault="007002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1575F">
      <w:rPr>
        <w:rStyle w:val="af6"/>
      </w:rPr>
      <w:t>1</w:t>
    </w:r>
    <w:r>
      <w:rPr>
        <w:rStyle w:val="af6"/>
      </w:rPr>
      <w:fldChar w:fldCharType="end"/>
    </w:r>
  </w:p>
  <w:p w14:paraId="53820B6B" w14:textId="77777777" w:rsidR="0070020A" w:rsidRDefault="0070020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E4E9A" w14:textId="77777777" w:rsidR="007F2510" w:rsidRDefault="007F2510">
      <w:r>
        <w:separator/>
      </w:r>
    </w:p>
  </w:footnote>
  <w:footnote w:type="continuationSeparator" w:id="0">
    <w:p w14:paraId="4F6A12C2" w14:textId="77777777" w:rsidR="007F2510" w:rsidRDefault="007F2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58A4"/>
    <w:multiLevelType w:val="hybridMultilevel"/>
    <w:tmpl w:val="C0784E0A"/>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406C4"/>
    <w:multiLevelType w:val="hybridMultilevel"/>
    <w:tmpl w:val="7AE4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A64DEB"/>
    <w:multiLevelType w:val="hybridMultilevel"/>
    <w:tmpl w:val="F4BC91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23"/>
  </w:num>
  <w:num w:numId="4">
    <w:abstractNumId w:val="5"/>
  </w:num>
  <w:num w:numId="5">
    <w:abstractNumId w:val="8"/>
  </w:num>
  <w:num w:numId="6">
    <w:abstractNumId w:val="0"/>
  </w:num>
  <w:num w:numId="7">
    <w:abstractNumId w:val="17"/>
  </w:num>
  <w:num w:numId="8">
    <w:abstractNumId w:val="9"/>
  </w:num>
  <w:num w:numId="9">
    <w:abstractNumId w:val="14"/>
  </w:num>
  <w:num w:numId="10">
    <w:abstractNumId w:val="13"/>
  </w:num>
  <w:num w:numId="11">
    <w:abstractNumId w:val="7"/>
  </w:num>
  <w:num w:numId="12">
    <w:abstractNumId w:val="19"/>
  </w:num>
  <w:num w:numId="13">
    <w:abstractNumId w:val="18"/>
  </w:num>
  <w:num w:numId="14">
    <w:abstractNumId w:val="15"/>
  </w:num>
  <w:num w:numId="15">
    <w:abstractNumId w:val="6"/>
  </w:num>
  <w:num w:numId="16">
    <w:abstractNumId w:val="20"/>
  </w:num>
  <w:num w:numId="17">
    <w:abstractNumId w:val="4"/>
  </w:num>
  <w:num w:numId="18">
    <w:abstractNumId w:val="22"/>
  </w:num>
  <w:num w:numId="19">
    <w:abstractNumId w:val="16"/>
  </w:num>
  <w:num w:numId="20">
    <w:abstractNumId w:val="11"/>
  </w:num>
  <w:num w:numId="21">
    <w:abstractNumId w:val="12"/>
  </w:num>
  <w:num w:numId="22">
    <w:abstractNumId w:val="1"/>
  </w:num>
  <w:num w:numId="23">
    <w:abstractNumId w:val="3"/>
  </w:num>
  <w:num w:numId="24">
    <w:abstractNumId w:val="2"/>
  </w:num>
  <w:num w:numId="25">
    <w:abstractNumId w:val="10"/>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7"/>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2CD"/>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D61"/>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CE"/>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0AE"/>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CAB"/>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829"/>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1F73"/>
    <w:rsid w:val="0011216C"/>
    <w:rsid w:val="00112182"/>
    <w:rsid w:val="00112593"/>
    <w:rsid w:val="00112606"/>
    <w:rsid w:val="001126D0"/>
    <w:rsid w:val="00112756"/>
    <w:rsid w:val="00112889"/>
    <w:rsid w:val="001128C0"/>
    <w:rsid w:val="00112A1A"/>
    <w:rsid w:val="00112F49"/>
    <w:rsid w:val="00112F9E"/>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5FD0"/>
    <w:rsid w:val="00116046"/>
    <w:rsid w:val="0011614B"/>
    <w:rsid w:val="0011693D"/>
    <w:rsid w:val="00116F74"/>
    <w:rsid w:val="001173A2"/>
    <w:rsid w:val="001176B7"/>
    <w:rsid w:val="001179EE"/>
    <w:rsid w:val="001179F8"/>
    <w:rsid w:val="00120243"/>
    <w:rsid w:val="0012027C"/>
    <w:rsid w:val="00120AA0"/>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A04"/>
    <w:rsid w:val="00166CB7"/>
    <w:rsid w:val="0016746F"/>
    <w:rsid w:val="001675BD"/>
    <w:rsid w:val="00167847"/>
    <w:rsid w:val="001679C5"/>
    <w:rsid w:val="00167D02"/>
    <w:rsid w:val="001701A7"/>
    <w:rsid w:val="00170570"/>
    <w:rsid w:val="00170ADA"/>
    <w:rsid w:val="00170C0A"/>
    <w:rsid w:val="00170E08"/>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4D0"/>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099"/>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3A"/>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0AFA"/>
    <w:rsid w:val="001D1447"/>
    <w:rsid w:val="001D1841"/>
    <w:rsid w:val="001D1D55"/>
    <w:rsid w:val="001D2401"/>
    <w:rsid w:val="001D2427"/>
    <w:rsid w:val="001D24BE"/>
    <w:rsid w:val="001D251F"/>
    <w:rsid w:val="001D2896"/>
    <w:rsid w:val="001D28C3"/>
    <w:rsid w:val="001D2D6A"/>
    <w:rsid w:val="001D2E6A"/>
    <w:rsid w:val="001D309C"/>
    <w:rsid w:val="001D30F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20A"/>
    <w:rsid w:val="001E39F0"/>
    <w:rsid w:val="001E3AE2"/>
    <w:rsid w:val="001E3E0C"/>
    <w:rsid w:val="001E3FAF"/>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5C"/>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0DE2"/>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4F41"/>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83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7"/>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29"/>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8A7"/>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82"/>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2EB"/>
    <w:rsid w:val="002D5DDD"/>
    <w:rsid w:val="002D5ED7"/>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181"/>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3F7"/>
    <w:rsid w:val="003154C2"/>
    <w:rsid w:val="00315600"/>
    <w:rsid w:val="00316AB2"/>
    <w:rsid w:val="00317471"/>
    <w:rsid w:val="003176C7"/>
    <w:rsid w:val="00317E1E"/>
    <w:rsid w:val="00317E88"/>
    <w:rsid w:val="003200B2"/>
    <w:rsid w:val="003203F8"/>
    <w:rsid w:val="003211A2"/>
    <w:rsid w:val="0032168C"/>
    <w:rsid w:val="00321728"/>
    <w:rsid w:val="00321D66"/>
    <w:rsid w:val="003228A1"/>
    <w:rsid w:val="00322E24"/>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48B"/>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B25"/>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56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6CE"/>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5A1E"/>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3B2"/>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9EC"/>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C09"/>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29D"/>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4DA9"/>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53"/>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1C0"/>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D33"/>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1CC"/>
    <w:rsid w:val="0054670D"/>
    <w:rsid w:val="00546BC4"/>
    <w:rsid w:val="0054720C"/>
    <w:rsid w:val="0054736F"/>
    <w:rsid w:val="005478CC"/>
    <w:rsid w:val="005478F7"/>
    <w:rsid w:val="00547AAB"/>
    <w:rsid w:val="00547B0A"/>
    <w:rsid w:val="00547EBA"/>
    <w:rsid w:val="00547F1E"/>
    <w:rsid w:val="00550515"/>
    <w:rsid w:val="00550762"/>
    <w:rsid w:val="005508C3"/>
    <w:rsid w:val="00550A5E"/>
    <w:rsid w:val="00550AF2"/>
    <w:rsid w:val="005513D2"/>
    <w:rsid w:val="0055176A"/>
    <w:rsid w:val="00551AE1"/>
    <w:rsid w:val="00551E08"/>
    <w:rsid w:val="00551FCA"/>
    <w:rsid w:val="005522E3"/>
    <w:rsid w:val="005524FE"/>
    <w:rsid w:val="005528C5"/>
    <w:rsid w:val="00552C6C"/>
    <w:rsid w:val="00552CBB"/>
    <w:rsid w:val="00553816"/>
    <w:rsid w:val="00553A3F"/>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0FD7"/>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7AB"/>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392"/>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AA3"/>
    <w:rsid w:val="00593E7E"/>
    <w:rsid w:val="00593F10"/>
    <w:rsid w:val="005942D5"/>
    <w:rsid w:val="0059466A"/>
    <w:rsid w:val="0059467B"/>
    <w:rsid w:val="0059469B"/>
    <w:rsid w:val="00594752"/>
    <w:rsid w:val="0059555D"/>
    <w:rsid w:val="005955F2"/>
    <w:rsid w:val="00595777"/>
    <w:rsid w:val="00595AD9"/>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65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B7"/>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17A"/>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922"/>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C7A"/>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FD"/>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B4C"/>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5F"/>
    <w:rsid w:val="006157A1"/>
    <w:rsid w:val="00615908"/>
    <w:rsid w:val="00615BF9"/>
    <w:rsid w:val="006161A2"/>
    <w:rsid w:val="006162EC"/>
    <w:rsid w:val="0061663C"/>
    <w:rsid w:val="0061685D"/>
    <w:rsid w:val="0061700B"/>
    <w:rsid w:val="006173AF"/>
    <w:rsid w:val="006173DA"/>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CC6"/>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054"/>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7AF"/>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AFE"/>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A6B"/>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6CF1"/>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15"/>
    <w:rsid w:val="00727242"/>
    <w:rsid w:val="00727661"/>
    <w:rsid w:val="00727E45"/>
    <w:rsid w:val="00727F4F"/>
    <w:rsid w:val="00727F9E"/>
    <w:rsid w:val="007305C3"/>
    <w:rsid w:val="00730600"/>
    <w:rsid w:val="00730AF5"/>
    <w:rsid w:val="00730CB7"/>
    <w:rsid w:val="00731013"/>
    <w:rsid w:val="0073169F"/>
    <w:rsid w:val="007316F1"/>
    <w:rsid w:val="007322A6"/>
    <w:rsid w:val="0073255C"/>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790"/>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57"/>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82"/>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76F"/>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510"/>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DFE"/>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029"/>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8A8"/>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BB8"/>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3ED2"/>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547"/>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57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58"/>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27E7B"/>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23"/>
    <w:rsid w:val="00961B7B"/>
    <w:rsid w:val="00962070"/>
    <w:rsid w:val="00963189"/>
    <w:rsid w:val="0096321A"/>
    <w:rsid w:val="0096346D"/>
    <w:rsid w:val="00963C0E"/>
    <w:rsid w:val="00963EC5"/>
    <w:rsid w:val="00963F72"/>
    <w:rsid w:val="00964285"/>
    <w:rsid w:val="00964435"/>
    <w:rsid w:val="00964583"/>
    <w:rsid w:val="00964747"/>
    <w:rsid w:val="0096556C"/>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650"/>
    <w:rsid w:val="009717D8"/>
    <w:rsid w:val="00971980"/>
    <w:rsid w:val="00971B0A"/>
    <w:rsid w:val="00971C55"/>
    <w:rsid w:val="00971DBA"/>
    <w:rsid w:val="00971F5E"/>
    <w:rsid w:val="00972047"/>
    <w:rsid w:val="009726BC"/>
    <w:rsid w:val="00972BDF"/>
    <w:rsid w:val="00973219"/>
    <w:rsid w:val="0097338E"/>
    <w:rsid w:val="009733A9"/>
    <w:rsid w:val="0097353F"/>
    <w:rsid w:val="0097356C"/>
    <w:rsid w:val="0097377A"/>
    <w:rsid w:val="00973D61"/>
    <w:rsid w:val="00973D6D"/>
    <w:rsid w:val="00974559"/>
    <w:rsid w:val="00974583"/>
    <w:rsid w:val="00974B5A"/>
    <w:rsid w:val="00974D53"/>
    <w:rsid w:val="00974D80"/>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8B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4E3E"/>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7CE"/>
    <w:rsid w:val="009C1AD9"/>
    <w:rsid w:val="009C1FEC"/>
    <w:rsid w:val="009C2319"/>
    <w:rsid w:val="009C2331"/>
    <w:rsid w:val="009C24E5"/>
    <w:rsid w:val="009C2BCD"/>
    <w:rsid w:val="009C2D78"/>
    <w:rsid w:val="009C2F0F"/>
    <w:rsid w:val="009C31BA"/>
    <w:rsid w:val="009C33AC"/>
    <w:rsid w:val="009C3735"/>
    <w:rsid w:val="009C3935"/>
    <w:rsid w:val="009C3BBB"/>
    <w:rsid w:val="009C3E61"/>
    <w:rsid w:val="009C3F9E"/>
    <w:rsid w:val="009C4176"/>
    <w:rsid w:val="009C4522"/>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A95"/>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5E0A"/>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1A8"/>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A20"/>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A28"/>
    <w:rsid w:val="00B14D74"/>
    <w:rsid w:val="00B151C4"/>
    <w:rsid w:val="00B15426"/>
    <w:rsid w:val="00B15921"/>
    <w:rsid w:val="00B15BF1"/>
    <w:rsid w:val="00B15D5D"/>
    <w:rsid w:val="00B15FBE"/>
    <w:rsid w:val="00B16629"/>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8EF"/>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4F82"/>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4CF3"/>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3C9"/>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A3E"/>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CDC"/>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547"/>
    <w:rsid w:val="00C37107"/>
    <w:rsid w:val="00C37693"/>
    <w:rsid w:val="00C37830"/>
    <w:rsid w:val="00C3796F"/>
    <w:rsid w:val="00C400E6"/>
    <w:rsid w:val="00C40192"/>
    <w:rsid w:val="00C401A6"/>
    <w:rsid w:val="00C40641"/>
    <w:rsid w:val="00C40796"/>
    <w:rsid w:val="00C409D5"/>
    <w:rsid w:val="00C40FFB"/>
    <w:rsid w:val="00C41205"/>
    <w:rsid w:val="00C4128F"/>
    <w:rsid w:val="00C4189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1FA6"/>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038"/>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87"/>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5FC"/>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625"/>
    <w:rsid w:val="00D1270F"/>
    <w:rsid w:val="00D1276C"/>
    <w:rsid w:val="00D132B1"/>
    <w:rsid w:val="00D13EA5"/>
    <w:rsid w:val="00D13F5A"/>
    <w:rsid w:val="00D13FC2"/>
    <w:rsid w:val="00D1417E"/>
    <w:rsid w:val="00D14319"/>
    <w:rsid w:val="00D14B1D"/>
    <w:rsid w:val="00D14C4B"/>
    <w:rsid w:val="00D14D2A"/>
    <w:rsid w:val="00D1598B"/>
    <w:rsid w:val="00D159FA"/>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0EDE"/>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1D6"/>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2F0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A48"/>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6FC"/>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D7F"/>
    <w:rsid w:val="00D96738"/>
    <w:rsid w:val="00D9674A"/>
    <w:rsid w:val="00D968C4"/>
    <w:rsid w:val="00D96A09"/>
    <w:rsid w:val="00D96F48"/>
    <w:rsid w:val="00D975E8"/>
    <w:rsid w:val="00D9769A"/>
    <w:rsid w:val="00D976EA"/>
    <w:rsid w:val="00D97E0E"/>
    <w:rsid w:val="00DA0A59"/>
    <w:rsid w:val="00DA0D46"/>
    <w:rsid w:val="00DA0D9B"/>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B7F5E"/>
    <w:rsid w:val="00DC038A"/>
    <w:rsid w:val="00DC0757"/>
    <w:rsid w:val="00DC0939"/>
    <w:rsid w:val="00DC0A85"/>
    <w:rsid w:val="00DC0BF6"/>
    <w:rsid w:val="00DC18FC"/>
    <w:rsid w:val="00DC1A30"/>
    <w:rsid w:val="00DC1C45"/>
    <w:rsid w:val="00DC1E7F"/>
    <w:rsid w:val="00DC208A"/>
    <w:rsid w:val="00DC2307"/>
    <w:rsid w:val="00DC346E"/>
    <w:rsid w:val="00DC36BD"/>
    <w:rsid w:val="00DC3D4F"/>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3A82"/>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5F37"/>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8CD"/>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A"/>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16D"/>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67E59"/>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22"/>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1B4"/>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0B0"/>
    <w:rsid w:val="00EA5259"/>
    <w:rsid w:val="00EA5424"/>
    <w:rsid w:val="00EA544B"/>
    <w:rsid w:val="00EA5474"/>
    <w:rsid w:val="00EA561A"/>
    <w:rsid w:val="00EA5D53"/>
    <w:rsid w:val="00EA5D61"/>
    <w:rsid w:val="00EA6358"/>
    <w:rsid w:val="00EA6360"/>
    <w:rsid w:val="00EA6685"/>
    <w:rsid w:val="00EA6788"/>
    <w:rsid w:val="00EA68AB"/>
    <w:rsid w:val="00EA68F6"/>
    <w:rsid w:val="00EA6D1C"/>
    <w:rsid w:val="00EA6D4D"/>
    <w:rsid w:val="00EA6E26"/>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514"/>
    <w:rsid w:val="00EB5857"/>
    <w:rsid w:val="00EB5C05"/>
    <w:rsid w:val="00EB5F88"/>
    <w:rsid w:val="00EB5FA4"/>
    <w:rsid w:val="00EB61E6"/>
    <w:rsid w:val="00EB6494"/>
    <w:rsid w:val="00EB668F"/>
    <w:rsid w:val="00EB6871"/>
    <w:rsid w:val="00EB6B49"/>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274"/>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CB1"/>
    <w:rsid w:val="00F26D3E"/>
    <w:rsid w:val="00F26F6A"/>
    <w:rsid w:val="00F26FC4"/>
    <w:rsid w:val="00F2718A"/>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20B"/>
    <w:rsid w:val="00F334DC"/>
    <w:rsid w:val="00F33B87"/>
    <w:rsid w:val="00F33C8F"/>
    <w:rsid w:val="00F3412C"/>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00E"/>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2E71"/>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2D"/>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D1A"/>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21D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E7E16D7-D00B-43DF-9EF5-989CBE7BB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2024-02-19T08:18:00Z</dcterms:created>
  <dcterms:modified xsi:type="dcterms:W3CDTF">2024-02-19T08:18:00Z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(3)yXuAyPUkFaT/luApeZiKZmzQ/XEvw4CFonwEsKe5kV8f8jV2f7pZ3J2DFtYbg+rQwSAAPq5E
ug1T3P+uEo7Gu8OCtdLNBlx8h1zZSooQJkg6xBpBdEOrHJR0l1BsdP7b70RHO/zQ9OTICGGk
2MZpdQk2QcPddD8UpITo7qHXoYOJ+yiV2nqCIxqAvR3QjKLtZIePsjSxIZ/Ct7Tz7Ox6r/mt
Z2XLPhLtPH4MnBa3Om</vt:lpwstr>
  </property>
  <property fmtid="{D5CDD505-2E9C-101B-9397-08002B2CF9AE}" pid="17" name="_2015_ms_pID_725343_00">
    <vt:lpwstr>_2015_ms_pID_725343</vt:lpwstr>
  </property>
  <property fmtid="{D5CDD505-2E9C-101B-9397-08002B2CF9AE}" pid="18" name="_2015_ms_pID_7253431">
    <vt:lpwstr>bEQz+PxrUYTRZ/3MEuLiPfpjtwJkh+IhjmH8kWq2lBFz5H/gvTzoEd
aPmqXc7ToxKi0prU2dsCxrLD6srRaMfkSGo8yI7pPcwuHm8cihyKPreUsPc9jcqJu6K62C3k
r6nFxPIcF1kg59220WXGdk6TNPd3PY0P7L6/q6sDYzOwccwsKIx46HBxZMoH5zveTAtMlT9y
EsGqijzESB0M+8TcaQeeXOuqUu3CsX0VCBC9</vt:lpwstr>
  </property>
  <property fmtid="{D5CDD505-2E9C-101B-9397-08002B2CF9AE}" pid="19" name="_2015_ms_pID_7253431_00">
    <vt:lpwstr>_2015_ms_pID_7253431</vt:lpwstr>
  </property>
  <property fmtid="{D5CDD505-2E9C-101B-9397-08002B2CF9AE}" pid="20" name="_2015_ms_pID_7253432">
    <vt:lpwstr>ye6HdRgoo7BL313fqjK6InjGFnRU2TcQV3Cm
wikwdPMwrr/lG/+jTTIqpHFs3Rktb6GjM/mN+srziCAaCo0MQ3s=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1695037951</vt:lpwstr>
  </property>
</Properties>
</file>