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tabs>
                <w:tab w:val="right" w:pos="9639"/>
              </w:tabs>
              <w:spacing w:after="0"/>
              <w:rPr>
                <w:rFonts w:hint="default" w:eastAsia="宋体"/>
                <w:b/>
                <w:i/>
                <w:sz w:val="28"/>
                <w:highlight w:val="yellow"/>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rPr>
                <w:rFonts w:ascii="Arial" w:hAnsi="Arial"/>
                <w:b/>
                <w:sz w:val="24"/>
              </w:rPr>
              <w:t>#</w:t>
            </w:r>
            <w:r>
              <w:rPr>
                <w:rFonts w:hint="eastAsia" w:ascii="Arial" w:hAnsi="Arial"/>
                <w:b/>
                <w:sz w:val="24"/>
                <w:lang w:val="en-US" w:eastAsia="zh-CN"/>
              </w:rPr>
              <w:t>10</w:t>
            </w:r>
            <w:r>
              <w:rPr>
                <w:rFonts w:hint="eastAsia"/>
                <w:b/>
                <w:sz w:val="24"/>
                <w:lang w:val="en-US" w:eastAsia="zh-CN"/>
              </w:rPr>
              <w:t>8</w:t>
            </w:r>
            <w:r>
              <w:rPr>
                <w:rFonts w:hint="eastAsia" w:ascii="Arial" w:hAnsi="Arial"/>
                <w:b/>
                <w:sz w:val="24"/>
                <w:lang w:val="en-US" w:eastAsia="zh-CN"/>
              </w:rPr>
              <w:t xml:space="preserve"> </w:t>
            </w:r>
            <w:r>
              <w:rPr>
                <w:rFonts w:hint="eastAsia" w:eastAsia="宋体"/>
                <w:b/>
                <w:sz w:val="24"/>
                <w:lang w:val="en-US" w:eastAsia="zh-CN"/>
              </w:rPr>
              <w:t xml:space="preserve">                                                             </w:t>
            </w:r>
            <w:r>
              <w:rPr>
                <w:rFonts w:hint="eastAsia" w:eastAsia="宋体"/>
                <w:b/>
                <w:sz w:val="24"/>
                <w:highlight w:val="none"/>
                <w:lang w:val="en-US" w:eastAsia="zh-CN"/>
              </w:rPr>
              <w:t xml:space="preserve">  </w:t>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R4-23</w:t>
            </w:r>
            <w:r>
              <w:rPr>
                <w:rFonts w:hint="eastAsia" w:eastAsia="宋体"/>
                <w:b/>
                <w:i/>
                <w:sz w:val="28"/>
                <w:highlight w:val="none"/>
                <w:lang w:val="en-US" w:eastAsia="zh-CN"/>
              </w:rPr>
              <w:t>12640</w:t>
            </w:r>
            <w:r>
              <w:rPr>
                <w:b/>
                <w:i/>
                <w:sz w:val="28"/>
                <w:highlight w:val="none"/>
              </w:rPr>
              <w:fldChar w:fldCharType="end"/>
            </w:r>
          </w:p>
          <w:p>
            <w:pPr>
              <w:pStyle w:val="81"/>
              <w:outlineLvl w:val="0"/>
              <w:rPr>
                <w:b/>
                <w:sz w:val="24"/>
              </w:rPr>
            </w:pPr>
            <w:r>
              <w:rPr>
                <w:rFonts w:ascii="Arial" w:hAnsi="Arial" w:eastAsia="宋体" w:cs="Arial"/>
                <w:b/>
                <w:sz w:val="24"/>
                <w:szCs w:val="24"/>
                <w:lang w:eastAsia="zh-CN"/>
              </w:rPr>
              <w:t>Toulouse, France, August 21 – August 25, 2023</w:t>
            </w:r>
          </w:p>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ascii="Arial" w:hAnsi="Arial"/>
                <w:b/>
                <w:sz w:val="28"/>
                <w:lang w:val="en-US" w:eastAsia="zh-CN"/>
              </w:rPr>
              <w:t>36.1</w:t>
            </w:r>
            <w:r>
              <w:rPr>
                <w:rFonts w:hint="eastAsia"/>
                <w:b/>
                <w:sz w:val="28"/>
                <w:lang w:val="en-US" w:eastAsia="zh-CN"/>
              </w:rPr>
              <w:t>81</w:t>
            </w:r>
          </w:p>
        </w:tc>
        <w:tc>
          <w:tcPr>
            <w:tcW w:w="709" w:type="dxa"/>
          </w:tcPr>
          <w:p>
            <w:pPr>
              <w:pStyle w:val="81"/>
              <w:spacing w:after="0"/>
              <w:jc w:val="center"/>
              <w:rPr>
                <w:highlight w:val="yellow"/>
              </w:rPr>
            </w:pPr>
            <w:r>
              <w:rPr>
                <w:b/>
                <w:sz w:val="28"/>
                <w:highlight w:val="none"/>
              </w:rPr>
              <w:t>CR</w:t>
            </w:r>
          </w:p>
        </w:tc>
        <w:tc>
          <w:tcPr>
            <w:tcW w:w="1276" w:type="dxa"/>
            <w:shd w:val="pct30" w:color="FFFF00" w:fill="auto"/>
          </w:tcPr>
          <w:p>
            <w:pPr>
              <w:pStyle w:val="81"/>
              <w:spacing w:after="0"/>
              <w:rPr>
                <w:rFonts w:hint="default" w:eastAsia="宋体"/>
                <w:highlight w:val="yellow"/>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00</w:t>
            </w:r>
            <w:r>
              <w:rPr>
                <w:b/>
                <w:sz w:val="28"/>
                <w:highlight w:val="none"/>
              </w:rPr>
              <w:fldChar w:fldCharType="end"/>
            </w:r>
            <w:r>
              <w:rPr>
                <w:rFonts w:hint="eastAsia" w:eastAsia="宋体"/>
                <w:b/>
                <w:sz w:val="28"/>
                <w:highlight w:val="none"/>
                <w:lang w:val="en-US" w:eastAsia="zh-CN"/>
              </w:rPr>
              <w:t>05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ascii="Arial" w:hAnsi="Arial"/>
                <w:b/>
                <w:sz w:val="28"/>
                <w:lang w:val="en-US" w:eastAsia="zh-CN"/>
              </w:rPr>
              <w:t>18.</w:t>
            </w:r>
            <w:r>
              <w:rPr>
                <w:rFonts w:hint="eastAsia"/>
                <w:b/>
                <w:sz w:val="28"/>
                <w:lang w:val="en-US" w:eastAsia="zh-CN"/>
              </w:rPr>
              <w:t>0</w:t>
            </w:r>
            <w:r>
              <w:rPr>
                <w:rFonts w:hint="eastAsia" w:ascii="Arial" w:hAnsi="Arial"/>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CR on Unwanted emission requirement for IoT NTN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China Telecom </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cs="Arial"/>
                <w:sz w:val="18"/>
                <w:szCs w:val="18"/>
                <w:lang w:eastAsia="ja-JP"/>
              </w:rPr>
              <w:t>LTE_NBIOT_eMTC_NTN_req-Core</w:t>
            </w:r>
            <w:r>
              <w:t xml:space="preserve"> </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2023-8-11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jc w:val="both"/>
              <w:rPr>
                <w:rFonts w:hint="eastAsia" w:eastAsia="宋体"/>
                <w:b/>
                <w:lang w:eastAsia="zh-CN"/>
              </w:rPr>
            </w:pPr>
            <w:r>
              <w:rPr>
                <w:rFonts w:hint="eastAsia"/>
                <w:b/>
                <w:i/>
                <w:sz w:val="18"/>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The unwanted emission requirement should be updated as the terminology of BW  and associated PSD are misleading. The boundary of OBUE and spurious emission should be updated to ensure the consistence of requirement. </w:t>
            </w:r>
          </w:p>
          <w:p>
            <w:pPr>
              <w:pStyle w:val="81"/>
              <w:spacing w:after="0"/>
              <w:ind w:left="100"/>
              <w:rPr>
                <w:rFonts w:hint="default" w:eastAsia="宋体"/>
                <w:lang w:val="en-US" w:eastAsia="zh-CN"/>
              </w:rPr>
            </w:pPr>
            <w:r>
              <w:rPr>
                <w:rFonts w:hint="eastAsia" w:eastAsia="宋体"/>
                <w:lang w:val="en-US" w:eastAsia="zh-CN"/>
              </w:rPr>
              <w:t>This update is to align with core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eastAsia" w:eastAsia="宋体"/>
                <w:vertAlign w:val="subscript"/>
                <w:lang w:val="en-US" w:eastAsia="zh-CN"/>
              </w:rPr>
            </w:pPr>
            <w:r>
              <w:rPr>
                <w:rFonts w:hint="eastAsia" w:eastAsia="宋体"/>
                <w:lang w:val="en-US" w:eastAsia="zh-CN"/>
              </w:rPr>
              <w:t>For OBUE requirement the BW</w:t>
            </w:r>
            <w:r>
              <w:rPr>
                <w:rFonts w:hint="eastAsia" w:eastAsia="宋体"/>
                <w:vertAlign w:val="subscript"/>
                <w:lang w:val="en-US" w:eastAsia="zh-CN"/>
              </w:rPr>
              <w:t>channel</w:t>
            </w:r>
            <w:r>
              <w:rPr>
                <w:rFonts w:hint="eastAsia" w:eastAsia="宋体"/>
                <w:lang w:val="en-US" w:eastAsia="zh-CN"/>
              </w:rPr>
              <w:t xml:space="preserve"> is replaced by BW</w:t>
            </w:r>
            <w:r>
              <w:rPr>
                <w:rFonts w:hint="eastAsia" w:eastAsia="宋体"/>
                <w:vertAlign w:val="subscript"/>
                <w:lang w:val="en-US" w:eastAsia="zh-CN"/>
              </w:rPr>
              <w:t xml:space="preserve">Necessary. </w:t>
            </w:r>
            <w:r>
              <w:rPr>
                <w:rFonts w:hint="eastAsia" w:eastAsia="宋体"/>
                <w:vertAlign w:val="baseline"/>
                <w:lang w:val="en-US" w:eastAsia="zh-CN"/>
              </w:rPr>
              <w:t>The requirement applicability range of OBUE is also extend to deltaf</w:t>
            </w:r>
            <w:r>
              <w:rPr>
                <w:rFonts w:hint="eastAsia" w:eastAsia="宋体"/>
                <w:vertAlign w:val="subscript"/>
                <w:lang w:val="en-US" w:eastAsia="zh-CN"/>
              </w:rPr>
              <w:t>OBUE.</w:t>
            </w:r>
          </w:p>
          <w:p>
            <w:pPr>
              <w:pStyle w:val="81"/>
              <w:numPr>
                <w:ilvl w:val="0"/>
                <w:numId w:val="0"/>
              </w:numPr>
              <w:spacing w:after="0"/>
              <w:rPr>
                <w:rFonts w:hint="default" w:eastAsia="宋体"/>
                <w:vertAlign w:val="baseline"/>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Confusion on OBUE would still exist.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firstLine="200" w:firstLineChars="100"/>
              <w:rPr>
                <w:rFonts w:hint="default" w:eastAsia="宋体"/>
                <w:lang w:val="en-US" w:eastAsia="zh-CN"/>
              </w:rPr>
            </w:pPr>
            <w:r>
              <w:rPr>
                <w:rFonts w:hint="eastAsia" w:eastAsia="宋体"/>
                <w:lang w:val="en-US" w:eastAsia="zh-CN"/>
              </w:rPr>
              <w:t>6.6.1, 6.6.4, 9.7.1, 9.7.4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TW"/>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TW"/>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TW"/>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hint="eastAsia" w:eastAsia="宋体"/>
          <w:b/>
          <w:bCs/>
          <w:color w:val="C00000"/>
          <w:lang w:val="en-US" w:eastAsia="zh-CN"/>
        </w:rPr>
      </w:pPr>
      <w:r>
        <w:rPr>
          <w:rFonts w:hint="eastAsia" w:eastAsia="宋体"/>
          <w:b/>
          <w:bCs/>
          <w:color w:val="C00000"/>
          <w:lang w:val="en-US" w:eastAsia="zh-CN"/>
        </w:rPr>
        <w:t>&lt;Start of correction 1&gt;</w:t>
      </w:r>
    </w:p>
    <w:p>
      <w:pPr>
        <w:pStyle w:val="3"/>
        <w:rPr>
          <w:lang w:eastAsia="zh-CN"/>
        </w:rPr>
      </w:pPr>
      <w:bookmarkStart w:id="1" w:name="_Toc120545168"/>
      <w:bookmarkStart w:id="2" w:name="_Toc120633562"/>
      <w:bookmarkStart w:id="3" w:name="_Toc120631612"/>
      <w:bookmarkStart w:id="4" w:name="_Toc120607762"/>
      <w:bookmarkStart w:id="5" w:name="_Toc120613736"/>
      <w:bookmarkStart w:id="6" w:name="_Toc120628287"/>
      <w:bookmarkStart w:id="7" w:name="_Toc120607399"/>
      <w:bookmarkStart w:id="8" w:name="_Toc120608887"/>
      <w:bookmarkStart w:id="9" w:name="_Toc120544813"/>
      <w:bookmarkStart w:id="10" w:name="_Toc120608127"/>
      <w:bookmarkStart w:id="11" w:name="_Toc120615068"/>
      <w:bookmarkStart w:id="12" w:name="_Toc120610049"/>
      <w:bookmarkStart w:id="13" w:name="_Toc120632912"/>
      <w:bookmarkStart w:id="14" w:name="_Toc120622751"/>
      <w:bookmarkStart w:id="15" w:name="_Toc120609267"/>
      <w:bookmarkStart w:id="16" w:name="_Toc120545784"/>
      <w:bookmarkStart w:id="17" w:name="_Toc120612450"/>
      <w:bookmarkStart w:id="18" w:name="_Toc120612030"/>
      <w:bookmarkStart w:id="19" w:name="_Toc120608507"/>
      <w:bookmarkStart w:id="20" w:name="_Toc136850988"/>
      <w:bookmarkStart w:id="21" w:name="_Toc120611203"/>
      <w:bookmarkStart w:id="22" w:name="_Toc120609658"/>
      <w:bookmarkStart w:id="23" w:name="_Toc120622245"/>
      <w:bookmarkStart w:id="24" w:name="_Toc120611612"/>
      <w:bookmarkStart w:id="25" w:name="_Toc120610801"/>
      <w:bookmarkStart w:id="26" w:name="_Toc120626590"/>
      <w:bookmarkStart w:id="27" w:name="_Toc120626043"/>
      <w:bookmarkStart w:id="28" w:name="_Toc120623370"/>
      <w:bookmarkStart w:id="29" w:name="_Toc120627711"/>
      <w:bookmarkStart w:id="30" w:name="_Toc120634864"/>
      <w:bookmarkStart w:id="31" w:name="_Toc121754658"/>
      <w:bookmarkStart w:id="32" w:name="_Toc120624969"/>
      <w:bookmarkStart w:id="33" w:name="_Toc121753988"/>
      <w:bookmarkStart w:id="34" w:name="_Toc120613306"/>
      <w:bookmarkStart w:id="35" w:name="_Toc121822616"/>
      <w:bookmarkStart w:id="36" w:name="_Toc120625506"/>
      <w:bookmarkStart w:id="37" w:name="_Toc120614166"/>
      <w:bookmarkStart w:id="38" w:name="_Toc120629460"/>
      <w:bookmarkStart w:id="39" w:name="_Toc120606688"/>
      <w:bookmarkStart w:id="40" w:name="_Toc120627146"/>
      <w:bookmarkStart w:id="41" w:name="_Toc138879952"/>
      <w:bookmarkStart w:id="42" w:name="_Toc120607042"/>
      <w:bookmarkStart w:id="43" w:name="_Toc120628872"/>
      <w:bookmarkStart w:id="44" w:name="_Toc120614609"/>
      <w:bookmarkStart w:id="45" w:name="_Toc120634213"/>
      <w:bookmarkStart w:id="46" w:name="_Toc120630961"/>
      <w:bookmarkStart w:id="47" w:name="_Toc120612877"/>
      <w:bookmarkStart w:id="48" w:name="_Toc138880419"/>
      <w:bookmarkStart w:id="49" w:name="_Toc120624432"/>
      <w:bookmarkStart w:id="50" w:name="_Toc120632262"/>
      <w:bookmarkStart w:id="51" w:name="_Toc120623895"/>
      <w:r>
        <w:rPr>
          <w:rFonts w:hint="eastAsia"/>
          <w:lang w:eastAsia="zh-CN"/>
        </w:rPr>
        <w:t>6.6</w:t>
      </w:r>
      <w:r>
        <w:rPr>
          <w:rFonts w:hint="eastAsia"/>
          <w:lang w:eastAsia="zh-CN"/>
        </w:rPr>
        <w:tab/>
      </w:r>
      <w:r>
        <w:rPr>
          <w:rFonts w:hint="eastAsia"/>
          <w:lang w:eastAsia="zh-CN"/>
        </w:rPr>
        <w:t>Unwanted emissions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pStyle w:val="4"/>
      </w:pPr>
      <w:bookmarkStart w:id="52" w:name="_Toc120626044"/>
      <w:bookmarkStart w:id="53" w:name="_Toc76545058"/>
      <w:bookmarkStart w:id="54" w:name="_Toc82595161"/>
      <w:bookmarkStart w:id="55" w:name="_Toc120607763"/>
      <w:bookmarkStart w:id="56" w:name="_Toc61182685"/>
      <w:bookmarkStart w:id="57" w:name="_Toc89955192"/>
      <w:bookmarkStart w:id="58" w:name="_Toc37272178"/>
      <w:bookmarkStart w:id="59" w:name="_Toc120622752"/>
      <w:bookmarkStart w:id="60" w:name="_Toc120610802"/>
      <w:bookmarkStart w:id="61" w:name="_Toc106201376"/>
      <w:bookmarkStart w:id="62" w:name="_Toc120629461"/>
      <w:bookmarkStart w:id="63" w:name="_Toc45884424"/>
      <w:bookmarkStart w:id="64" w:name="_Toc120625507"/>
      <w:bookmarkStart w:id="65" w:name="_Toc120623371"/>
      <w:bookmarkStart w:id="66" w:name="_Toc120608888"/>
      <w:bookmarkStart w:id="67" w:name="_Toc120624970"/>
      <w:bookmarkStart w:id="68" w:name="_Toc74961801"/>
      <w:bookmarkStart w:id="69" w:name="_Toc120612878"/>
      <w:bookmarkStart w:id="70" w:name="_Toc75242712"/>
      <w:bookmarkStart w:id="71" w:name="_Toc58860188"/>
      <w:bookmarkStart w:id="72" w:name="_Toc120611613"/>
      <w:bookmarkStart w:id="73" w:name="_Toc120630962"/>
      <w:bookmarkStart w:id="74" w:name="_Toc120634214"/>
      <w:bookmarkStart w:id="75" w:name="_Toc21099942"/>
      <w:bookmarkStart w:id="76" w:name="_Toc120622246"/>
      <w:bookmarkStart w:id="77" w:name="_Toc120606689"/>
      <w:bookmarkStart w:id="78" w:name="_Toc29809740"/>
      <w:bookmarkStart w:id="79" w:name="_Toc120614167"/>
      <w:bookmarkStart w:id="80" w:name="_Toc120615069"/>
      <w:bookmarkStart w:id="81" w:name="_Toc58862692"/>
      <w:bookmarkStart w:id="82" w:name="_Toc120608128"/>
      <w:bookmarkStart w:id="83" w:name="_Toc120545169"/>
      <w:bookmarkStart w:id="84" w:name="_Toc120609659"/>
      <w:bookmarkStart w:id="85" w:name="_Toc120627712"/>
      <w:bookmarkStart w:id="86" w:name="_Toc120544814"/>
      <w:bookmarkStart w:id="87" w:name="_Toc120612031"/>
      <w:bookmarkStart w:id="88" w:name="_Toc66727998"/>
      <w:bookmarkStart w:id="89" w:name="_Toc120610050"/>
      <w:bookmarkStart w:id="90" w:name="_Toc121822617"/>
      <w:bookmarkStart w:id="91" w:name="_Toc120632263"/>
      <w:bookmarkStart w:id="92" w:name="_Toc138879953"/>
      <w:bookmarkStart w:id="93" w:name="_Toc36645124"/>
      <w:bookmarkStart w:id="94" w:name="_Toc121754659"/>
      <w:bookmarkStart w:id="95" w:name="_Toc120623896"/>
      <w:bookmarkStart w:id="96" w:name="_Toc121753989"/>
      <w:bookmarkStart w:id="97" w:name="_Toc120613737"/>
      <w:bookmarkStart w:id="98" w:name="_Toc120632913"/>
      <w:bookmarkStart w:id="99" w:name="_Toc120607400"/>
      <w:bookmarkStart w:id="100" w:name="_Toc120612451"/>
      <w:bookmarkStart w:id="101" w:name="_Toc120614610"/>
      <w:bookmarkStart w:id="102" w:name="_Toc136850989"/>
      <w:bookmarkStart w:id="103" w:name="_Toc120626591"/>
      <w:bookmarkStart w:id="104" w:name="_Toc120608508"/>
      <w:bookmarkStart w:id="105" w:name="_Toc115191229"/>
      <w:bookmarkStart w:id="106" w:name="_Toc120628873"/>
      <w:bookmarkStart w:id="107" w:name="_Toc120631613"/>
      <w:bookmarkStart w:id="108" w:name="_Toc120611204"/>
      <w:bookmarkStart w:id="109" w:name="_Toc120624433"/>
      <w:bookmarkStart w:id="110" w:name="_Toc120628288"/>
      <w:bookmarkStart w:id="111" w:name="_Toc53182447"/>
      <w:bookmarkStart w:id="112" w:name="_Toc120627147"/>
      <w:bookmarkStart w:id="113" w:name="_Toc98773617"/>
      <w:bookmarkStart w:id="114" w:name="_Toc120607043"/>
      <w:bookmarkStart w:id="115" w:name="_Toc120633563"/>
      <w:bookmarkStart w:id="116" w:name="_Toc120609268"/>
      <w:bookmarkStart w:id="117" w:name="_Toc120613307"/>
      <w:bookmarkStart w:id="118" w:name="_Toc120634865"/>
      <w:bookmarkStart w:id="119" w:name="_Toc120545785"/>
      <w:bookmarkStart w:id="120" w:name="_Toc138880420"/>
      <w:r>
        <w:t>6.6.1</w:t>
      </w:r>
      <w:r>
        <w:tab/>
      </w:r>
      <w:r>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pPr>
        <w:rPr>
          <w:rFonts w:cs="v5.0.0"/>
        </w:rPr>
      </w:pPr>
      <w:r>
        <w:rPr>
          <w:rFonts w:cs="v5.0.0"/>
        </w:rPr>
        <w:t xml:space="preserve">Unwanted emissions consist of out-of-band emissions and spurious emissions </w:t>
      </w:r>
      <w:r>
        <w:t xml:space="preserve">according to ITU definitions in SM.329 </w:t>
      </w:r>
      <w:r>
        <w:rPr>
          <w:rFonts w:cs="v5.0.0"/>
        </w:rPr>
        <w:t>[</w:t>
      </w:r>
      <w:r>
        <w:rPr>
          <w:rFonts w:cs="v5.0.0" w:eastAsiaTheme="minorEastAsia"/>
          <w:lang w:eastAsia="zh-CN"/>
        </w:rPr>
        <w:t>3</w:t>
      </w:r>
      <w:r>
        <w:rPr>
          <w:rFonts w:cs="v5.0.0"/>
        </w:rPr>
        <w:t xml:space="preserve">]. </w:t>
      </w:r>
      <w:r>
        <w:t>In ITU terminology, o</w:t>
      </w:r>
      <w:r>
        <w:rPr>
          <w:rFonts w:cs="v5.0.0"/>
        </w:rPr>
        <w:t xml:space="preserve">ut of band emissions are unwanted emissions immediately outside the </w:t>
      </w:r>
      <w:r>
        <w:rPr>
          <w:rFonts w:hint="eastAsia" w:cs="v5.0.0"/>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rPr>
      </w:pPr>
      <w:r>
        <w:rPr>
          <w:rFonts w:cs="v5.0.0"/>
        </w:rPr>
        <w:t xml:space="preserve">The out-of-band emissions requirement for the </w:t>
      </w:r>
      <w:r>
        <w:rPr>
          <w:rFonts w:hint="eastAsia" w:cs="v5.0.0"/>
        </w:rPr>
        <w:t>SAN</w:t>
      </w:r>
      <w:r>
        <w:rPr>
          <w:rFonts w:cs="v5.0.0"/>
        </w:rPr>
        <w:t xml:space="preserve"> transmitter is specified both in terms of Adjacent Channel Leakage power Ratio (ACLR) and </w:t>
      </w:r>
      <w:r>
        <w:rPr>
          <w:rFonts w:cs="v5.0.0"/>
          <w:i/>
        </w:rPr>
        <w:t>operating band</w:t>
      </w:r>
      <w:r>
        <w:rPr>
          <w:rFonts w:cs="v5.0.0"/>
        </w:rPr>
        <w:t xml:space="preserve"> unwanted emissions (OBUE).</w:t>
      </w:r>
    </w:p>
    <w:p>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 6.6.1-1 for the SAN </w:t>
      </w:r>
      <w:r>
        <w:rPr>
          <w:rFonts w:cs="v5.0.0"/>
          <w:i/>
        </w:rPr>
        <w:t>operating bands</w:t>
      </w:r>
      <w:r>
        <w:rPr>
          <w:rFonts w:cs="v5.0.0"/>
        </w:rPr>
        <w:t>.</w:t>
      </w:r>
    </w:p>
    <w:p>
      <w:pPr>
        <w:pStyle w:val="55"/>
        <w:rPr>
          <w:i/>
        </w:rPr>
      </w:pPr>
      <w:r>
        <w:t xml:space="preserve">Table 6.6.1-1: Maximum offset of OBUE outside the downlink </w:t>
      </w:r>
      <w:r>
        <w:rPr>
          <w:i/>
        </w:rPr>
        <w:t>operating band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4"/>
        <w:gridCol w:w="3349"/>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4" w:type="dxa"/>
          </w:tcPr>
          <w:p>
            <w:pPr>
              <w:pStyle w:val="51"/>
              <w:rPr>
                <w:lang w:eastAsia="zh-CN"/>
              </w:rPr>
            </w:pPr>
            <w:r>
              <w:rPr>
                <w:rFonts w:hint="eastAsia"/>
                <w:lang w:eastAsia="zh-CN"/>
              </w:rPr>
              <w:t>SAN</w:t>
            </w:r>
            <w:r>
              <w:rPr>
                <w:lang w:eastAsia="zh-CN"/>
              </w:rPr>
              <w:t xml:space="preserve"> type</w:t>
            </w:r>
          </w:p>
        </w:tc>
        <w:tc>
          <w:tcPr>
            <w:tcW w:w="3349" w:type="dxa"/>
          </w:tcPr>
          <w:p>
            <w:pPr>
              <w:pStyle w:val="51"/>
            </w:pPr>
            <w:r>
              <w:rPr>
                <w:i/>
              </w:rPr>
              <w:t>Operating band</w:t>
            </w:r>
            <w:r>
              <w:t xml:space="preserve"> characteristics</w:t>
            </w:r>
          </w:p>
        </w:tc>
        <w:tc>
          <w:tcPr>
            <w:tcW w:w="1292" w:type="dxa"/>
          </w:tcPr>
          <w:p>
            <w:pPr>
              <w:pStyle w:val="51"/>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4" w:type="dxa"/>
            <w:vAlign w:val="center"/>
          </w:tcPr>
          <w:p>
            <w:pPr>
              <w:pStyle w:val="52"/>
            </w:pPr>
            <w:r>
              <w:rPr>
                <w:rFonts w:hint="eastAsia"/>
                <w:i/>
                <w:lang w:eastAsia="zh-CN"/>
              </w:rPr>
              <w:t>SAN</w:t>
            </w:r>
            <w:r>
              <w:rPr>
                <w:i/>
                <w:lang w:eastAsia="zh-CN"/>
              </w:rPr>
              <w:t xml:space="preserve"> type 1-H</w:t>
            </w:r>
          </w:p>
        </w:tc>
        <w:tc>
          <w:tcPr>
            <w:tcW w:w="3349" w:type="dxa"/>
          </w:tcPr>
          <w:p>
            <w:pPr>
              <w:pStyle w:val="52"/>
            </w:pPr>
            <w:r>
              <w:t>F</w:t>
            </w:r>
            <w:r>
              <w:rPr>
                <w:vertAlign w:val="subscript"/>
              </w:rPr>
              <w:t>DL,high</w:t>
            </w:r>
            <w:r>
              <w:t xml:space="preserve"> – F</w:t>
            </w:r>
            <w:r>
              <w:rPr>
                <w:vertAlign w:val="subscript"/>
              </w:rPr>
              <w:t>DL,low</w:t>
            </w:r>
            <w:r>
              <w:t xml:space="preserve"> &lt; 100 MHz  </w:t>
            </w:r>
          </w:p>
        </w:tc>
        <w:tc>
          <w:tcPr>
            <w:tcW w:w="1292" w:type="dxa"/>
          </w:tcPr>
          <w:p>
            <w:pPr>
              <w:pStyle w:val="52"/>
            </w:pPr>
            <w:r>
              <w:t>2</w:t>
            </w:r>
            <w:r>
              <w:rPr>
                <w:rFonts w:cs="Arial"/>
              </w:rPr>
              <w:t>×</w:t>
            </w:r>
            <w:r>
              <w:t>BW</w:t>
            </w:r>
            <w:ins w:id="0" w:author="liyankun" w:date="2023-08-11T11:31:06Z">
              <w:r>
                <w:rPr>
                  <w:rFonts w:hint="eastAsia" w:eastAsia="宋体"/>
                  <w:vertAlign w:val="subscript"/>
                  <w:lang w:val="en-US" w:eastAsia="zh-CN"/>
                </w:rPr>
                <w:t>Necessary</w:t>
              </w:r>
            </w:ins>
            <w:del w:id="1" w:author="liyankun" w:date="2023-08-11T11:31:06Z">
              <w:r>
                <w:rPr>
                  <w:vertAlign w:val="subscript"/>
                </w:rPr>
                <w:delText>Channel</w:delText>
              </w:r>
            </w:del>
            <w:r>
              <w:rPr>
                <w:vertAlign w:val="sub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2" w:author="liyankun" w:date="2023-08-11T11:31:09Z"/>
        </w:trPr>
        <w:tc>
          <w:tcPr>
            <w:tcW w:w="6165" w:type="dxa"/>
            <w:gridSpan w:val="3"/>
            <w:vAlign w:val="center"/>
          </w:tcPr>
          <w:p>
            <w:pPr>
              <w:pStyle w:val="52"/>
              <w:jc w:val="left"/>
              <w:rPr>
                <w:ins w:id="3" w:author="liyankun" w:date="2023-08-11T11:31:09Z"/>
              </w:rPr>
            </w:pPr>
            <w:ins w:id="4" w:author="liyankun" w:date="2023-08-11T11:31:34Z">
              <w:r>
                <w:rPr>
                  <w:rFonts w:hint="eastAsia" w:eastAsia="宋体"/>
                  <w:lang w:val="en-US" w:eastAsia="zh-CN"/>
                </w:rPr>
                <w:t xml:space="preserve">Note: </w:t>
              </w:r>
            </w:ins>
            <w:ins w:id="5" w:author="liyankun" w:date="2023-08-11T11:31:34Z">
              <w:r>
                <w:rPr/>
                <w:t>BW</w:t>
              </w:r>
            </w:ins>
            <w:ins w:id="6" w:author="liyankun" w:date="2023-08-11T11:31:34Z">
              <w:r>
                <w:rPr>
                  <w:rFonts w:hint="eastAsia" w:eastAsia="宋体"/>
                  <w:vertAlign w:val="subscript"/>
                  <w:lang w:val="en-US" w:eastAsia="zh-CN"/>
                </w:rPr>
                <w:t>Necessary</w:t>
              </w:r>
            </w:ins>
            <w:ins w:id="7" w:author="liyankun" w:date="2023-08-11T11:31:34Z">
              <w:r>
                <w:rPr>
                  <w:rFonts w:hint="eastAsia" w:eastAsia="宋体"/>
                  <w:lang w:val="en-US" w:eastAsia="zh-CN"/>
                </w:rPr>
                <w:t xml:space="preserve"> </w:t>
              </w:r>
            </w:ins>
            <w:ins w:id="8" w:author="liyankun" w:date="2023-08-11T11:31:34Z">
              <w:r>
                <w:rPr/>
                <w:t xml:space="preserve">is the considered </w:t>
              </w:r>
            </w:ins>
            <w:ins w:id="9" w:author="liyankun" w:date="2023-08-11T11:31:34Z">
              <w:r>
                <w:rPr>
                  <w:rFonts w:hint="eastAsia"/>
                  <w:lang w:val="en-US" w:eastAsia="zh-CN"/>
                </w:rPr>
                <w:t>E-UTRA</w:t>
              </w:r>
            </w:ins>
            <w:ins w:id="10" w:author="liyankun" w:date="2023-08-11T11:31:34Z">
              <w:r>
                <w:rPr/>
                <w:t xml:space="preserve"> </w:t>
              </w:r>
            </w:ins>
            <w:ins w:id="11" w:author="liyankun" w:date="2023-08-11T11:31:34Z">
              <w:r>
                <w:rPr>
                  <w:i/>
                  <w:iCs/>
                </w:rPr>
                <w:t xml:space="preserve">channel bandwidth </w:t>
              </w:r>
            </w:ins>
            <w:ins w:id="12" w:author="liyankun" w:date="2023-08-11T11:31:34Z">
              <w:r>
                <w:rPr/>
                <w:t xml:space="preserve">or SAN total </w:t>
              </w:r>
            </w:ins>
            <w:ins w:id="13" w:author="liyankun" w:date="2023-08-11T11:31:34Z">
              <w:r>
                <w:rPr>
                  <w:i/>
                  <w:iCs/>
                </w:rPr>
                <w:t>RF bandwidth</w:t>
              </w:r>
            </w:ins>
            <w:ins w:id="14" w:author="liyankun" w:date="2023-08-11T11:31:34Z">
              <w:r>
                <w:rPr/>
                <w:t xml:space="preserve"> for a given </w:t>
              </w:r>
            </w:ins>
            <w:ins w:id="15" w:author="liyankun" w:date="2023-08-11T11:31:34Z">
              <w:r>
                <w:rPr>
                  <w:i/>
                  <w:iCs/>
                </w:rPr>
                <w:t>operating band</w:t>
              </w:r>
            </w:ins>
            <w:ins w:id="16" w:author="liyankun" w:date="2023-08-11T11:31:34Z">
              <w:r>
                <w:rPr/>
                <w:t>.</w:t>
              </w:r>
            </w:ins>
          </w:p>
        </w:tc>
      </w:tr>
    </w:tbl>
    <w:p>
      <w:pPr>
        <w:rPr>
          <w:rFonts w:cs="v5.0.0"/>
        </w:rPr>
      </w:pPr>
    </w:p>
    <w:p>
      <w:r>
        <w:t>There is in addition a requirement for occupied bandwidth.</w:t>
      </w:r>
    </w:p>
    <w:p>
      <w:pPr>
        <w:rPr>
          <w:rFonts w:hint="eastAsia" w:eastAsia="宋体"/>
          <w:b/>
          <w:bCs/>
          <w:color w:val="C00000"/>
          <w:lang w:val="en-US" w:eastAsia="zh-CN"/>
        </w:rPr>
      </w:pPr>
    </w:p>
    <w:p>
      <w:pPr>
        <w:rPr>
          <w:rFonts w:hint="eastAsia" w:eastAsia="宋体"/>
          <w:b/>
          <w:bCs/>
          <w:color w:val="C00000"/>
          <w:lang w:val="en-US" w:eastAsia="zh-CN"/>
        </w:rPr>
      </w:pPr>
      <w:r>
        <w:rPr>
          <w:rFonts w:hint="eastAsia" w:eastAsia="宋体"/>
          <w:b/>
          <w:bCs/>
          <w:color w:val="C00000"/>
          <w:lang w:val="en-US" w:eastAsia="zh-CN"/>
        </w:rPr>
        <w:t>&lt;End of correction 1&gt;</w:t>
      </w:r>
    </w:p>
    <w:p>
      <w:pPr>
        <w:rPr>
          <w:rFonts w:hint="eastAsia" w:eastAsia="宋体"/>
          <w:b/>
          <w:bCs/>
          <w:color w:val="C00000"/>
          <w:lang w:val="en-US" w:eastAsia="zh-CN"/>
        </w:rPr>
      </w:pPr>
    </w:p>
    <w:p>
      <w:pPr>
        <w:rPr>
          <w:rFonts w:hint="eastAsia" w:eastAsia="宋体"/>
          <w:b/>
          <w:bCs/>
          <w:color w:val="C00000"/>
          <w:lang w:val="en-US" w:eastAsia="zh-CN"/>
        </w:rPr>
      </w:pPr>
      <w:r>
        <w:rPr>
          <w:rFonts w:hint="eastAsia" w:eastAsia="宋体"/>
          <w:b/>
          <w:bCs/>
          <w:color w:val="C00000"/>
          <w:lang w:val="en-US" w:eastAsia="zh-CN"/>
        </w:rPr>
        <w:t>&lt;Start of correction 2&gt;</w:t>
      </w:r>
    </w:p>
    <w:p>
      <w:pPr>
        <w:pStyle w:val="4"/>
      </w:pPr>
      <w:bookmarkStart w:id="121" w:name="_Toc66728019"/>
      <w:bookmarkStart w:id="122" w:name="_Toc120612051"/>
      <w:bookmarkStart w:id="123" w:name="_Toc53182468"/>
      <w:bookmarkStart w:id="124" w:name="_Toc120611633"/>
      <w:bookmarkStart w:id="125" w:name="_Toc74961822"/>
      <w:bookmarkStart w:id="126" w:name="_Toc37272199"/>
      <w:bookmarkStart w:id="127" w:name="_Toc120608517"/>
      <w:bookmarkStart w:id="128" w:name="_Toc98773637"/>
      <w:bookmarkStart w:id="129" w:name="_Toc45884445"/>
      <w:bookmarkStart w:id="130" w:name="_Toc120632933"/>
      <w:bookmarkStart w:id="131" w:name="_Toc120607772"/>
      <w:bookmarkStart w:id="132" w:name="_Toc120545178"/>
      <w:bookmarkStart w:id="133" w:name="_Toc120544823"/>
      <w:bookmarkStart w:id="134" w:name="_Toc120634885"/>
      <w:bookmarkStart w:id="135" w:name="_Toc120633583"/>
      <w:bookmarkStart w:id="136" w:name="_Toc120630982"/>
      <w:bookmarkStart w:id="137" w:name="_Toc120613757"/>
      <w:bookmarkStart w:id="138" w:name="_Toc120610822"/>
      <w:bookmarkStart w:id="139" w:name="_Toc120613327"/>
      <w:bookmarkStart w:id="140" w:name="_Toc120611224"/>
      <w:bookmarkStart w:id="141" w:name="_Toc120607052"/>
      <w:bookmarkStart w:id="142" w:name="_Toc61182706"/>
      <w:bookmarkStart w:id="143" w:name="_Toc82595181"/>
      <w:bookmarkStart w:id="144" w:name="_Toc138879970"/>
      <w:bookmarkStart w:id="145" w:name="_Toc21099963"/>
      <w:bookmarkStart w:id="146" w:name="_Toc29809761"/>
      <w:bookmarkStart w:id="147" w:name="_Toc120623916"/>
      <w:bookmarkStart w:id="148" w:name="_Toc120625527"/>
      <w:bookmarkStart w:id="149" w:name="_Toc120608897"/>
      <w:bookmarkStart w:id="150" w:name="_Toc58862713"/>
      <w:bookmarkStart w:id="151" w:name="_Toc120612898"/>
      <w:bookmarkStart w:id="152" w:name="_Toc120629481"/>
      <w:bookmarkStart w:id="153" w:name="_Toc76545078"/>
      <w:bookmarkStart w:id="154" w:name="_Toc58860209"/>
      <w:bookmarkStart w:id="155" w:name="_Toc89955212"/>
      <w:bookmarkStart w:id="156" w:name="_Toc120608137"/>
      <w:bookmarkStart w:id="157" w:name="_Toc120610070"/>
      <w:bookmarkStart w:id="158" w:name="_Toc36645145"/>
      <w:bookmarkStart w:id="159" w:name="_Toc75242732"/>
      <w:bookmarkStart w:id="160" w:name="_Toc115191250"/>
      <w:bookmarkStart w:id="161" w:name="_Toc120624990"/>
      <w:bookmarkStart w:id="162" w:name="_Toc120606698"/>
      <w:bookmarkStart w:id="163" w:name="_Toc120626064"/>
      <w:bookmarkStart w:id="164" w:name="_Toc120632283"/>
      <w:bookmarkStart w:id="165" w:name="_Toc136851006"/>
      <w:bookmarkStart w:id="166" w:name="_Toc121822637"/>
      <w:bookmarkStart w:id="167" w:name="_Toc120627732"/>
      <w:bookmarkStart w:id="168" w:name="_Toc138880437"/>
      <w:bookmarkStart w:id="169" w:name="_Toc120545794"/>
      <w:bookmarkStart w:id="170" w:name="_Toc120614187"/>
      <w:bookmarkStart w:id="171" w:name="_Toc120615089"/>
      <w:bookmarkStart w:id="172" w:name="_Toc120622266"/>
      <w:bookmarkStart w:id="173" w:name="_Toc120623391"/>
      <w:bookmarkStart w:id="174" w:name="_Toc120624453"/>
      <w:bookmarkStart w:id="175" w:name="_Toc120631633"/>
      <w:bookmarkStart w:id="176" w:name="_Toc106201396"/>
      <w:bookmarkStart w:id="177" w:name="_Toc120612471"/>
      <w:bookmarkStart w:id="178" w:name="_Toc120628893"/>
      <w:bookmarkStart w:id="179" w:name="_Toc120607409"/>
      <w:bookmarkStart w:id="180" w:name="_Toc120628308"/>
      <w:bookmarkStart w:id="181" w:name="_Toc120626611"/>
      <w:bookmarkStart w:id="182" w:name="_Toc120609679"/>
      <w:bookmarkStart w:id="183" w:name="_Toc120627167"/>
      <w:bookmarkStart w:id="184" w:name="_Toc120634234"/>
      <w:bookmarkStart w:id="185" w:name="_Toc121754009"/>
      <w:bookmarkStart w:id="186" w:name="_Toc120622772"/>
      <w:bookmarkStart w:id="187" w:name="_Toc121754679"/>
      <w:bookmarkStart w:id="188" w:name="_Toc120609288"/>
      <w:bookmarkStart w:id="189" w:name="_Toc120614630"/>
      <w:r>
        <w:t>6.6.4</w:t>
      </w:r>
      <w:r>
        <w:tab/>
      </w:r>
      <w:r>
        <w:t>Operating band unwanted emissions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pPr>
        <w:pStyle w:val="5"/>
        <w:rPr>
          <w:lang w:eastAsia="sv-SE"/>
        </w:rPr>
      </w:pPr>
      <w:bookmarkStart w:id="190" w:name="_Toc120607410"/>
      <w:bookmarkStart w:id="191" w:name="_Toc75242733"/>
      <w:bookmarkStart w:id="192" w:name="_Toc66728020"/>
      <w:bookmarkStart w:id="193" w:name="_Toc21099964"/>
      <w:bookmarkStart w:id="194" w:name="_Toc120611634"/>
      <w:bookmarkStart w:id="195" w:name="_Toc120609289"/>
      <w:bookmarkStart w:id="196" w:name="_Toc61182707"/>
      <w:bookmarkStart w:id="197" w:name="_Toc120545795"/>
      <w:bookmarkStart w:id="198" w:name="_Toc120608138"/>
      <w:bookmarkStart w:id="199" w:name="_Toc89955213"/>
      <w:bookmarkStart w:id="200" w:name="_Toc37272200"/>
      <w:bookmarkStart w:id="201" w:name="_Toc120611225"/>
      <w:bookmarkStart w:id="202" w:name="_Toc36645146"/>
      <w:bookmarkStart w:id="203" w:name="_Toc120608898"/>
      <w:bookmarkStart w:id="204" w:name="_Toc120623917"/>
      <w:bookmarkStart w:id="205" w:name="_Toc120544824"/>
      <w:bookmarkStart w:id="206" w:name="_Toc120545179"/>
      <w:bookmarkStart w:id="207" w:name="_Toc29809762"/>
      <w:bookmarkStart w:id="208" w:name="_Toc120606699"/>
      <w:bookmarkStart w:id="209" w:name="_Toc98773638"/>
      <w:bookmarkStart w:id="210" w:name="_Toc120622267"/>
      <w:bookmarkStart w:id="211" w:name="_Toc120623392"/>
      <w:bookmarkStart w:id="212" w:name="_Toc120610823"/>
      <w:bookmarkStart w:id="213" w:name="_Toc120613328"/>
      <w:bookmarkStart w:id="214" w:name="_Toc120615090"/>
      <w:bookmarkStart w:id="215" w:name="_Toc120627733"/>
      <w:bookmarkStart w:id="216" w:name="_Toc120608518"/>
      <w:bookmarkStart w:id="217" w:name="_Toc120622773"/>
      <w:bookmarkStart w:id="218" w:name="_Toc120624454"/>
      <w:bookmarkStart w:id="219" w:name="_Toc76545079"/>
      <w:bookmarkStart w:id="220" w:name="_Toc120634235"/>
      <w:bookmarkStart w:id="221" w:name="_Toc120607053"/>
      <w:bookmarkStart w:id="222" w:name="_Toc74961823"/>
      <w:bookmarkStart w:id="223" w:name="_Toc58862714"/>
      <w:bookmarkStart w:id="224" w:name="_Toc120629482"/>
      <w:bookmarkStart w:id="225" w:name="_Toc120614631"/>
      <w:bookmarkStart w:id="226" w:name="_Toc120610071"/>
      <w:bookmarkStart w:id="227" w:name="_Toc45884446"/>
      <w:bookmarkStart w:id="228" w:name="_Toc120607773"/>
      <w:bookmarkStart w:id="229" w:name="_Toc53182469"/>
      <w:bookmarkStart w:id="230" w:name="_Toc120626065"/>
      <w:bookmarkStart w:id="231" w:name="_Toc120630983"/>
      <w:bookmarkStart w:id="232" w:name="_Toc120614188"/>
      <w:bookmarkStart w:id="233" w:name="_Toc120612472"/>
      <w:bookmarkStart w:id="234" w:name="_Toc120624991"/>
      <w:bookmarkStart w:id="235" w:name="_Toc120628894"/>
      <w:bookmarkStart w:id="236" w:name="_Toc82595182"/>
      <w:bookmarkStart w:id="237" w:name="_Toc136851007"/>
      <w:bookmarkStart w:id="238" w:name="_Toc120633584"/>
      <w:bookmarkStart w:id="239" w:name="_Toc120628309"/>
      <w:bookmarkStart w:id="240" w:name="_Toc120632934"/>
      <w:bookmarkStart w:id="241" w:name="_Toc120609680"/>
      <w:bookmarkStart w:id="242" w:name="_Toc120632284"/>
      <w:bookmarkStart w:id="243" w:name="_Toc106201397"/>
      <w:bookmarkStart w:id="244" w:name="_Toc138880438"/>
      <w:bookmarkStart w:id="245" w:name="_Toc120626612"/>
      <w:bookmarkStart w:id="246" w:name="_Toc120612899"/>
      <w:bookmarkStart w:id="247" w:name="_Toc121754010"/>
      <w:bookmarkStart w:id="248" w:name="_Toc120625528"/>
      <w:bookmarkStart w:id="249" w:name="_Toc120612052"/>
      <w:bookmarkStart w:id="250" w:name="_Toc120627168"/>
      <w:bookmarkStart w:id="251" w:name="_Toc138879971"/>
      <w:bookmarkStart w:id="252" w:name="_Toc121822638"/>
      <w:bookmarkStart w:id="253" w:name="_Toc120613758"/>
      <w:bookmarkStart w:id="254" w:name="_Toc58860210"/>
      <w:bookmarkStart w:id="255" w:name="_Toc120631634"/>
      <w:bookmarkStart w:id="256" w:name="_Toc115191251"/>
      <w:bookmarkStart w:id="257" w:name="_Toc121754680"/>
      <w:bookmarkStart w:id="258" w:name="_Toc120634886"/>
      <w:r>
        <w:rPr>
          <w:lang w:eastAsia="sv-SE"/>
        </w:rPr>
        <w:t>6.6.4.1</w:t>
      </w:r>
      <w:r>
        <w:rPr>
          <w:lang w:eastAsia="sv-SE"/>
        </w:rPr>
        <w:tab/>
      </w:r>
      <w:r>
        <w:rPr>
          <w:lang w:eastAsia="sv-SE"/>
        </w:rPr>
        <w:t>Definition and applicability</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r>
        <w:t xml:space="preserve">Unless otherwise stated, the operating band unwanted emission (OBUE) limits for SAN are defined from channel edge up to frequencies separated from the channel edge by 200% of the necessary bandwidth. </w:t>
      </w:r>
    </w:p>
    <w:p>
      <w:pPr>
        <w:rPr>
          <w:rFonts w:cs="v5.0.0"/>
        </w:rPr>
      </w:pPr>
      <w:r>
        <w:t>The requirements shall apply whatever the type of transmitter considered and for all transmission modes foreseen by the manufacturer’s specification</w:t>
      </w:r>
      <w:r>
        <w:rPr>
          <w:rFonts w:cs="v5.0.0"/>
        </w:rPr>
        <w:t>.</w:t>
      </w:r>
    </w:p>
    <w:p>
      <w:r>
        <w:rPr>
          <w:i/>
        </w:rPr>
        <w:t>Basic limits</w:t>
      </w:r>
      <w:r>
        <w:t xml:space="preserve"> are specified in the tables below, where:</w:t>
      </w:r>
    </w:p>
    <w:p>
      <w:pPr>
        <w:pStyle w:val="75"/>
      </w:pPr>
      <w:r>
        <w:t>-</w:t>
      </w:r>
      <w:r>
        <w:tab/>
      </w:r>
      <w:r>
        <w:rPr/>
        <w:sym w:font="Symbol" w:char="F044"/>
      </w:r>
      <w:r>
        <w:t xml:space="preserve">f is the separation between the </w:t>
      </w:r>
      <w:r>
        <w:rPr>
          <w:i/>
        </w:rPr>
        <w:t>channel edge</w:t>
      </w:r>
      <w:r>
        <w:t xml:space="preserve"> frequency and the nominal -3 dB point of the measuring filter closest to the carrier frequency.</w:t>
      </w:r>
    </w:p>
    <w:p>
      <w:pPr>
        <w:pStyle w:val="75"/>
      </w:pPr>
      <w:r>
        <w:t>-</w:t>
      </w:r>
      <w:r>
        <w:tab/>
      </w:r>
      <w:r>
        <w:t xml:space="preserve">f_offset is the separation between the </w:t>
      </w:r>
      <w:r>
        <w:rPr>
          <w:i/>
        </w:rPr>
        <w:t>channel edge</w:t>
      </w:r>
      <w:r>
        <w:t xml:space="preserve"> frequency and the centre of the measuring filter.</w:t>
      </w:r>
    </w:p>
    <w:p>
      <w:pPr>
        <w:pStyle w:val="75"/>
      </w:pPr>
      <w:r>
        <w:rPr>
          <w:lang w:val="en-US"/>
        </w:rPr>
        <w:t>-</w:t>
      </w:r>
      <w:r>
        <w:rPr>
          <w:lang w:val="en-US"/>
        </w:rPr>
        <w:tab/>
      </w:r>
      <w:r>
        <w:rPr>
          <w:lang w:val="en-US"/>
        </w:rPr>
        <w:t>PSD</w:t>
      </w:r>
      <w:ins w:id="17" w:author="liyankun" w:date="2023-08-11T11:33:29Z">
        <w:r>
          <w:rPr>
            <w:rFonts w:hint="eastAsia" w:eastAsia="宋体"/>
            <w:vertAlign w:val="subscript"/>
            <w:lang w:val="en-US" w:eastAsia="zh-CN"/>
          </w:rPr>
          <w:t>Necessary</w:t>
        </w:r>
      </w:ins>
      <w:del w:id="18" w:author="liyankun" w:date="2023-08-11T11:33:29Z">
        <w:r>
          <w:rPr>
            <w:vertAlign w:val="subscript"/>
            <w:lang w:val="en-US"/>
          </w:rPr>
          <w:delText>channel</w:delText>
        </w:r>
      </w:del>
      <w:r>
        <w:t xml:space="preserve"> represents the Power Spectral Density of the channel for a given </w:t>
      </w:r>
      <w:ins w:id="19" w:author="liyankun" w:date="2023-08-11T11:33:45Z">
        <w:r>
          <w:rPr>
            <w:lang w:val="en-US"/>
          </w:rPr>
          <w:t>BW</w:t>
        </w:r>
      </w:ins>
      <w:ins w:id="20" w:author="liyankun" w:date="2023-08-11T11:33:45Z">
        <w:r>
          <w:rPr>
            <w:rFonts w:hint="eastAsia" w:eastAsia="宋体"/>
            <w:vertAlign w:val="subscript"/>
            <w:lang w:val="en-US" w:eastAsia="zh-CN"/>
          </w:rPr>
          <w:t>Necessary</w:t>
        </w:r>
      </w:ins>
      <w:del w:id="21" w:author="liyankun" w:date="2023-08-11T11:33:45Z">
        <w:r>
          <w:rPr/>
          <w:delText>channel bandwidth</w:delText>
        </w:r>
      </w:del>
    </w:p>
    <w:p>
      <w:pPr>
        <w:pStyle w:val="75"/>
      </w:pPr>
      <w:r>
        <w:rPr>
          <w:lang w:val="en-US"/>
        </w:rPr>
        <w:t>-</w:t>
      </w:r>
      <w:r>
        <w:rPr>
          <w:lang w:val="en-US"/>
        </w:rPr>
        <w:tab/>
      </w:r>
      <w:r>
        <w:rPr>
          <w:lang w:val="en-US"/>
        </w:rPr>
        <w:t>BW</w:t>
      </w:r>
      <w:ins w:id="22" w:author="liyankun" w:date="2023-08-11T11:33:32Z">
        <w:r>
          <w:rPr>
            <w:rFonts w:hint="eastAsia" w:eastAsia="宋体"/>
            <w:vertAlign w:val="subscript"/>
            <w:lang w:val="en-US" w:eastAsia="zh-CN"/>
          </w:rPr>
          <w:t>Necessary</w:t>
        </w:r>
      </w:ins>
      <w:del w:id="23" w:author="liyankun" w:date="2023-08-11T11:33:32Z">
        <w:r>
          <w:rPr>
            <w:vertAlign w:val="subscript"/>
            <w:lang w:val="en-US"/>
          </w:rPr>
          <w:delText>Channel</w:delText>
        </w:r>
      </w:del>
      <w:r>
        <w:t xml:space="preserve"> is the considered </w:t>
      </w:r>
      <w:r>
        <w:rPr>
          <w:i/>
          <w:iCs/>
          <w:lang w:val="en-US" w:eastAsia="zh-CN"/>
        </w:rPr>
        <w:t>SAN</w:t>
      </w:r>
      <w:r>
        <w:rPr>
          <w:i/>
          <w:iCs/>
        </w:rPr>
        <w:t xml:space="preserve"> channel bandwidth </w:t>
      </w:r>
      <w:r>
        <w:t xml:space="preserve">or SAN total </w:t>
      </w:r>
      <w:r>
        <w:rPr>
          <w:i/>
          <w:iCs/>
        </w:rPr>
        <w:t>RF bandwidth</w:t>
      </w:r>
      <w:r>
        <w:t xml:space="preserve"> for a given </w:t>
      </w:r>
      <w:r>
        <w:rPr>
          <w:i/>
          <w:iCs/>
        </w:rPr>
        <w:t>operating band</w:t>
      </w:r>
      <w:r>
        <w:t>.</w:t>
      </w:r>
    </w:p>
    <w:p>
      <w:pPr>
        <w:pStyle w:val="75"/>
        <w:rPr>
          <w:ins w:id="24" w:author="liyankun" w:date="2023-08-11T11:34:12Z"/>
        </w:rPr>
      </w:pPr>
      <w:r>
        <w:rPr>
          <w:lang w:val="en-US" w:eastAsia="zh-CN"/>
        </w:rPr>
        <w:t>-</w:t>
      </w:r>
      <w:r>
        <w:rPr>
          <w:lang w:val="en-US" w:eastAsia="zh-CN"/>
        </w:rPr>
        <w:tab/>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oMath>
      <w:r>
        <w:rPr>
          <w:lang w:val="en-US" w:eastAsia="zh-CN"/>
        </w:rPr>
        <w:t xml:space="preserve"> </w:t>
      </w:r>
      <w:r>
        <w:t xml:space="preserve">is the </w:t>
      </w:r>
      <w:r>
        <w:rPr>
          <w:i/>
          <w:iCs/>
        </w:rPr>
        <w:t>SAN class parameter</w:t>
      </w:r>
      <w:r>
        <w:t xml:space="preserve"> in dB identified to characterize different SAN classes.</w:t>
      </w:r>
    </w:p>
    <w:p>
      <w:pPr>
        <w:pStyle w:val="75"/>
        <w:keepNext/>
        <w:rPr>
          <w:ins w:id="25" w:author="liyankun" w:date="2023-08-11T11:34:13Z"/>
          <w:rFonts w:cs="v5.0.0"/>
        </w:rPr>
      </w:pPr>
      <w:ins w:id="26" w:author="liyankun" w:date="2023-08-11T11:34:13Z">
        <w:r>
          <w:rPr>
            <w:rFonts w:cs="v5.0.0"/>
          </w:rPr>
          <w:t>-</w:t>
        </w:r>
      </w:ins>
      <w:ins w:id="27" w:author="liyankun" w:date="2023-08-11T11:34:13Z">
        <w:r>
          <w:rPr>
            <w:rFonts w:cs="v5.0.0"/>
          </w:rPr>
          <w:tab/>
        </w:r>
      </w:ins>
      <w:ins w:id="28" w:author="liyankun" w:date="2023-08-11T11:34:13Z">
        <w:r>
          <w:rPr>
            <w:rFonts w:cs="v5.0.0"/>
          </w:rPr>
          <w:sym w:font="Symbol" w:char="F044"/>
        </w:r>
      </w:ins>
      <w:ins w:id="29" w:author="liyankun" w:date="2023-08-11T11:34:13Z">
        <w:r>
          <w:rPr>
            <w:rFonts w:cs="v5.0.0"/>
          </w:rPr>
          <w:t>f</w:t>
        </w:r>
      </w:ins>
      <w:ins w:id="30" w:author="liyankun" w:date="2023-08-11T11:34:13Z">
        <w:r>
          <w:rPr>
            <w:rFonts w:cs="v5.0.0"/>
            <w:vertAlign w:val="subscript"/>
          </w:rPr>
          <w:t>max</w:t>
        </w:r>
      </w:ins>
      <w:ins w:id="31" w:author="liyankun" w:date="2023-08-11T11:34:13Z">
        <w:r>
          <w:rPr>
            <w:rFonts w:cs="v5.0.0"/>
          </w:rPr>
          <w:t xml:space="preserve"> is the offset to the frequency </w:t>
        </w:r>
      </w:ins>
      <w:ins w:id="32" w:author="liyankun" w:date="2023-08-11T11:34:13Z">
        <w:r>
          <w:rPr/>
          <w:t>Δf</w:t>
        </w:r>
      </w:ins>
      <w:ins w:id="33" w:author="liyankun" w:date="2023-08-11T11:34:13Z">
        <w:r>
          <w:rPr>
            <w:vertAlign w:val="subscript"/>
          </w:rPr>
          <w:t>OBUE</w:t>
        </w:r>
      </w:ins>
      <w:ins w:id="34" w:author="liyankun" w:date="2023-08-11T11:34:13Z">
        <w:r>
          <w:rPr>
            <w:rFonts w:cs="v5.0.0"/>
          </w:rPr>
          <w:t xml:space="preserve"> outside the downlink operating band.</w:t>
        </w:r>
      </w:ins>
    </w:p>
    <w:p>
      <w:pPr>
        <w:pStyle w:val="75"/>
        <w:rPr>
          <w:ins w:id="35" w:author="liyankun" w:date="2023-08-11T11:34:13Z"/>
          <w:rFonts w:cs="v5.0.0"/>
        </w:rPr>
      </w:pPr>
      <w:ins w:id="36" w:author="liyankun" w:date="2023-08-11T11:34:13Z">
        <w:r>
          <w:rPr>
            <w:rFonts w:cs="v5.0.0"/>
          </w:rPr>
          <w:t>-</w:t>
        </w:r>
      </w:ins>
      <w:ins w:id="37" w:author="liyankun" w:date="2023-08-11T11:34:13Z">
        <w:r>
          <w:rPr>
            <w:rFonts w:cs="v5.0.0"/>
          </w:rPr>
          <w:tab/>
        </w:r>
      </w:ins>
      <w:ins w:id="38" w:author="liyankun" w:date="2023-08-11T11:34:13Z">
        <w:r>
          <w:rPr>
            <w:rFonts w:cs="v5.0.0"/>
          </w:rPr>
          <w:t xml:space="preserve"> f_offset</w:t>
        </w:r>
      </w:ins>
      <w:ins w:id="39" w:author="liyankun" w:date="2023-08-11T11:34:13Z">
        <w:r>
          <w:rPr>
            <w:rFonts w:cs="v5.0.0"/>
            <w:vertAlign w:val="subscript"/>
          </w:rPr>
          <w:t>max</w:t>
        </w:r>
      </w:ins>
      <w:ins w:id="40" w:author="liyankun" w:date="2023-08-11T11:34:13Z">
        <w:r>
          <w:rPr>
            <w:rFonts w:hint="eastAsia" w:eastAsia="宋体" w:cs="v5.0.0"/>
            <w:vertAlign w:val="subscript"/>
            <w:lang w:val="en-US" w:eastAsia="zh-CN"/>
          </w:rPr>
          <w:t xml:space="preserve"> </w:t>
        </w:r>
      </w:ins>
      <w:ins w:id="41" w:author="liyankun" w:date="2023-08-11T11:34:13Z">
        <w:r>
          <w:rPr>
            <w:rFonts w:cs="v5.0.0"/>
          </w:rPr>
          <w:t xml:space="preserve">is equal to </w:t>
        </w:r>
      </w:ins>
      <w:ins w:id="42" w:author="liyankun" w:date="2023-08-11T11:34:13Z">
        <w:r>
          <w:rPr>
            <w:rFonts w:cs="v5.0.0"/>
          </w:rPr>
          <w:sym w:font="Symbol" w:char="F044"/>
        </w:r>
      </w:ins>
      <w:ins w:id="43" w:author="liyankun" w:date="2023-08-11T11:34:13Z">
        <w:r>
          <w:rPr>
            <w:rFonts w:cs="v5.0.0"/>
          </w:rPr>
          <w:t>f</w:t>
        </w:r>
      </w:ins>
      <w:ins w:id="44" w:author="liyankun" w:date="2023-08-11T11:34:13Z">
        <w:r>
          <w:rPr>
            <w:rFonts w:cs="v5.0.0"/>
            <w:vertAlign w:val="subscript"/>
          </w:rPr>
          <w:t>max</w:t>
        </w:r>
      </w:ins>
      <w:ins w:id="45" w:author="liyankun" w:date="2023-08-11T11:34:13Z">
        <w:r>
          <w:rPr>
            <w:rFonts w:cs="v5.0.0"/>
          </w:rPr>
          <w:t xml:space="preserve"> </w:t>
        </w:r>
      </w:ins>
      <w:ins w:id="46" w:author="liyankun" w:date="2023-08-11T11:34:13Z">
        <w:r>
          <w:rPr>
            <w:rFonts w:hint="eastAsia" w:eastAsia="宋体" w:cs="v5.0.0"/>
            <w:lang w:val="en-US" w:eastAsia="zh-CN"/>
          </w:rPr>
          <w:t>plus</w:t>
        </w:r>
      </w:ins>
      <w:ins w:id="47" w:author="liyankun" w:date="2023-08-11T11:34:13Z">
        <w:r>
          <w:rPr>
            <w:rFonts w:cs="v5.0.0"/>
          </w:rPr>
          <w:t xml:space="preserve"> half of the bandwidth of the measuring filter</w:t>
        </w:r>
      </w:ins>
      <w:ins w:id="48" w:author="liyankun" w:date="2023-08-11T11:34:13Z">
        <w:r>
          <w:rPr>
            <w:rFonts w:hint="eastAsia" w:eastAsia="宋体" w:cs="v5.0.0"/>
            <w:lang w:val="en-US" w:eastAsia="zh-CN"/>
          </w:rPr>
          <w:t>, i.e, 0.002MHz</w:t>
        </w:r>
      </w:ins>
      <w:ins w:id="49" w:author="liyankun" w:date="2023-08-11T11:34:13Z">
        <w:r>
          <w:rPr>
            <w:rFonts w:cs="v5.0.0"/>
          </w:rPr>
          <w:t>.</w:t>
        </w:r>
      </w:ins>
    </w:p>
    <w:p>
      <w:pPr>
        <w:pStyle w:val="75"/>
      </w:pPr>
    </w:p>
    <w:p>
      <w:r>
        <w:t xml:space="preserve">For a multi-carrier </w:t>
      </w:r>
      <w:r>
        <w:rPr>
          <w:i/>
          <w:iCs/>
        </w:rPr>
        <w:t xml:space="preserve">single-band </w:t>
      </w:r>
      <w:r>
        <w:rPr>
          <w:i/>
        </w:rPr>
        <w:t>connector</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within a specified frequency band.</w:t>
      </w:r>
    </w:p>
    <w:p>
      <w:pPr>
        <w:pStyle w:val="75"/>
      </w:pPr>
      <w:r>
        <w:t>-</w:t>
      </w:r>
      <w:r>
        <w:tab/>
      </w:r>
      <w:r>
        <w:t>The operating band unwanted emission basic limits of the band where there are carriers transmitted, as defined in the tables of the present clause for the largest frequency offset (</w:t>
      </w:r>
      <w:r>
        <w:rPr/>
        <w:sym w:font="Symbol" w:char="F044"/>
      </w:r>
      <w:r>
        <w:t>f</w:t>
      </w:r>
      <w:r>
        <w:rPr>
          <w:vertAlign w:val="subscript"/>
        </w:rPr>
        <w:t>max</w:t>
      </w:r>
      <w:r>
        <w:t>), shall apply from channel edge up to frequencies separated from the channel edge by 200% of the necessary bandwidth.</w:t>
      </w:r>
    </w:p>
    <w:p>
      <w:pPr>
        <w:pStyle w:val="5"/>
        <w:rPr>
          <w:lang w:eastAsia="sv-SE"/>
        </w:rPr>
      </w:pPr>
      <w:bookmarkStart w:id="259" w:name="_Toc120611226"/>
      <w:bookmarkStart w:id="260" w:name="_Toc74961824"/>
      <w:bookmarkStart w:id="261" w:name="_Toc75242734"/>
      <w:bookmarkStart w:id="262" w:name="_Toc66728021"/>
      <w:bookmarkStart w:id="263" w:name="_Toc120613329"/>
      <w:bookmarkStart w:id="264" w:name="_Toc120610824"/>
      <w:bookmarkStart w:id="265" w:name="_Toc120612900"/>
      <w:bookmarkStart w:id="266" w:name="_Toc58860211"/>
      <w:bookmarkStart w:id="267" w:name="_Toc37272201"/>
      <w:bookmarkStart w:id="268" w:name="_Toc61182708"/>
      <w:bookmarkStart w:id="269" w:name="_Toc120544825"/>
      <w:bookmarkStart w:id="270" w:name="_Toc121754011"/>
      <w:bookmarkStart w:id="271" w:name="_Toc21099965"/>
      <w:bookmarkStart w:id="272" w:name="_Toc76545080"/>
      <w:bookmarkStart w:id="273" w:name="_Toc120608519"/>
      <w:bookmarkStart w:id="274" w:name="_Toc120626066"/>
      <w:bookmarkStart w:id="275" w:name="_Toc89955214"/>
      <w:bookmarkStart w:id="276" w:name="_Toc120610072"/>
      <w:bookmarkStart w:id="277" w:name="_Toc120625529"/>
      <w:bookmarkStart w:id="278" w:name="_Toc120624455"/>
      <w:bookmarkStart w:id="279" w:name="_Toc115191252"/>
      <w:bookmarkStart w:id="280" w:name="_Toc120622268"/>
      <w:bookmarkStart w:id="281" w:name="_Toc45884447"/>
      <w:bookmarkStart w:id="282" w:name="_Toc120622774"/>
      <w:bookmarkStart w:id="283" w:name="_Toc120545180"/>
      <w:bookmarkStart w:id="284" w:name="_Toc120615091"/>
      <w:bookmarkStart w:id="285" w:name="_Toc29809763"/>
      <w:bookmarkStart w:id="286" w:name="_Toc120612473"/>
      <w:bookmarkStart w:id="287" w:name="_Toc120606700"/>
      <w:bookmarkStart w:id="288" w:name="_Toc53182470"/>
      <w:bookmarkStart w:id="289" w:name="_Toc120611635"/>
      <w:bookmarkStart w:id="290" w:name="_Toc120614189"/>
      <w:bookmarkStart w:id="291" w:name="_Toc36645147"/>
      <w:bookmarkStart w:id="292" w:name="_Toc120607411"/>
      <w:bookmarkStart w:id="293" w:name="_Toc120623393"/>
      <w:bookmarkStart w:id="294" w:name="_Toc120609290"/>
      <w:bookmarkStart w:id="295" w:name="_Toc120607774"/>
      <w:bookmarkStart w:id="296" w:name="_Toc120624992"/>
      <w:bookmarkStart w:id="297" w:name="_Toc120630984"/>
      <w:bookmarkStart w:id="298" w:name="_Toc120628895"/>
      <w:bookmarkStart w:id="299" w:name="_Toc121754681"/>
      <w:bookmarkStart w:id="300" w:name="_Toc98773639"/>
      <w:bookmarkStart w:id="301" w:name="_Toc120631635"/>
      <w:bookmarkStart w:id="302" w:name="_Toc82595183"/>
      <w:bookmarkStart w:id="303" w:name="_Toc138879972"/>
      <w:bookmarkStart w:id="304" w:name="_Toc120632935"/>
      <w:bookmarkStart w:id="305" w:name="_Toc120613759"/>
      <w:bookmarkStart w:id="306" w:name="_Toc120633585"/>
      <w:bookmarkStart w:id="307" w:name="_Toc121822639"/>
      <w:bookmarkStart w:id="308" w:name="_Toc138880439"/>
      <w:bookmarkStart w:id="309" w:name="_Toc120632285"/>
      <w:bookmarkStart w:id="310" w:name="_Toc106201398"/>
      <w:bookmarkStart w:id="311" w:name="_Toc120614632"/>
      <w:bookmarkStart w:id="312" w:name="_Toc120634236"/>
      <w:bookmarkStart w:id="313" w:name="_Toc120608899"/>
      <w:bookmarkStart w:id="314" w:name="_Toc120626613"/>
      <w:bookmarkStart w:id="315" w:name="_Toc120627169"/>
      <w:bookmarkStart w:id="316" w:name="_Toc120629483"/>
      <w:bookmarkStart w:id="317" w:name="_Toc120607054"/>
      <w:bookmarkStart w:id="318" w:name="_Toc120609681"/>
      <w:bookmarkStart w:id="319" w:name="_Toc120612053"/>
      <w:bookmarkStart w:id="320" w:name="_Toc120627734"/>
      <w:bookmarkStart w:id="321" w:name="_Toc120634887"/>
      <w:bookmarkStart w:id="322" w:name="_Toc120608139"/>
      <w:bookmarkStart w:id="323" w:name="_Toc120545796"/>
      <w:bookmarkStart w:id="324" w:name="_Toc120628310"/>
      <w:bookmarkStart w:id="325" w:name="_Toc58862715"/>
      <w:bookmarkStart w:id="326" w:name="_Toc136851008"/>
      <w:bookmarkStart w:id="327" w:name="_Toc120623918"/>
      <w:r>
        <w:rPr>
          <w:lang w:eastAsia="sv-SE"/>
        </w:rPr>
        <w:t>6.6.4.2</w:t>
      </w:r>
      <w:r>
        <w:rPr>
          <w:lang w:eastAsia="sv-SE"/>
        </w:rPr>
        <w:tab/>
      </w:r>
      <w:r>
        <w:rPr>
          <w:lang w:eastAsia="sv-SE"/>
        </w:rPr>
        <w:t>Minimum requirement</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pPr>
        <w:rPr>
          <w:lang w:val="en-US" w:eastAsia="zh-CN"/>
        </w:rPr>
      </w:pPr>
      <w:r>
        <w:rPr>
          <w:lang w:eastAsia="zh-CN"/>
        </w:rPr>
        <w:t xml:space="preserve">The minimum requirement applies per </w:t>
      </w:r>
      <w:r>
        <w:rPr>
          <w:i/>
          <w:lang w:eastAsia="zh-CN"/>
        </w:rPr>
        <w:t>single-band connector</w:t>
      </w:r>
      <w:r>
        <w:rPr>
          <w:lang w:eastAsia="zh-CN"/>
        </w:rPr>
        <w:t xml:space="preserve"> </w:t>
      </w:r>
      <w:r>
        <w:rPr>
          <w:rFonts w:cs="v5.0.0"/>
        </w:rPr>
        <w:t xml:space="preserve">supporting transmission in the </w:t>
      </w:r>
      <w:r>
        <w:rPr>
          <w:rFonts w:cs="v5.0.0"/>
          <w:i/>
          <w:iCs/>
        </w:rPr>
        <w:t>operating band</w:t>
      </w:r>
      <w:r>
        <w:rPr>
          <w:lang w:eastAsia="zh-CN"/>
        </w:rPr>
        <w:t>.</w:t>
      </w:r>
    </w:p>
    <w:p>
      <w:r>
        <w:t xml:space="preserve">The minimum requirement for </w:t>
      </w:r>
      <w:r>
        <w:rPr>
          <w:rFonts w:hint="eastAsia"/>
          <w:i/>
          <w:lang w:eastAsia="zh-CN"/>
        </w:rPr>
        <w:t>SAN</w:t>
      </w:r>
      <w:r>
        <w:rPr>
          <w:i/>
        </w:rPr>
        <w:t xml:space="preserve"> type 1-H</w:t>
      </w:r>
      <w:r>
        <w:t xml:space="preserve"> is defined in TS 36.108 [</w:t>
      </w:r>
      <w:r>
        <w:rPr>
          <w:rFonts w:hint="eastAsia" w:eastAsiaTheme="minorEastAsia"/>
          <w:lang w:eastAsia="zh-CN"/>
        </w:rPr>
        <w:t>2</w:t>
      </w:r>
      <w:r>
        <w:t>], clause 6.6.4.2.</w:t>
      </w:r>
    </w:p>
    <w:p>
      <w:pPr>
        <w:pStyle w:val="5"/>
        <w:rPr>
          <w:lang w:eastAsia="sv-SE"/>
        </w:rPr>
      </w:pPr>
      <w:bookmarkStart w:id="328" w:name="_Toc120634888"/>
      <w:bookmarkStart w:id="329" w:name="_Toc120632286"/>
      <w:bookmarkStart w:id="330" w:name="_Toc120634237"/>
      <w:bookmarkStart w:id="331" w:name="_Toc120628896"/>
      <w:bookmarkStart w:id="332" w:name="_Toc120626614"/>
      <w:bookmarkStart w:id="333" w:name="_Toc121822640"/>
      <w:bookmarkStart w:id="334" w:name="_Toc120612054"/>
      <w:bookmarkStart w:id="335" w:name="_Toc120608900"/>
      <w:bookmarkStart w:id="336" w:name="_Toc75242735"/>
      <w:bookmarkStart w:id="337" w:name="_Toc120606701"/>
      <w:bookmarkStart w:id="338" w:name="_Toc121754012"/>
      <w:bookmarkStart w:id="339" w:name="_Toc120627170"/>
      <w:bookmarkStart w:id="340" w:name="_Toc138880440"/>
      <w:bookmarkStart w:id="341" w:name="_Toc121754682"/>
      <w:bookmarkStart w:id="342" w:name="_Toc120630985"/>
      <w:bookmarkStart w:id="343" w:name="_Toc138879973"/>
      <w:bookmarkStart w:id="344" w:name="_Toc120626067"/>
      <w:bookmarkStart w:id="345" w:name="_Toc120632936"/>
      <w:bookmarkStart w:id="346" w:name="_Toc136851009"/>
      <w:bookmarkStart w:id="347" w:name="_Toc120631636"/>
      <w:bookmarkStart w:id="348" w:name="_Toc120622269"/>
      <w:bookmarkStart w:id="349" w:name="_Toc120627735"/>
      <w:bookmarkStart w:id="350" w:name="_Toc120614633"/>
      <w:bookmarkStart w:id="351" w:name="_Toc89955215"/>
      <w:bookmarkStart w:id="352" w:name="_Toc58860212"/>
      <w:bookmarkStart w:id="353" w:name="_Toc120607775"/>
      <w:bookmarkStart w:id="354" w:name="_Toc29809764"/>
      <w:bookmarkStart w:id="355" w:name="_Toc58862716"/>
      <w:bookmarkStart w:id="356" w:name="_Toc76545081"/>
      <w:bookmarkStart w:id="357" w:name="_Toc45884448"/>
      <w:bookmarkStart w:id="358" w:name="_Toc120613330"/>
      <w:bookmarkStart w:id="359" w:name="_Toc120629484"/>
      <w:bookmarkStart w:id="360" w:name="_Toc120608140"/>
      <w:bookmarkStart w:id="361" w:name="_Toc120611227"/>
      <w:bookmarkStart w:id="362" w:name="_Toc120612474"/>
      <w:bookmarkStart w:id="363" w:name="_Toc66728022"/>
      <w:bookmarkStart w:id="364" w:name="_Toc120611636"/>
      <w:bookmarkStart w:id="365" w:name="_Toc53182471"/>
      <w:bookmarkStart w:id="366" w:name="_Toc98773640"/>
      <w:bookmarkStart w:id="367" w:name="_Toc120607412"/>
      <w:bookmarkStart w:id="368" w:name="_Toc120622775"/>
      <w:bookmarkStart w:id="369" w:name="_Toc120607055"/>
      <w:bookmarkStart w:id="370" w:name="_Toc106201399"/>
      <w:bookmarkStart w:id="371" w:name="_Toc115191253"/>
      <w:bookmarkStart w:id="372" w:name="_Toc61182709"/>
      <w:bookmarkStart w:id="373" w:name="_Toc120615092"/>
      <w:bookmarkStart w:id="374" w:name="_Toc120613760"/>
      <w:bookmarkStart w:id="375" w:name="_Toc120623919"/>
      <w:bookmarkStart w:id="376" w:name="_Toc120628311"/>
      <w:bookmarkStart w:id="377" w:name="_Toc120633586"/>
      <w:bookmarkStart w:id="378" w:name="_Toc21099966"/>
      <w:bookmarkStart w:id="379" w:name="_Toc120608520"/>
      <w:bookmarkStart w:id="380" w:name="_Toc74961825"/>
      <w:bookmarkStart w:id="381" w:name="_Toc120612901"/>
      <w:bookmarkStart w:id="382" w:name="_Toc120623394"/>
      <w:bookmarkStart w:id="383" w:name="_Toc120624456"/>
      <w:bookmarkStart w:id="384" w:name="_Toc120610073"/>
      <w:bookmarkStart w:id="385" w:name="_Toc120614190"/>
      <w:bookmarkStart w:id="386" w:name="_Toc36645148"/>
      <w:bookmarkStart w:id="387" w:name="_Toc120609682"/>
      <w:bookmarkStart w:id="388" w:name="_Toc120609291"/>
      <w:bookmarkStart w:id="389" w:name="_Toc120544826"/>
      <w:bookmarkStart w:id="390" w:name="_Toc82595184"/>
      <w:bookmarkStart w:id="391" w:name="_Toc120545181"/>
      <w:bookmarkStart w:id="392" w:name="_Toc120610825"/>
      <w:bookmarkStart w:id="393" w:name="_Toc37272202"/>
      <w:bookmarkStart w:id="394" w:name="_Toc120624993"/>
      <w:bookmarkStart w:id="395" w:name="_Toc120625530"/>
      <w:bookmarkStart w:id="396" w:name="_Toc120545797"/>
      <w:r>
        <w:rPr>
          <w:lang w:eastAsia="sv-SE"/>
        </w:rPr>
        <w:t>6.6.4.3</w:t>
      </w:r>
      <w:r>
        <w:rPr>
          <w:lang w:eastAsia="sv-SE"/>
        </w:rPr>
        <w:tab/>
      </w:r>
      <w:r>
        <w:rPr>
          <w:lang w:eastAsia="sv-SE"/>
        </w:rPr>
        <w:t>Test purpose</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r>
        <w:t>This test measures the emissions close to the assigned channel bandwidth of the wanted signal, while the transmitter is in operation.</w:t>
      </w:r>
    </w:p>
    <w:p>
      <w:pPr>
        <w:pStyle w:val="5"/>
        <w:rPr>
          <w:i/>
          <w:iCs/>
          <w:lang w:eastAsia="sv-SE"/>
        </w:rPr>
      </w:pPr>
      <w:bookmarkStart w:id="397" w:name="_Toc120628312"/>
      <w:bookmarkStart w:id="398" w:name="_Toc120610074"/>
      <w:bookmarkStart w:id="399" w:name="_Toc37272203"/>
      <w:bookmarkStart w:id="400" w:name="_Toc120607056"/>
      <w:bookmarkStart w:id="401" w:name="_Toc29809765"/>
      <w:bookmarkStart w:id="402" w:name="_Toc120623395"/>
      <w:bookmarkStart w:id="403" w:name="_Toc120614191"/>
      <w:bookmarkStart w:id="404" w:name="_Toc89955216"/>
      <w:bookmarkStart w:id="405" w:name="_Toc120544827"/>
      <w:bookmarkStart w:id="406" w:name="_Toc21099967"/>
      <w:bookmarkStart w:id="407" w:name="_Toc61182710"/>
      <w:bookmarkStart w:id="408" w:name="_Toc82595185"/>
      <w:bookmarkStart w:id="409" w:name="_Toc120627171"/>
      <w:bookmarkStart w:id="410" w:name="_Toc120607413"/>
      <w:bookmarkStart w:id="411" w:name="_Toc74961826"/>
      <w:bookmarkStart w:id="412" w:name="_Toc66728023"/>
      <w:bookmarkStart w:id="413" w:name="_Toc120545182"/>
      <w:bookmarkStart w:id="414" w:name="_Toc120625531"/>
      <w:bookmarkStart w:id="415" w:name="_Toc120607776"/>
      <w:bookmarkStart w:id="416" w:name="_Toc120606702"/>
      <w:bookmarkStart w:id="417" w:name="_Toc120624994"/>
      <w:bookmarkStart w:id="418" w:name="_Toc120614634"/>
      <w:bookmarkStart w:id="419" w:name="_Toc120545798"/>
      <w:bookmarkStart w:id="420" w:name="_Toc106201400"/>
      <w:bookmarkStart w:id="421" w:name="_Toc120611637"/>
      <w:bookmarkStart w:id="422" w:name="_Toc120612902"/>
      <w:bookmarkStart w:id="423" w:name="_Toc120612055"/>
      <w:bookmarkStart w:id="424" w:name="_Toc45884449"/>
      <w:bookmarkStart w:id="425" w:name="_Toc120626615"/>
      <w:bookmarkStart w:id="426" w:name="_Toc120608521"/>
      <w:bookmarkStart w:id="427" w:name="_Toc120608901"/>
      <w:bookmarkStart w:id="428" w:name="_Toc121754013"/>
      <w:bookmarkStart w:id="429" w:name="_Toc75242736"/>
      <w:bookmarkStart w:id="430" w:name="_Toc120623920"/>
      <w:bookmarkStart w:id="431" w:name="_Toc120627736"/>
      <w:bookmarkStart w:id="432" w:name="_Toc120611228"/>
      <w:bookmarkStart w:id="433" w:name="_Toc58860213"/>
      <w:bookmarkStart w:id="434" w:name="_Toc120615093"/>
      <w:bookmarkStart w:id="435" w:name="_Toc98773641"/>
      <w:bookmarkStart w:id="436" w:name="_Toc136851010"/>
      <w:bookmarkStart w:id="437" w:name="_Toc120609292"/>
      <w:bookmarkStart w:id="438" w:name="_Toc53182472"/>
      <w:bookmarkStart w:id="439" w:name="_Toc120634889"/>
      <w:bookmarkStart w:id="440" w:name="_Toc120628897"/>
      <w:bookmarkStart w:id="441" w:name="_Toc120612475"/>
      <w:bookmarkStart w:id="442" w:name="_Toc120630986"/>
      <w:bookmarkStart w:id="443" w:name="_Toc120608141"/>
      <w:bookmarkStart w:id="444" w:name="_Toc115191254"/>
      <w:bookmarkStart w:id="445" w:name="_Toc120633587"/>
      <w:bookmarkStart w:id="446" w:name="_Toc120629485"/>
      <w:bookmarkStart w:id="447" w:name="_Toc120613331"/>
      <w:bookmarkStart w:id="448" w:name="_Toc120609683"/>
      <w:bookmarkStart w:id="449" w:name="_Toc58862717"/>
      <w:bookmarkStart w:id="450" w:name="_Toc120632287"/>
      <w:bookmarkStart w:id="451" w:name="_Toc120622270"/>
      <w:bookmarkStart w:id="452" w:name="_Toc138880441"/>
      <w:bookmarkStart w:id="453" w:name="_Toc120624457"/>
      <w:bookmarkStart w:id="454" w:name="_Toc120632937"/>
      <w:bookmarkStart w:id="455" w:name="_Toc120613761"/>
      <w:bookmarkStart w:id="456" w:name="_Toc120634238"/>
      <w:bookmarkStart w:id="457" w:name="_Toc138879974"/>
      <w:bookmarkStart w:id="458" w:name="_Toc36645149"/>
      <w:bookmarkStart w:id="459" w:name="_Toc76545082"/>
      <w:bookmarkStart w:id="460" w:name="_Toc120631637"/>
      <w:bookmarkStart w:id="461" w:name="_Toc120626068"/>
      <w:bookmarkStart w:id="462" w:name="_Toc120622776"/>
      <w:bookmarkStart w:id="463" w:name="_Toc120610826"/>
      <w:bookmarkStart w:id="464" w:name="_Toc121754683"/>
      <w:bookmarkStart w:id="465" w:name="_Toc121822641"/>
      <w:r>
        <w:rPr>
          <w:lang w:eastAsia="sv-SE"/>
        </w:rPr>
        <w:t>6.6.4.4</w:t>
      </w:r>
      <w:r>
        <w:rPr>
          <w:lang w:eastAsia="sv-SE"/>
        </w:rPr>
        <w:tab/>
      </w:r>
      <w:r>
        <w:rPr>
          <w:lang w:eastAsia="sv-SE"/>
        </w:rPr>
        <w:t>Method of test</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pPr>
        <w:pStyle w:val="6"/>
      </w:pPr>
      <w:bookmarkStart w:id="466" w:name="_Toc120623396"/>
      <w:bookmarkStart w:id="467" w:name="_Toc120630987"/>
      <w:bookmarkStart w:id="468" w:name="_Toc21099968"/>
      <w:bookmarkStart w:id="469" w:name="_Toc138879975"/>
      <w:bookmarkStart w:id="470" w:name="_Toc120622271"/>
      <w:bookmarkStart w:id="471" w:name="_Toc120612476"/>
      <w:bookmarkStart w:id="472" w:name="_Toc121822642"/>
      <w:bookmarkStart w:id="473" w:name="_Toc120545799"/>
      <w:bookmarkStart w:id="474" w:name="_Toc120634890"/>
      <w:bookmarkStart w:id="475" w:name="_Toc36645150"/>
      <w:bookmarkStart w:id="476" w:name="_Toc120610827"/>
      <w:bookmarkStart w:id="477" w:name="_Toc120607777"/>
      <w:bookmarkStart w:id="478" w:name="_Toc120631638"/>
      <w:bookmarkStart w:id="479" w:name="_Toc120608142"/>
      <w:bookmarkStart w:id="480" w:name="_Toc120628898"/>
      <w:bookmarkStart w:id="481" w:name="_Toc120615094"/>
      <w:bookmarkStart w:id="482" w:name="_Toc120607057"/>
      <w:bookmarkStart w:id="483" w:name="_Toc120613332"/>
      <w:bookmarkStart w:id="484" w:name="_Toc120623921"/>
      <w:bookmarkStart w:id="485" w:name="_Toc120626616"/>
      <w:bookmarkStart w:id="486" w:name="_Toc74961827"/>
      <w:bookmarkStart w:id="487" w:name="_Toc115191255"/>
      <w:bookmarkStart w:id="488" w:name="_Toc120624995"/>
      <w:bookmarkStart w:id="489" w:name="_Toc58860214"/>
      <w:bookmarkStart w:id="490" w:name="_Toc120544828"/>
      <w:bookmarkStart w:id="491" w:name="_Toc120613762"/>
      <w:bookmarkStart w:id="492" w:name="_Toc120612056"/>
      <w:bookmarkStart w:id="493" w:name="_Toc120627172"/>
      <w:bookmarkStart w:id="494" w:name="_Toc120632288"/>
      <w:bookmarkStart w:id="495" w:name="_Toc120628313"/>
      <w:bookmarkStart w:id="496" w:name="_Toc120614635"/>
      <w:bookmarkStart w:id="497" w:name="_Toc136851011"/>
      <w:bookmarkStart w:id="498" w:name="_Toc121754014"/>
      <w:bookmarkStart w:id="499" w:name="_Toc120622777"/>
      <w:bookmarkStart w:id="500" w:name="_Toc120625532"/>
      <w:bookmarkStart w:id="501" w:name="_Toc121754684"/>
      <w:bookmarkStart w:id="502" w:name="_Toc120632938"/>
      <w:bookmarkStart w:id="503" w:name="_Toc120627737"/>
      <w:bookmarkStart w:id="504" w:name="_Toc29809766"/>
      <w:bookmarkStart w:id="505" w:name="_Toc120634239"/>
      <w:bookmarkStart w:id="506" w:name="_Toc138880442"/>
      <w:bookmarkStart w:id="507" w:name="_Toc120614192"/>
      <w:bookmarkStart w:id="508" w:name="_Toc120624458"/>
      <w:bookmarkStart w:id="509" w:name="_Toc120633588"/>
      <w:bookmarkStart w:id="510" w:name="_Toc89955217"/>
      <w:bookmarkStart w:id="511" w:name="_Toc120545183"/>
      <w:bookmarkStart w:id="512" w:name="_Toc120606703"/>
      <w:bookmarkStart w:id="513" w:name="_Toc120626069"/>
      <w:bookmarkStart w:id="514" w:name="_Toc120611229"/>
      <w:bookmarkStart w:id="515" w:name="_Toc120612903"/>
      <w:bookmarkStart w:id="516" w:name="_Toc66728024"/>
      <w:bookmarkStart w:id="517" w:name="_Toc58862718"/>
      <w:bookmarkStart w:id="518" w:name="_Toc120608902"/>
      <w:bookmarkStart w:id="519" w:name="_Toc106201401"/>
      <w:bookmarkStart w:id="520" w:name="_Toc120609293"/>
      <w:bookmarkStart w:id="521" w:name="_Toc120610075"/>
      <w:bookmarkStart w:id="522" w:name="_Toc45884450"/>
      <w:bookmarkStart w:id="523" w:name="_Toc120629486"/>
      <w:bookmarkStart w:id="524" w:name="_Toc98773642"/>
      <w:bookmarkStart w:id="525" w:name="_Toc120609684"/>
      <w:bookmarkStart w:id="526" w:name="_Toc76545083"/>
      <w:bookmarkStart w:id="527" w:name="_Toc61182711"/>
      <w:bookmarkStart w:id="528" w:name="_Toc120607414"/>
      <w:bookmarkStart w:id="529" w:name="_Toc37272204"/>
      <w:bookmarkStart w:id="530" w:name="_Toc120611638"/>
      <w:bookmarkStart w:id="531" w:name="_Toc120608522"/>
      <w:bookmarkStart w:id="532" w:name="_Toc53182473"/>
      <w:bookmarkStart w:id="533" w:name="_Toc82595186"/>
      <w:bookmarkStart w:id="534" w:name="_Toc75242737"/>
      <w:r>
        <w:t>6.6.4.4.1</w:t>
      </w:r>
      <w:r>
        <w:tab/>
      </w:r>
      <w:r>
        <w:t>Initial conditions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r>
        <w:t>Test environment: Normal; see annex B.</w:t>
      </w:r>
    </w:p>
    <w:p>
      <w:r>
        <w:t>RF channels to be tested for single carrier: B, M and T; see clause 4.9.1.</w:t>
      </w:r>
    </w:p>
    <w:p>
      <w:pPr>
        <w:rPr>
          <w:rFonts w:cs="v4.2.0"/>
        </w:rPr>
      </w:pPr>
      <w:r>
        <w:rPr>
          <w:i/>
        </w:rPr>
        <w:t>SAN RF Bandwidth</w:t>
      </w:r>
      <w:r>
        <w:t xml:space="preserve"> positions to be tested for multi-carrier</w:t>
      </w:r>
      <w:r>
        <w:rPr>
          <w:rFonts w:cs="v4.2.0"/>
        </w:rPr>
        <w:t xml:space="preserve">: </w:t>
      </w:r>
      <w:r>
        <w:t>B</w:t>
      </w:r>
      <w:r>
        <w:rPr>
          <w:rFonts w:cs="v4.2.0"/>
          <w:vertAlign w:val="subscript"/>
        </w:rPr>
        <w:t>RF</w:t>
      </w:r>
      <w:r>
        <w:rPr>
          <w:rFonts w:cs="v4.2.0"/>
          <w:vertAlign w:val="subscript"/>
          <w:lang w:eastAsia="zh-CN"/>
        </w:rPr>
        <w:t>BW</w:t>
      </w:r>
      <w:r>
        <w:t>, M</w:t>
      </w:r>
      <w:r>
        <w:rPr>
          <w:rFonts w:cs="v4.2.0"/>
          <w:vertAlign w:val="subscript"/>
        </w:rPr>
        <w:t>RF</w:t>
      </w:r>
      <w:r>
        <w:rPr>
          <w:rFonts w:cs="v4.2.0"/>
          <w:vertAlign w:val="subscript"/>
          <w:lang w:eastAsia="zh-CN"/>
        </w:rPr>
        <w:t>BW</w:t>
      </w:r>
      <w:r>
        <w:t xml:space="preserve"> and T</w:t>
      </w:r>
      <w:r>
        <w:rPr>
          <w:rFonts w:cs="v4.2.0"/>
          <w:vertAlign w:val="subscript"/>
        </w:rPr>
        <w:t>RF</w:t>
      </w:r>
      <w:r>
        <w:rPr>
          <w:rFonts w:cs="v4.2.0"/>
          <w:vertAlign w:val="subscript"/>
          <w:lang w:eastAsia="zh-CN"/>
        </w:rPr>
        <w:t>BW</w:t>
      </w:r>
      <w:r>
        <w:rPr>
          <w:lang w:eastAsia="zh-CN"/>
        </w:rPr>
        <w:t xml:space="preserve"> in single-band operation</w:t>
      </w:r>
      <w:r>
        <w:rPr>
          <w:rFonts w:cs="v4.2.0"/>
          <w:lang w:eastAsia="zh-CN"/>
        </w:rPr>
        <w:t>;</w:t>
      </w:r>
      <w:r>
        <w:rPr>
          <w:rFonts w:cs="v4.2.0"/>
        </w:rPr>
        <w:t xml:space="preserve"> see clause </w:t>
      </w:r>
      <w:r>
        <w:rPr>
          <w:rFonts w:cs="v4.2.0"/>
          <w:lang w:eastAsia="zh-CN"/>
        </w:rPr>
        <w:t>4.9.1</w:t>
      </w:r>
      <w:r>
        <w:t>.</w:t>
      </w:r>
    </w:p>
    <w:p>
      <w:pPr>
        <w:pStyle w:val="6"/>
      </w:pPr>
      <w:bookmarkStart w:id="535" w:name="_Toc120630988"/>
      <w:bookmarkStart w:id="536" w:name="_Toc120627173"/>
      <w:bookmarkStart w:id="537" w:name="_Toc120613763"/>
      <w:bookmarkStart w:id="538" w:name="_Toc120624996"/>
      <w:bookmarkStart w:id="539" w:name="_Toc121754685"/>
      <w:bookmarkStart w:id="540" w:name="_Toc120614636"/>
      <w:bookmarkStart w:id="541" w:name="_Toc120544829"/>
      <w:bookmarkStart w:id="542" w:name="_Toc120628314"/>
      <w:bookmarkStart w:id="543" w:name="_Toc98773643"/>
      <w:bookmarkStart w:id="544" w:name="_Toc120623397"/>
      <w:bookmarkStart w:id="545" w:name="_Toc138879976"/>
      <w:bookmarkStart w:id="546" w:name="_Toc136851012"/>
      <w:bookmarkStart w:id="547" w:name="_Toc120545184"/>
      <w:bookmarkStart w:id="548" w:name="_Toc120624459"/>
      <w:bookmarkStart w:id="549" w:name="_Toc120622272"/>
      <w:bookmarkStart w:id="550" w:name="_Toc120614193"/>
      <w:bookmarkStart w:id="551" w:name="_Toc120632939"/>
      <w:bookmarkStart w:id="552" w:name="_Toc138880443"/>
      <w:bookmarkStart w:id="553" w:name="_Toc121822643"/>
      <w:bookmarkStart w:id="554" w:name="_Toc120633589"/>
      <w:bookmarkStart w:id="555" w:name="_Toc115191256"/>
      <w:bookmarkStart w:id="556" w:name="_Toc121754015"/>
      <w:bookmarkStart w:id="557" w:name="_Toc53182474"/>
      <w:bookmarkStart w:id="558" w:name="_Toc120634240"/>
      <w:bookmarkStart w:id="559" w:name="_Toc120607058"/>
      <w:bookmarkStart w:id="560" w:name="_Toc120623922"/>
      <w:bookmarkStart w:id="561" w:name="_Toc120632289"/>
      <w:bookmarkStart w:id="562" w:name="_Toc89955218"/>
      <w:bookmarkStart w:id="563" w:name="_Toc29809767"/>
      <w:bookmarkStart w:id="564" w:name="_Toc120609294"/>
      <w:bookmarkStart w:id="565" w:name="_Toc36645151"/>
      <w:bookmarkStart w:id="566" w:name="_Toc120615095"/>
      <w:bookmarkStart w:id="567" w:name="_Toc120634891"/>
      <w:bookmarkStart w:id="568" w:name="_Toc120608523"/>
      <w:bookmarkStart w:id="569" w:name="_Toc120610828"/>
      <w:bookmarkStart w:id="570" w:name="_Toc37272205"/>
      <w:bookmarkStart w:id="571" w:name="_Toc120611639"/>
      <w:bookmarkStart w:id="572" w:name="_Toc120626617"/>
      <w:bookmarkStart w:id="573" w:name="_Toc106201402"/>
      <w:bookmarkStart w:id="574" w:name="_Toc120610076"/>
      <w:bookmarkStart w:id="575" w:name="_Toc120606704"/>
      <w:bookmarkStart w:id="576" w:name="_Toc120625533"/>
      <w:bookmarkStart w:id="577" w:name="_Toc120613333"/>
      <w:bookmarkStart w:id="578" w:name="_Toc75242738"/>
      <w:bookmarkStart w:id="579" w:name="_Toc76545084"/>
      <w:bookmarkStart w:id="580" w:name="_Toc58862719"/>
      <w:bookmarkStart w:id="581" w:name="_Toc120631639"/>
      <w:bookmarkStart w:id="582" w:name="_Toc120626070"/>
      <w:bookmarkStart w:id="583" w:name="_Toc120545800"/>
      <w:bookmarkStart w:id="584" w:name="_Toc120628899"/>
      <w:bookmarkStart w:id="585" w:name="_Toc120622778"/>
      <w:bookmarkStart w:id="586" w:name="_Toc66728025"/>
      <w:bookmarkStart w:id="587" w:name="_Toc82595187"/>
      <w:bookmarkStart w:id="588" w:name="_Toc120627738"/>
      <w:bookmarkStart w:id="589" w:name="_Toc120608903"/>
      <w:bookmarkStart w:id="590" w:name="_Toc58860215"/>
      <w:bookmarkStart w:id="591" w:name="_Toc120609685"/>
      <w:bookmarkStart w:id="592" w:name="_Toc120629487"/>
      <w:bookmarkStart w:id="593" w:name="_Toc120607415"/>
      <w:bookmarkStart w:id="594" w:name="_Toc45884451"/>
      <w:bookmarkStart w:id="595" w:name="_Toc61182712"/>
      <w:bookmarkStart w:id="596" w:name="_Toc74961828"/>
      <w:bookmarkStart w:id="597" w:name="_Toc120612477"/>
      <w:bookmarkStart w:id="598" w:name="_Toc21099969"/>
      <w:bookmarkStart w:id="599" w:name="_Toc120607778"/>
      <w:bookmarkStart w:id="600" w:name="_Toc120611230"/>
      <w:bookmarkStart w:id="601" w:name="_Toc120608143"/>
      <w:bookmarkStart w:id="602" w:name="_Toc120612057"/>
      <w:bookmarkStart w:id="603" w:name="_Toc120612904"/>
      <w:r>
        <w:t>6.6.4.4.2</w:t>
      </w:r>
      <w:r>
        <w:tab/>
      </w:r>
      <w:r>
        <w:t>Procedure</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r>
        <w:t xml:space="preserve">For </w:t>
      </w:r>
      <w:r>
        <w:rPr>
          <w:i/>
        </w:rPr>
        <w:t>SAN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w:t>
      </w:r>
      <w:r>
        <w:rPr>
          <w:rFonts w:hint="eastAsia" w:eastAsiaTheme="minorEastAsia"/>
          <w:lang w:eastAsia="zh-CN"/>
        </w:rPr>
        <w:t>D.1.1</w:t>
      </w:r>
      <w:r>
        <w:t xml:space="preserve">. Whichever method is used the procedure is repeated until all </w:t>
      </w:r>
      <w:r>
        <w:rPr>
          <w:i/>
        </w:rPr>
        <w:t>TAB connectors</w:t>
      </w:r>
      <w:r>
        <w:t xml:space="preserve"> necessary to demonstrate conformance have been tested.</w:t>
      </w:r>
    </w:p>
    <w:p>
      <w:pPr>
        <w:pStyle w:val="75"/>
      </w:pPr>
      <w:r>
        <w:t>1)</w:t>
      </w:r>
      <w:r>
        <w:tab/>
      </w:r>
      <w:r>
        <w:t xml:space="preserve">Connect the </w:t>
      </w:r>
      <w:r>
        <w:rPr>
          <w:i/>
        </w:rPr>
        <w:t>single-band connector</w:t>
      </w:r>
      <w:r>
        <w:t xml:space="preserve"> under test to measurement equipment as shown in annex </w:t>
      </w:r>
      <w:r>
        <w:rPr>
          <w:rFonts w:hint="eastAsia" w:eastAsiaTheme="minorEastAsia"/>
          <w:lang w:eastAsia="zh-CN"/>
        </w:rPr>
        <w:t>D.1.1</w:t>
      </w:r>
      <w:r>
        <w:t>. All connectors not under test shall be terminated.</w:t>
      </w:r>
    </w:p>
    <w:p>
      <w:pPr>
        <w:pStyle w:val="75"/>
      </w:pPr>
      <w: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75"/>
      </w:pPr>
      <w:r>
        <w:tab/>
      </w:r>
      <w:r>
        <w:t>The measurement device characteristics shall be: Detection mode: True RMS.</w:t>
      </w:r>
    </w:p>
    <w:p>
      <w:pPr>
        <w:pStyle w:val="75"/>
        <w:rPr>
          <w:lang w:eastAsia="zh-CN"/>
        </w:rPr>
      </w:pPr>
      <w:r>
        <w:rPr>
          <w:lang w:val="en-US"/>
        </w:rPr>
        <w:tab/>
      </w:r>
      <w:r>
        <w:t xml:space="preserve">The emission power should be averaged over an appropriate time duration to ensure the measurement is within the measurement uncertainty in table 4.1.2.2-1. </w:t>
      </w:r>
    </w:p>
    <w:p>
      <w:pPr>
        <w:pStyle w:val="75"/>
      </w:pPr>
      <w:r>
        <w:t>2)</w:t>
      </w:r>
      <w:r>
        <w:tab/>
      </w:r>
      <w:r>
        <w:t>For a connectors declared to be capable of single carrier operation only, set the representative connectors under test to transmit according to</w:t>
      </w:r>
      <w:r>
        <w:rPr>
          <w:lang w:val="en-US" w:eastAsia="zh-CN"/>
        </w:rPr>
        <w:t xml:space="preserve"> </w:t>
      </w:r>
      <w:r>
        <w:t>the applicable test configuration in clause 4.</w:t>
      </w:r>
      <w:r>
        <w:rPr>
          <w:lang w:val="en-US" w:eastAsia="zh-CN"/>
        </w:rPr>
        <w:t xml:space="preserve">8 </w:t>
      </w:r>
      <w:r>
        <w:t xml:space="preserve">at manufacturer's declared </w:t>
      </w:r>
      <w:r>
        <w:rPr>
          <w:i/>
        </w:rPr>
        <w:t xml:space="preserve">rated carrier output power per TAB connector </w:t>
      </w:r>
      <w:r>
        <w:rPr>
          <w:rFonts w:cs="Arial"/>
          <w:szCs w:val="18"/>
          <w:lang w:eastAsia="ko-KR"/>
        </w:rPr>
        <w:t>(P</w:t>
      </w:r>
      <w:r>
        <w:rPr>
          <w:rFonts w:cs="Arial"/>
          <w:szCs w:val="18"/>
          <w:vertAlign w:val="subscript"/>
          <w:lang w:eastAsia="ko-KR"/>
        </w:rPr>
        <w:t>rated,c,TABC</w:t>
      </w:r>
      <w:r>
        <w:rPr>
          <w:rFonts w:cs="Arial"/>
          <w:szCs w:val="18"/>
          <w:lang w:eastAsia="ko-KR"/>
        </w:rPr>
        <w:t>, D.</w:t>
      </w:r>
      <w:r>
        <w:rPr>
          <w:rFonts w:hint="eastAsia" w:cs="Arial" w:eastAsiaTheme="minorEastAsia"/>
          <w:szCs w:val="18"/>
          <w:lang w:eastAsia="zh-CN"/>
        </w:rPr>
        <w:t>34</w:t>
      </w:r>
      <w:r>
        <w:t>). Channel set-up shall be according to E</w:t>
      </w:r>
      <w:r>
        <w:rPr>
          <w:lang w:eastAsia="zh-CN"/>
        </w:rPr>
        <w:t>-</w:t>
      </w:r>
      <w:r>
        <w:rPr>
          <w:rFonts w:hint="eastAsia"/>
          <w:lang w:eastAsia="zh-CN"/>
        </w:rPr>
        <w:t>SAN-</w:t>
      </w:r>
      <w:r>
        <w:t>TM1.1.</w:t>
      </w:r>
    </w:p>
    <w:p>
      <w:pPr>
        <w:pStyle w:val="75"/>
      </w:pPr>
      <w:r>
        <w:rPr>
          <w:snapToGrid w:val="0"/>
        </w:rPr>
        <w:tab/>
      </w:r>
      <w:r>
        <w:rPr>
          <w:snapToGrid w:val="0"/>
        </w:rPr>
        <w:t xml:space="preserve">For connectors under test </w:t>
      </w:r>
      <w:r>
        <w:rPr>
          <w:lang w:eastAsia="zh-CN"/>
        </w:rPr>
        <w:t>declared to be capable of multi-carrier</w:t>
      </w:r>
      <w:r>
        <w:t xml:space="preserve"> </w:t>
      </w:r>
      <w:r>
        <w:rPr>
          <w:lang w:eastAsia="zh-CN"/>
        </w:rPr>
        <w:t>operation</w:t>
      </w:r>
      <w:r>
        <w:rPr>
          <w:snapToGrid w:val="0"/>
        </w:rPr>
        <w:t xml:space="preserve"> set the connectors under test to transmit </w:t>
      </w:r>
      <w:r>
        <w:rPr>
          <w:lang w:eastAsia="zh-CN"/>
        </w:rPr>
        <w:t xml:space="preserve">on all carriers configured using the applicable test configuration and corresponding power setting specified in clauses 4.7 </w:t>
      </w:r>
      <w:r>
        <w:rPr>
          <w:lang w:val="en-US" w:eastAsia="zh-CN"/>
        </w:rPr>
        <w:t xml:space="preserve">and 4.8 </w:t>
      </w:r>
      <w:r>
        <w:t xml:space="preserve">using the corresponding test models or set of physical channels in clause 4.9.2. </w:t>
      </w:r>
    </w:p>
    <w:p>
      <w:pPr>
        <w:pStyle w:val="75"/>
        <w:rPr>
          <w:snapToGrid w:val="0"/>
        </w:rPr>
      </w:pPr>
      <w:r>
        <w:rPr>
          <w:snapToGrid w:val="0"/>
        </w:rPr>
        <w:t>3)</w:t>
      </w:r>
      <w:r>
        <w:rPr>
          <w:snapToGrid w:val="0"/>
        </w:rPr>
        <w:tab/>
      </w:r>
      <w:r>
        <w:rPr>
          <w:snapToGrid w:val="0"/>
        </w:rPr>
        <w:t>Step the centre frequency of the measurement filter in contiguous steps and measure the emission within the specified frequency ranges with the specified measurement bandwidth.</w:t>
      </w:r>
    </w:p>
    <w:p>
      <w:pPr>
        <w:pStyle w:val="75"/>
        <w:rPr>
          <w:snapToGrid w:val="0"/>
        </w:rPr>
      </w:pPr>
      <w:r>
        <w:rPr>
          <w:snapToGrid w:val="0"/>
        </w:rPr>
        <w:t>4)</w:t>
      </w:r>
      <w:r>
        <w:rPr>
          <w:snapToGrid w:val="0"/>
        </w:rPr>
        <w:tab/>
      </w:r>
      <w:r>
        <w:rPr>
          <w:snapToGrid w:val="0"/>
        </w:rPr>
        <w:t xml:space="preserve">Repeat the test for the remaining test cases, </w:t>
      </w:r>
      <w:r>
        <w:rPr>
          <w:rFonts w:cs="v4.2.0"/>
          <w:snapToGrid w:val="0"/>
        </w:rPr>
        <w:t>with the c</w:t>
      </w:r>
      <w:r>
        <w:t>hannel set-up according to E</w:t>
      </w:r>
      <w:r>
        <w:rPr>
          <w:lang w:eastAsia="zh-CN"/>
        </w:rPr>
        <w:t>-</w:t>
      </w:r>
      <w:r>
        <w:rPr>
          <w:rFonts w:hint="eastAsia"/>
          <w:lang w:eastAsia="zh-CN"/>
        </w:rPr>
        <w:t>SAN-</w:t>
      </w:r>
      <w:r>
        <w:t>TM1.2</w:t>
      </w:r>
      <w:r>
        <w:rPr>
          <w:snapToGrid w:val="0"/>
        </w:rPr>
        <w:t>.</w:t>
      </w:r>
    </w:p>
    <w:p>
      <w:pPr>
        <w:pStyle w:val="5"/>
        <w:rPr>
          <w:lang w:eastAsia="sv-SE"/>
        </w:rPr>
      </w:pPr>
      <w:bookmarkStart w:id="604" w:name="_Toc29809768"/>
      <w:bookmarkStart w:id="605" w:name="_Toc120612478"/>
      <w:bookmarkStart w:id="606" w:name="_Toc120631640"/>
      <w:bookmarkStart w:id="607" w:name="_Toc45884452"/>
      <w:bookmarkStart w:id="608" w:name="_Toc74961829"/>
      <w:bookmarkStart w:id="609" w:name="_Toc21099970"/>
      <w:bookmarkStart w:id="610" w:name="_Toc120606705"/>
      <w:bookmarkStart w:id="611" w:name="_Toc58862720"/>
      <w:bookmarkStart w:id="612" w:name="_Toc120610077"/>
      <w:bookmarkStart w:id="613" w:name="_Toc61182713"/>
      <w:bookmarkStart w:id="614" w:name="_Toc37272206"/>
      <w:bookmarkStart w:id="615" w:name="_Toc120545185"/>
      <w:bookmarkStart w:id="616" w:name="_Toc98773644"/>
      <w:bookmarkStart w:id="617" w:name="_Toc120607059"/>
      <w:bookmarkStart w:id="618" w:name="_Toc89955219"/>
      <w:bookmarkStart w:id="619" w:name="_Toc120609686"/>
      <w:bookmarkStart w:id="620" w:name="_Toc53182475"/>
      <w:bookmarkStart w:id="621" w:name="_Toc120624460"/>
      <w:bookmarkStart w:id="622" w:name="_Toc136851013"/>
      <w:bookmarkStart w:id="623" w:name="_Toc120623923"/>
      <w:bookmarkStart w:id="624" w:name="_Toc115191257"/>
      <w:bookmarkStart w:id="625" w:name="_Toc120615096"/>
      <w:bookmarkStart w:id="626" w:name="_Toc120627739"/>
      <w:bookmarkStart w:id="627" w:name="_Toc120611231"/>
      <w:bookmarkStart w:id="628" w:name="_Toc120544830"/>
      <w:bookmarkStart w:id="629" w:name="_Toc120545801"/>
      <w:bookmarkStart w:id="630" w:name="_Toc120632940"/>
      <w:bookmarkStart w:id="631" w:name="_Toc120630989"/>
      <w:bookmarkStart w:id="632" w:name="_Toc120611640"/>
      <w:bookmarkStart w:id="633" w:name="_Toc120612905"/>
      <w:bookmarkStart w:id="634" w:name="_Toc58860216"/>
      <w:bookmarkStart w:id="635" w:name="_Toc120633590"/>
      <w:bookmarkStart w:id="636" w:name="_Toc120628900"/>
      <w:bookmarkStart w:id="637" w:name="_Toc120608144"/>
      <w:bookmarkStart w:id="638" w:name="_Toc121754686"/>
      <w:bookmarkStart w:id="639" w:name="_Toc120608904"/>
      <w:bookmarkStart w:id="640" w:name="_Toc120610829"/>
      <w:bookmarkStart w:id="641" w:name="_Toc76545085"/>
      <w:bookmarkStart w:id="642" w:name="_Toc75242739"/>
      <w:bookmarkStart w:id="643" w:name="_Toc120607779"/>
      <w:bookmarkStart w:id="644" w:name="_Toc120607416"/>
      <w:bookmarkStart w:id="645" w:name="_Toc120632290"/>
      <w:bookmarkStart w:id="646" w:name="_Toc36645152"/>
      <w:bookmarkStart w:id="647" w:name="_Toc106201403"/>
      <w:bookmarkStart w:id="648" w:name="_Toc138880444"/>
      <w:bookmarkStart w:id="649" w:name="_Toc120609295"/>
      <w:bookmarkStart w:id="650" w:name="_Toc120613764"/>
      <w:bookmarkStart w:id="651" w:name="_Toc138879977"/>
      <w:bookmarkStart w:id="652" w:name="_Toc66728026"/>
      <w:bookmarkStart w:id="653" w:name="_Toc120608524"/>
      <w:bookmarkStart w:id="654" w:name="_Toc120614194"/>
      <w:bookmarkStart w:id="655" w:name="_Toc120622273"/>
      <w:bookmarkStart w:id="656" w:name="_Toc120625534"/>
      <w:bookmarkStart w:id="657" w:name="_Toc120626618"/>
      <w:bookmarkStart w:id="658" w:name="_Toc120622779"/>
      <w:bookmarkStart w:id="659" w:name="_Toc120634241"/>
      <w:bookmarkStart w:id="660" w:name="_Toc120614637"/>
      <w:bookmarkStart w:id="661" w:name="_Toc120612058"/>
      <w:bookmarkStart w:id="662" w:name="_Toc121822644"/>
      <w:bookmarkStart w:id="663" w:name="_Toc120623398"/>
      <w:bookmarkStart w:id="664" w:name="_Toc120627174"/>
      <w:bookmarkStart w:id="665" w:name="_Toc120613334"/>
      <w:bookmarkStart w:id="666" w:name="_Toc120628315"/>
      <w:bookmarkStart w:id="667" w:name="_Toc82595188"/>
      <w:bookmarkStart w:id="668" w:name="_Toc120624997"/>
      <w:bookmarkStart w:id="669" w:name="_Toc120626071"/>
      <w:bookmarkStart w:id="670" w:name="_Toc120629488"/>
      <w:bookmarkStart w:id="671" w:name="_Toc120634892"/>
      <w:bookmarkStart w:id="672" w:name="_Toc121754016"/>
      <w:r>
        <w:rPr>
          <w:lang w:eastAsia="sv-SE"/>
        </w:rPr>
        <w:t>6.6.4.5</w:t>
      </w:r>
      <w:r>
        <w:rPr>
          <w:lang w:eastAsia="sv-SE"/>
        </w:rPr>
        <w:tab/>
      </w:r>
      <w:r>
        <w:rPr>
          <w:lang w:eastAsia="sv-SE"/>
        </w:rPr>
        <w:t>Test requirements</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pPr>
        <w:rPr>
          <w:lang w:val="en-US" w:eastAsia="zh-CN"/>
        </w:rPr>
      </w:pPr>
      <w:r>
        <w:t>For SAN operating in Bands n256, n255, the Operating Band Unwanted Emissions (OBUE) requirements for GEO and LEO classes are defined as described in table 6.6.4.5</w:t>
      </w:r>
      <w:r>
        <w:noBreakHyphen/>
      </w:r>
      <w:r>
        <w:t>1, in line with annex 5 of ITU recommendation SM.1541 [</w:t>
      </w:r>
      <w:r>
        <w:rPr>
          <w:rFonts w:eastAsiaTheme="minorEastAsia"/>
          <w:lang w:eastAsia="zh-CN"/>
        </w:rPr>
        <w:t>4</w:t>
      </w:r>
      <w:r>
        <w:t>].</w:t>
      </w:r>
    </w:p>
    <w:p>
      <w:pPr>
        <w:pStyle w:val="55"/>
        <w:rPr>
          <w:rFonts w:cs="Arial"/>
          <w:b w:val="0"/>
          <w:lang w:val="en-US"/>
        </w:rPr>
      </w:pPr>
      <w:r>
        <w:rPr>
          <w:rFonts w:cs="Arial"/>
          <w:lang w:val="en-US"/>
        </w:rPr>
        <w:t xml:space="preserve">Table 6.6.4.5-1: SAN LEO and </w:t>
      </w:r>
      <w:r>
        <w:rPr>
          <w:rFonts w:cs="Arial"/>
          <w:lang w:val="en-US" w:eastAsia="zh-CN"/>
        </w:rPr>
        <w:t>GEO</w:t>
      </w:r>
      <w:r>
        <w:rPr>
          <w:rFonts w:cs="Arial"/>
          <w:lang w:val="en-US"/>
        </w:rPr>
        <w:t xml:space="preserve"> operating band unwanted emission limits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1"/>
        <w:gridCol w:w="1752"/>
        <w:gridCol w:w="5105"/>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9" w:type="pct"/>
            <w:tcBorders>
              <w:top w:val="single" w:color="auto" w:sz="4" w:space="0"/>
              <w:left w:val="single" w:color="auto" w:sz="4" w:space="0"/>
              <w:bottom w:val="single" w:color="auto" w:sz="4" w:space="0"/>
              <w:right w:val="single" w:color="auto" w:sz="4" w:space="0"/>
            </w:tcBorders>
          </w:tcPr>
          <w:p>
            <w:pPr>
              <w:pStyle w:val="51"/>
              <w:rPr>
                <w:lang w:val="en-US"/>
              </w:rPr>
            </w:pPr>
            <w:r>
              <w:rPr>
                <w:lang w:val="en-US"/>
              </w:rPr>
              <w:t xml:space="preserve">Frequency offset of measurement filter </w:t>
            </w:r>
            <w:r>
              <w:rPr>
                <w:lang w:val="en-US"/>
              </w:rPr>
              <w:noBreakHyphen/>
            </w:r>
            <w:r>
              <w:rPr>
                <w:lang w:val="en-US"/>
              </w:rPr>
              <w:t xml:space="preserve">3 dB point, </w:t>
            </w:r>
            <w:r>
              <w:rPr/>
              <w:sym w:font="Symbol" w:char="F044"/>
            </w:r>
            <w:r>
              <w:rPr>
                <w:lang w:val="en-US"/>
              </w:rPr>
              <w:t>f</w:t>
            </w:r>
          </w:p>
        </w:tc>
        <w:tc>
          <w:tcPr>
            <w:tcW w:w="935" w:type="pct"/>
            <w:tcBorders>
              <w:top w:val="single" w:color="auto" w:sz="4" w:space="0"/>
              <w:left w:val="single" w:color="auto" w:sz="4" w:space="0"/>
              <w:bottom w:val="single" w:color="auto" w:sz="4" w:space="0"/>
              <w:right w:val="single" w:color="auto" w:sz="4" w:space="0"/>
            </w:tcBorders>
          </w:tcPr>
          <w:p>
            <w:pPr>
              <w:pStyle w:val="51"/>
              <w:rPr>
                <w:lang w:val="en-US"/>
              </w:rPr>
            </w:pPr>
            <w:r>
              <w:rPr>
                <w:lang w:val="en-US"/>
              </w:rPr>
              <w:t>Frequency offset of measurement filter centre frequency, f_offset</w:t>
            </w:r>
          </w:p>
        </w:tc>
        <w:tc>
          <w:tcPr>
            <w:tcW w:w="2636" w:type="pct"/>
            <w:tcBorders>
              <w:top w:val="single" w:color="auto" w:sz="4" w:space="0"/>
              <w:left w:val="single" w:color="auto" w:sz="4" w:space="0"/>
              <w:bottom w:val="single" w:color="auto" w:sz="4" w:space="0"/>
              <w:right w:val="single" w:color="auto" w:sz="4" w:space="0"/>
            </w:tcBorders>
          </w:tcPr>
          <w:p>
            <w:pPr>
              <w:pStyle w:val="51"/>
            </w:pPr>
            <w:r>
              <w:rPr>
                <w:lang w:eastAsia="zh-CN"/>
              </w:rPr>
              <w:t>Basic limits</w:t>
            </w:r>
          </w:p>
          <w:p>
            <w:pPr>
              <w:pStyle w:val="51"/>
            </w:pPr>
            <w:r>
              <w:t>(dBm)</w:t>
            </w:r>
          </w:p>
        </w:tc>
        <w:tc>
          <w:tcPr>
            <w:tcW w:w="561" w:type="pct"/>
            <w:tcBorders>
              <w:top w:val="single" w:color="auto" w:sz="4" w:space="0"/>
              <w:left w:val="single" w:color="auto" w:sz="4" w:space="0"/>
              <w:bottom w:val="single" w:color="auto" w:sz="4" w:space="0"/>
              <w:right w:val="single" w:color="auto" w:sz="4" w:space="0"/>
            </w:tcBorders>
          </w:tcPr>
          <w:p>
            <w:pPr>
              <w:pStyle w:val="51"/>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69" w:type="pct"/>
            <w:tcBorders>
              <w:top w:val="single" w:color="auto" w:sz="4" w:space="0"/>
              <w:left w:val="single" w:color="auto" w:sz="4" w:space="0"/>
              <w:bottom w:val="single" w:color="auto" w:sz="4" w:space="0"/>
              <w:right w:val="single" w:color="auto" w:sz="4" w:space="0"/>
            </w:tcBorders>
            <w:vAlign w:val="center"/>
          </w:tcPr>
          <w:p>
            <w:pPr>
              <w:pStyle w:val="52"/>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w:t>
            </w:r>
            <w:ins w:id="50" w:author="liyankun" w:date="2023-08-11T11:39:38Z">
              <w:r>
                <w:rPr>
                  <w:rFonts w:cs="Arial"/>
                </w:rPr>
                <w:sym w:font="Symbol" w:char="F044"/>
              </w:r>
            </w:ins>
            <w:ins w:id="51" w:author="liyankun" w:date="2023-08-11T11:39:38Z">
              <w:r>
                <w:rPr>
                  <w:rFonts w:cs="Arial"/>
                </w:rPr>
                <w:t>f</w:t>
              </w:r>
            </w:ins>
            <w:ins w:id="52" w:author="liyankun" w:date="2023-08-11T11:39:38Z">
              <w:r>
                <w:rPr>
                  <w:rFonts w:cs="Arial"/>
                  <w:vertAlign w:val="subscript"/>
                </w:rPr>
                <w:t>max</w:t>
              </w:r>
            </w:ins>
            <w:del w:id="53" w:author="liyankun" w:date="2023-08-11T11:39:38Z">
              <w:r>
                <w:rPr>
                  <w:rFonts w:cs="v5.0.0"/>
                </w:rPr>
                <w:delText>BW</w:delText>
              </w:r>
            </w:del>
            <w:del w:id="54" w:author="liyankun" w:date="2023-08-11T11:39:38Z">
              <w:r>
                <w:rPr>
                  <w:rFonts w:cs="v5.0.0"/>
                  <w:vertAlign w:val="subscript"/>
                </w:rPr>
                <w:delText>Channel</w:delText>
              </w:r>
            </w:del>
          </w:p>
        </w:tc>
        <w:tc>
          <w:tcPr>
            <w:tcW w:w="935" w:type="pct"/>
            <w:tcBorders>
              <w:top w:val="single" w:color="auto" w:sz="4" w:space="0"/>
              <w:left w:val="single" w:color="auto" w:sz="4" w:space="0"/>
              <w:bottom w:val="single" w:color="auto" w:sz="4" w:space="0"/>
              <w:right w:val="single" w:color="auto" w:sz="4" w:space="0"/>
            </w:tcBorders>
            <w:vAlign w:val="center"/>
          </w:tcPr>
          <w:p>
            <w:pPr>
              <w:pStyle w:val="52"/>
              <w:rPr>
                <w:rFonts w:cs="v5.0.0"/>
                <w:lang w:val="en-US" w:eastAsia="zh-CN"/>
              </w:rPr>
            </w:pPr>
            <w:r>
              <w:rPr>
                <w:rFonts w:cs="v5.0.0"/>
                <w:lang w:val="en-US"/>
              </w:rPr>
              <w:t xml:space="preserve">0.002 MHz </w:t>
            </w:r>
            <w:r>
              <w:rPr>
                <w:rFonts w:cs="v5.0.0"/>
              </w:rPr>
              <w:sym w:font="Symbol" w:char="F0A3"/>
            </w:r>
            <w:r>
              <w:rPr>
                <w:rFonts w:cs="v5.0.0"/>
                <w:lang w:val="en-US"/>
              </w:rPr>
              <w:t xml:space="preserve"> f_offset &lt; </w:t>
            </w:r>
            <w:ins w:id="55" w:author="liyankun" w:date="2023-08-11T11:39:47Z">
              <w:r>
                <w:rPr>
                  <w:rFonts w:cs="v5.0.0"/>
                </w:rPr>
                <w:t>f_offset</w:t>
              </w:r>
            </w:ins>
            <w:ins w:id="56" w:author="liyankun" w:date="2023-08-11T11:39:47Z">
              <w:r>
                <w:rPr>
                  <w:rFonts w:cs="v5.0.0"/>
                  <w:vertAlign w:val="subscript"/>
                </w:rPr>
                <w:t>max</w:t>
              </w:r>
            </w:ins>
            <w:del w:id="57" w:author="liyankun" w:date="2023-08-11T11:39:47Z">
              <w:r>
                <w:rPr>
                  <w:rFonts w:cs="v5.0.0"/>
                  <w:lang w:val="en-US"/>
                </w:rPr>
                <w:delText>2</w:delText>
              </w:r>
            </w:del>
            <w:del w:id="58" w:author="liyankun" w:date="2023-08-11T11:39:47Z">
              <w:r>
                <w:rPr>
                  <w:rFonts w:cs="Arial"/>
                  <w:lang w:val="en-US"/>
                </w:rPr>
                <w:delText>×</w:delText>
              </w:r>
            </w:del>
            <w:del w:id="59" w:author="liyankun" w:date="2023-08-11T11:39:47Z">
              <w:r>
                <w:rPr>
                  <w:rFonts w:cs="v5.0.0"/>
                  <w:lang w:val="en-US"/>
                </w:rPr>
                <w:delText xml:space="preserve"> BW</w:delText>
              </w:r>
            </w:del>
            <w:del w:id="60" w:author="liyankun" w:date="2023-08-11T11:39:47Z">
              <w:r>
                <w:rPr>
                  <w:rFonts w:cs="v5.0.0"/>
                  <w:vertAlign w:val="subscript"/>
                  <w:lang w:val="en-US"/>
                </w:rPr>
                <w:delText>Channel</w:delText>
              </w:r>
            </w:del>
            <w:del w:id="61" w:author="liyankun" w:date="2023-08-11T11:39:47Z">
              <w:r>
                <w:rPr>
                  <w:rFonts w:cs="v5.0.0"/>
                  <w:lang w:val="en-US"/>
                </w:rPr>
                <w:delText xml:space="preserve"> + 0.002 MHz</w:delText>
              </w:r>
            </w:del>
          </w:p>
        </w:tc>
        <w:tc>
          <w:tcPr>
            <w:tcW w:w="2636" w:type="pct"/>
            <w:tcBorders>
              <w:top w:val="single" w:color="auto" w:sz="4" w:space="0"/>
              <w:left w:val="single" w:color="auto" w:sz="4" w:space="0"/>
              <w:bottom w:val="single" w:color="auto" w:sz="4" w:space="0"/>
              <w:right w:val="single" w:color="auto" w:sz="4" w:space="0"/>
            </w:tcBorders>
            <w:vAlign w:val="center"/>
          </w:tcPr>
          <w:p>
            <w:pPr>
              <w:pStyle w:val="52"/>
              <w:rPr>
                <w:sz w:val="16"/>
                <w:lang w:eastAsia="ja-JP"/>
              </w:rPr>
            </w:pPr>
            <w:r>
              <w:rPr>
                <w:rFonts w:hint="eastAsia" w:cs="v5.0.0"/>
                <w:sz w:val="16"/>
                <w:lang w:eastAsia="ja-JP"/>
              </w:rPr>
              <w:t>[</w:t>
            </w:r>
            <m:oMath>
              <m:r>
                <m:rPr/>
                <w:rPr>
                  <w:rFonts w:ascii="Cambria Math" w:hAnsi="Cambria Math"/>
                  <w:sz w:val="16"/>
                  <w:lang w:eastAsia="zh-CN"/>
                </w:rPr>
                <m:t>max</m:t>
              </m:r>
              <m:d>
                <m:dPr>
                  <m:ctrlPr>
                    <w:rPr>
                      <w:rFonts w:ascii="Cambria Math" w:hAnsi="Cambria Math"/>
                      <w:i/>
                      <w:sz w:val="16"/>
                      <w:lang w:eastAsia="zh-CN"/>
                    </w:rPr>
                  </m:ctrlPr>
                </m:dPr>
                <m:e>
                  <m:r>
                    <m:rPr/>
                    <w:rPr>
                      <w:rFonts w:ascii="Cambria Math" w:hAnsi="Cambria Math"/>
                      <w:sz w:val="16"/>
                      <w:lang w:eastAsia="zh-CN"/>
                    </w:rPr>
                    <m:t xml:space="preserve">SE limit, </m:t>
                  </m:r>
                  <m:sSub>
                    <m:sSubPr>
                      <m:ctrlPr>
                        <w:rPr>
                          <w:rFonts w:ascii="Cambria Math" w:hAnsi="Cambria Math"/>
                          <w:i/>
                          <w:sz w:val="16"/>
                          <w:lang w:eastAsia="zh-CN"/>
                        </w:rPr>
                      </m:ctrlPr>
                    </m:sSubPr>
                    <m:e>
                      <m:r>
                        <m:rPr/>
                        <w:rPr>
                          <w:rFonts w:ascii="Cambria Math" w:hAnsi="Cambria Math"/>
                          <w:sz w:val="16"/>
                          <w:lang w:eastAsia="zh-CN"/>
                        </w:rPr>
                        <m:t xml:space="preserve"> PSD</m:t>
                      </m:r>
                      <m:ctrlPr>
                        <w:rPr>
                          <w:rFonts w:ascii="Cambria Math" w:hAnsi="Cambria Math"/>
                          <w:i/>
                          <w:sz w:val="16"/>
                          <w:lang w:eastAsia="zh-CN"/>
                        </w:rPr>
                      </m:ctrlPr>
                    </m:e>
                    <m:sub>
                      <w:ins w:id="62" w:author="liyankun" w:date="2023-08-11T11:40:17Z">
                        <m:r>
                          <m:rPr>
                            <m:sty m:val="p"/>
                          </m:rPr>
                          <w:rPr>
                            <w:rFonts w:hint="eastAsia" w:eastAsia="宋体"/>
                            <w:vertAlign w:val="subscript"/>
                            <w:lang w:val="en-US" w:eastAsia="zh-CN"/>
                          </w:rPr>
                          <m:t>Necessary</m:t>
                        </m:r>
                      </w:ins>
                      <w:del w:id="63" w:author="liyankun" w:date="2023-08-11T11:40:16Z">
                        <m:r>
                          <m:rPr>
                            <m:sty m:val="p"/>
                          </m:rPr>
                          <w:rPr>
                            <w:rFonts w:ascii="Cambria Math" w:hAnsi="Cambria Math"/>
                            <w:sz w:val="16"/>
                            <w:lang w:eastAsia="zh-CN"/>
                          </w:rPr>
                          <m:t>C</m:t>
                        </m:r>
                      </w:del>
                      <w:del w:id="64" w:author="liyankun" w:date="2023-08-11T11:40:16Z">
                        <m:r>
                          <m:rPr/>
                          <w:rPr>
                            <w:rFonts w:ascii="Cambria Math" w:hAnsi="Cambria Math"/>
                            <w:sz w:val="16"/>
                            <w:lang w:eastAsia="zh-CN"/>
                          </w:rPr>
                          <m:t>ℎann</m:t>
                        </m:r>
                      </w:del>
                      <w:del w:id="65" w:author="liyankun" w:date="2023-08-11T11:40:15Z">
                        <m:r>
                          <m:rPr/>
                          <w:rPr>
                            <w:rFonts w:ascii="Cambria Math" w:hAnsi="Cambria Math"/>
                            <w:sz w:val="16"/>
                            <w:lang w:eastAsia="zh-CN"/>
                          </w:rPr>
                          <m:t>el</m:t>
                        </m:r>
                      </w:del>
                      <m:ctrlPr>
                        <w:rPr>
                          <w:rFonts w:ascii="Cambria Math" w:hAnsi="Cambria Math"/>
                          <w:i/>
                          <w:sz w:val="16"/>
                          <w:lang w:eastAsia="zh-CN"/>
                        </w:rPr>
                      </m:ctrlPr>
                    </m:sub>
                  </m:sSub>
                  <m:r>
                    <m:rPr/>
                    <w:rPr>
                      <w:rFonts w:ascii="Cambria Math" w:hAnsi="Cambria Math"/>
                      <w:sz w:val="16"/>
                      <w:lang w:eastAsia="zh-CN"/>
                    </w:rPr>
                    <m:t xml:space="preserve">  – </m:t>
                  </m:r>
                  <m:sSub>
                    <m:sSubPr>
                      <m:ctrlPr>
                        <w:rPr>
                          <w:rFonts w:ascii="Cambria Math" w:hAnsi="Cambria Math"/>
                          <w:i/>
                          <w:sz w:val="16"/>
                          <w:lang w:eastAsia="zh-CN"/>
                        </w:rPr>
                      </m:ctrlPr>
                    </m:sSubPr>
                    <m:e>
                      <m:r>
                        <m:rPr/>
                        <w:rPr>
                          <w:rFonts w:ascii="Cambria Math" w:hAnsi="Cambria Math"/>
                          <w:sz w:val="16"/>
                          <w:lang w:eastAsia="zh-CN"/>
                        </w:rPr>
                        <m:t>Δ</m:t>
                      </m:r>
                      <m:ctrlPr>
                        <w:rPr>
                          <w:rFonts w:ascii="Cambria Math" w:hAnsi="Cambria Math"/>
                          <w:i/>
                          <w:sz w:val="16"/>
                          <w:lang w:eastAsia="zh-CN"/>
                        </w:rPr>
                      </m:ctrlPr>
                    </m:e>
                    <m:sub>
                      <m:r>
                        <m:rPr/>
                        <w:rPr>
                          <w:rFonts w:ascii="Cambria Math" w:hAnsi="Cambria Math"/>
                          <w:sz w:val="16"/>
                          <w:lang w:eastAsia="zh-CN"/>
                        </w:rPr>
                        <m:t>Sat_Class</m:t>
                      </m:r>
                      <m:ctrlPr>
                        <w:rPr>
                          <w:rFonts w:ascii="Cambria Math" w:hAnsi="Cambria Math"/>
                          <w:i/>
                          <w:sz w:val="16"/>
                          <w:lang w:eastAsia="zh-CN"/>
                        </w:rPr>
                      </m:ctrlPr>
                    </m:sub>
                  </m:sSub>
                  <m:r>
                    <m:rPr/>
                    <w:rPr>
                      <w:rFonts w:ascii="Cambria Math" w:hAnsi="Cambria Math"/>
                      <w:sz w:val="16"/>
                      <w:lang w:eastAsia="zh-CN"/>
                    </w:rPr>
                    <m:t>−40×log10</m:t>
                  </m:r>
                  <m:d>
                    <m:dPr>
                      <m:ctrlPr>
                        <w:rPr>
                          <w:rFonts w:ascii="Cambria Math" w:hAnsi="Cambria Math"/>
                          <w:i/>
                          <w:sz w:val="16"/>
                          <w:lang w:eastAsia="zh-CN"/>
                        </w:rPr>
                      </m:ctrlPr>
                    </m:dPr>
                    <m:e>
                      <m:f>
                        <m:fPr>
                          <m:ctrlPr>
                            <w:rPr>
                              <w:rFonts w:ascii="Cambria Math" w:hAnsi="Cambria Math"/>
                              <w:i/>
                              <w:sz w:val="16"/>
                              <w:lang w:eastAsia="zh-CN"/>
                            </w:rPr>
                          </m:ctrlPr>
                        </m:fPr>
                        <m:num>
                          <m:sSub>
                            <m:sSubPr>
                              <m:ctrlPr>
                                <w:rPr>
                                  <w:rFonts w:ascii="Cambria Math" w:hAnsi="Cambria Math" w:cs="Arial" w:eastAsiaTheme="minorHAnsi"/>
                                  <w:i/>
                                  <w:iCs/>
                                  <w:sz w:val="16"/>
                                  <w:szCs w:val="18"/>
                                </w:rPr>
                              </m:ctrlPr>
                            </m:sSubPr>
                            <m:e>
                              <m:r>
                                <m:rPr/>
                                <w:rPr>
                                  <w:rFonts w:ascii="Cambria Math" w:hAnsi="Cambria Math"/>
                                  <w:sz w:val="16"/>
                                  <w:lang w:eastAsia="zh-CN"/>
                                </w:rPr>
                                <m:t xml:space="preserve"> </m:t>
                              </m:r>
                              <m:r>
                                <m:rPr/>
                                <w:rPr>
                                  <w:rFonts w:ascii="Cambria Math" w:hAnsi="Cambria Math" w:cs="Arial" w:eastAsiaTheme="minorHAnsi"/>
                                  <w:sz w:val="16"/>
                                  <w:szCs w:val="18"/>
                                </w:rPr>
                                <m:t>f</m:t>
                              </m:r>
                              <m:ctrlPr>
                                <w:rPr>
                                  <w:rFonts w:ascii="Cambria Math" w:hAnsi="Cambria Math" w:cs="Arial" w:eastAsiaTheme="minorHAnsi"/>
                                  <w:i/>
                                  <w:iCs/>
                                  <w:sz w:val="16"/>
                                  <w:szCs w:val="18"/>
                                </w:rPr>
                              </m:ctrlPr>
                            </m:e>
                            <m:sub>
                              <m:r>
                                <m:rPr/>
                                <w:rPr>
                                  <w:rFonts w:ascii="Cambria Math" w:hAnsi="Cambria Math" w:cs="Arial" w:eastAsiaTheme="minorHAnsi"/>
                                  <w:sz w:val="16"/>
                                  <w:szCs w:val="18"/>
                                </w:rPr>
                                <m:t>_offset</m:t>
                              </m:r>
                              <m:ctrlPr>
                                <w:rPr>
                                  <w:rFonts w:ascii="Cambria Math" w:hAnsi="Cambria Math" w:cs="Arial" w:eastAsiaTheme="minorHAnsi"/>
                                  <w:i/>
                                  <w:iCs/>
                                  <w:sz w:val="16"/>
                                  <w:szCs w:val="18"/>
                                </w:rPr>
                              </m:ctrlPr>
                            </m:sub>
                          </m:sSub>
                          <m:r>
                            <m:rPr/>
                            <w:rPr>
                              <w:rFonts w:ascii="Cambria Math" w:hAnsi="Cambria Math" w:cs="MS Gothic"/>
                              <w:sz w:val="16"/>
                              <w:szCs w:val="18"/>
                              <w:lang w:eastAsia="zh-CN"/>
                            </w:rPr>
                            <m:t>−</m:t>
                          </m:r>
                          <m:r>
                            <m:rPr/>
                            <w:rPr>
                              <w:rFonts w:ascii="Cambria Math" w:hAnsi="Cambria Math" w:cs="Arial" w:eastAsiaTheme="minorHAnsi"/>
                              <w:sz w:val="16"/>
                              <w:szCs w:val="18"/>
                            </w:rPr>
                            <m:t>0.002</m:t>
                          </m:r>
                          <m:ctrlPr>
                            <w:rPr>
                              <w:rFonts w:ascii="Cambria Math" w:hAnsi="Cambria Math"/>
                              <w:i/>
                              <w:sz w:val="16"/>
                              <w:lang w:eastAsia="zh-CN"/>
                            </w:rPr>
                          </m:ctrlPr>
                        </m:num>
                        <m:den>
                          <m:sSub>
                            <m:sSubPr>
                              <m:ctrlPr>
                                <w:rPr>
                                  <w:rFonts w:ascii="Cambria Math" w:hAnsi="Cambria Math"/>
                                  <w:i/>
                                  <w:sz w:val="16"/>
                                  <w:lang w:eastAsia="zh-CN"/>
                                </w:rPr>
                              </m:ctrlPr>
                            </m:sSubPr>
                            <m:e>
                              <m:r>
                                <m:rPr/>
                                <w:rPr>
                                  <w:rFonts w:ascii="Cambria Math" w:hAnsi="Cambria Math"/>
                                  <w:sz w:val="16"/>
                                  <w:lang w:eastAsia="zh-CN"/>
                                </w:rPr>
                                <m:t>BW</m:t>
                              </m:r>
                              <m:ctrlPr>
                                <w:rPr>
                                  <w:rFonts w:ascii="Cambria Math" w:hAnsi="Cambria Math"/>
                                  <w:i/>
                                  <w:sz w:val="16"/>
                                  <w:lang w:eastAsia="zh-CN"/>
                                </w:rPr>
                              </m:ctrlPr>
                            </m:e>
                            <m:sub>
                              <w:del w:id="66" w:author="liyankun" w:date="2023-08-11T11:40:08Z">
                                <m:r>
                                  <m:rPr/>
                                  <w:rPr>
                                    <w:rFonts w:ascii="Cambria Math" w:hAnsi="Cambria Math"/>
                                    <w:sz w:val="16"/>
                                    <w:lang w:eastAsia="zh-CN"/>
                                  </w:rPr>
                                  <m:t>Cℎa</m:t>
                                </m:r>
                              </w:del>
                              <w:del w:id="67" w:author="liyankun" w:date="2023-08-11T11:40:07Z">
                                <m:r>
                                  <m:rPr/>
                                  <w:rPr>
                                    <w:rFonts w:ascii="Cambria Math" w:hAnsi="Cambria Math"/>
                                    <w:sz w:val="16"/>
                                    <w:lang w:eastAsia="zh-CN"/>
                                  </w:rPr>
                                  <m:t>nne</m:t>
                                </m:r>
                              </w:del>
                              <w:ins w:id="68" w:author="liyankun" w:date="2023-08-11T11:40:10Z">
                                <m:r>
                                  <m:rPr>
                                    <m:sty m:val="p"/>
                                  </m:rPr>
                                  <w:rPr>
                                    <w:rFonts w:hint="eastAsia" w:eastAsia="宋体"/>
                                    <w:vertAlign w:val="subscript"/>
                                    <w:lang w:val="en-US" w:eastAsia="zh-CN"/>
                                  </w:rPr>
                                  <m:t>Necessary</m:t>
                                </m:r>
                              </w:ins>
                              <w:del w:id="69" w:author="liyankun" w:date="2023-08-11T11:40:09Z">
                                <m:r>
                                  <m:rPr/>
                                  <w:rPr>
                                    <w:rFonts w:ascii="Cambria Math" w:hAnsi="Cambria Math"/>
                                    <w:sz w:val="16"/>
                                    <w:lang w:eastAsia="zh-CN"/>
                                  </w:rPr>
                                  <m:t>l</m:t>
                                </m:r>
                              </w:del>
                              <m:ctrlPr>
                                <w:rPr>
                                  <w:rFonts w:ascii="Cambria Math" w:hAnsi="Cambria Math"/>
                                  <w:i/>
                                  <w:sz w:val="16"/>
                                  <w:lang w:eastAsia="zh-CN"/>
                                </w:rPr>
                              </m:ctrlPr>
                            </m:sub>
                          </m:sSub>
                          <m:ctrlPr>
                            <w:rPr>
                              <w:rFonts w:ascii="Cambria Math" w:hAnsi="Cambria Math"/>
                              <w:i/>
                              <w:sz w:val="16"/>
                              <w:lang w:eastAsia="zh-CN"/>
                            </w:rPr>
                          </m:ctrlPr>
                        </m:den>
                      </m:f>
                      <m:r>
                        <m:rPr/>
                        <w:rPr>
                          <w:rFonts w:ascii="Cambria Math" w:hAnsi="Cambria Math"/>
                          <w:sz w:val="16"/>
                          <w:lang w:eastAsia="zh-CN"/>
                        </w:rPr>
                        <m:t>×2+1</m:t>
                      </m:r>
                      <m:ctrlPr>
                        <w:rPr>
                          <w:rFonts w:ascii="Cambria Math" w:hAnsi="Cambria Math"/>
                          <w:i/>
                          <w:sz w:val="16"/>
                          <w:lang w:eastAsia="zh-CN"/>
                        </w:rPr>
                      </m:ctrlPr>
                    </m:e>
                  </m:d>
                  <m:ctrlPr>
                    <w:rPr>
                      <w:rFonts w:ascii="Cambria Math" w:hAnsi="Cambria Math"/>
                      <w:i/>
                      <w:sz w:val="16"/>
                      <w:lang w:eastAsia="zh-CN"/>
                    </w:rPr>
                  </m:ctrlPr>
                </m:e>
              </m:d>
            </m:oMath>
            <w:r>
              <w:rPr>
                <w:rFonts w:hint="eastAsia" w:cs="v5.0.0"/>
                <w:sz w:val="16"/>
                <w:lang w:eastAsia="ja-JP"/>
              </w:rPr>
              <w:t>]</w:t>
            </w:r>
          </w:p>
        </w:tc>
        <w:tc>
          <w:tcPr>
            <w:tcW w:w="561" w:type="pct"/>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4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6"/>
              <w:rPr>
                <w:lang w:val="en-US"/>
              </w:rPr>
            </w:pPr>
            <w:r>
              <w:rPr>
                <w:rFonts w:hint="eastAsia" w:cs="Arial"/>
                <w:lang w:val="en-US" w:eastAsia="zh-CN"/>
              </w:rPr>
              <w:t>N</w:t>
            </w:r>
            <w:r>
              <w:rPr>
                <w:rFonts w:cs="Arial"/>
                <w:lang w:val="en-US" w:eastAsia="zh-CN"/>
              </w:rPr>
              <w:t xml:space="preserve">OTE 1: </w:t>
            </w:r>
            <w:r>
              <w:rPr>
                <w:lang w:val="en-US"/>
              </w:rPr>
              <w:t>PSD</w:t>
            </w:r>
            <w:ins w:id="70" w:author="liyankun" w:date="2023-08-11T11:39:59Z">
              <w:r>
                <w:rPr>
                  <w:rFonts w:hint="eastAsia" w:eastAsia="宋体"/>
                  <w:vertAlign w:val="subscript"/>
                  <w:lang w:val="en-US" w:eastAsia="zh-CN"/>
                </w:rPr>
                <w:t>Necessary</w:t>
              </w:r>
            </w:ins>
            <w:del w:id="71" w:author="liyankun" w:date="2023-08-11T11:39:59Z">
              <w:r>
                <w:rPr>
                  <w:rFonts w:hint="eastAsia"/>
                  <w:vertAlign w:val="subscript"/>
                  <w:lang w:val="en-US" w:eastAsia="zh-CN"/>
                </w:rPr>
                <w:delText>C</w:delText>
              </w:r>
            </w:del>
            <w:del w:id="72" w:author="liyankun" w:date="2023-08-11T11:39:59Z">
              <w:r>
                <w:rPr>
                  <w:vertAlign w:val="subscript"/>
                  <w:lang w:val="en-US"/>
                </w:rPr>
                <w:delText>hannel</w:delText>
              </w:r>
            </w:del>
            <w:r>
              <w:rPr>
                <w:vertAlign w:val="subscript"/>
                <w:lang w:val="en-US"/>
              </w:rPr>
              <w:t xml:space="preserve"> </w:t>
            </w:r>
            <w:r>
              <w:rPr>
                <w:lang w:val="en-US"/>
              </w:rPr>
              <w:t>= P</w:t>
            </w:r>
            <w:r>
              <w:rPr>
                <w:vertAlign w:val="subscript"/>
                <w:lang w:val="en-US"/>
              </w:rPr>
              <w:t>rated,</w:t>
            </w:r>
            <w:del w:id="73" w:author="liyankun" w:date="2023-08-11T11:40:21Z">
              <w:r>
                <w:rPr>
                  <w:rFonts w:hint="default"/>
                  <w:vertAlign w:val="subscript"/>
                  <w:lang w:val="en-US"/>
                </w:rPr>
                <w:delText>c</w:delText>
              </w:r>
            </w:del>
            <w:ins w:id="74" w:author="liyankun" w:date="2023-08-11T11:40:21Z">
              <w:r>
                <w:rPr>
                  <w:rFonts w:hint="eastAsia" w:eastAsia="宋体"/>
                  <w:vertAlign w:val="subscript"/>
                  <w:lang w:val="en-US" w:eastAsia="zh-CN"/>
                </w:rPr>
                <w:t>t</w:t>
              </w:r>
            </w:ins>
            <w:r>
              <w:rPr>
                <w:vertAlign w:val="subscript"/>
                <w:lang w:val="en-US"/>
              </w:rPr>
              <w:t xml:space="preserve">,sys </w:t>
            </w:r>
            <w:r>
              <w:rPr>
                <w:lang w:val="en-US"/>
              </w:rPr>
              <w:t>– 10log10(BW</w:t>
            </w:r>
            <w:ins w:id="75" w:author="liyankun" w:date="2023-08-11T11:40:03Z">
              <w:r>
                <w:rPr>
                  <w:rFonts w:hint="eastAsia" w:eastAsia="宋体"/>
                  <w:vertAlign w:val="subscript"/>
                  <w:lang w:val="en-US" w:eastAsia="zh-CN"/>
                </w:rPr>
                <w:t>Necessary</w:t>
              </w:r>
            </w:ins>
            <w:del w:id="76" w:author="liyankun" w:date="2023-08-11T11:40:03Z">
              <w:r>
                <w:rPr>
                  <w:vertAlign w:val="subscript"/>
                  <w:lang w:val="en-US"/>
                </w:rPr>
                <w:delText>Channel</w:delText>
              </w:r>
            </w:del>
            <w:r>
              <w:rPr>
                <w:lang w:val="en-US"/>
              </w:rPr>
              <w:t>) – 24 dBm/4kHz.</w:t>
            </w:r>
          </w:p>
          <w:p>
            <w:pPr>
              <w:pStyle w:val="66"/>
              <w:rPr>
                <w:rFonts w:cs="Arial"/>
                <w:lang w:val="en-US" w:eastAsia="zh-CN"/>
              </w:rPr>
            </w:pPr>
            <w:r>
              <w:rPr>
                <w:rFonts w:hint="eastAsia" w:cs="Arial"/>
                <w:lang w:val="en-US" w:eastAsia="zh-CN"/>
              </w:rPr>
              <w:t>N</w:t>
            </w:r>
            <w:r>
              <w:rPr>
                <w:rFonts w:cs="Arial"/>
                <w:lang w:val="en-US" w:eastAsia="zh-CN"/>
              </w:rPr>
              <w:t>OTE 2: SE limit is spurious emission limit specified in spurious emission clause 6.6.5.</w:t>
            </w:r>
          </w:p>
          <w:p>
            <w:pPr>
              <w:pStyle w:val="66"/>
              <w:rPr>
                <w:rFonts w:cs="Arial"/>
                <w:lang w:val="en-US" w:eastAsia="zh-CN"/>
              </w:rPr>
            </w:pPr>
            <w:r>
              <w:rPr>
                <w:rFonts w:cs="Arial"/>
                <w:lang w:val="en-US" w:eastAsia="zh-CN"/>
              </w:rPr>
              <w:t>NOTE 3: PSD attenuation as in ITU-R SM.1541 [4], annex 5 OoB domain emission limits for space services.</w:t>
            </w:r>
          </w:p>
          <w:p>
            <w:pPr>
              <w:pStyle w:val="66"/>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oMath>
            <w:r>
              <w:rPr>
                <w:rFonts w:cs="Arial"/>
                <w:lang w:val="en-US" w:eastAsia="zh-CN"/>
              </w:rPr>
              <w:t xml:space="preserve">=0 dB for GEO class and </w:t>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oMath>
            <w:r>
              <w:rPr>
                <w:rFonts w:cs="Arial"/>
                <w:lang w:val="en-US" w:eastAsia="zh-CN"/>
              </w:rPr>
              <w:t>=3 dB for LEO class.</w:t>
            </w:r>
          </w:p>
        </w:tc>
      </w:tr>
    </w:tbl>
    <w:p>
      <w:pPr>
        <w:rPr>
          <w:rFonts w:hint="eastAsia" w:eastAsia="宋体"/>
          <w:b/>
          <w:bCs/>
          <w:color w:val="C00000"/>
          <w:lang w:val="en-US" w:eastAsia="zh-CN"/>
        </w:rPr>
      </w:pPr>
      <w:r>
        <w:rPr>
          <w:rFonts w:hint="eastAsia" w:eastAsia="宋体"/>
          <w:b/>
          <w:bCs/>
          <w:color w:val="C00000"/>
          <w:lang w:val="en-US" w:eastAsia="zh-CN"/>
        </w:rPr>
        <w:t>&lt;End of correction 2&gt;</w:t>
      </w:r>
    </w:p>
    <w:p>
      <w:pPr>
        <w:rPr>
          <w:rFonts w:hint="eastAsia" w:eastAsia="宋体"/>
          <w:b/>
          <w:bCs/>
          <w:color w:val="C00000"/>
          <w:lang w:val="en-US" w:eastAsia="zh-CN"/>
        </w:rPr>
      </w:pPr>
      <w:r>
        <w:rPr>
          <w:rFonts w:hint="eastAsia" w:eastAsia="宋体"/>
          <w:b/>
          <w:bCs/>
          <w:color w:val="C00000"/>
          <w:lang w:val="en-US" w:eastAsia="zh-CN"/>
        </w:rPr>
        <w:t>&lt;Start of correction 3&gt;</w:t>
      </w:r>
    </w:p>
    <w:p>
      <w:pPr>
        <w:pStyle w:val="3"/>
        <w:rPr>
          <w:lang w:eastAsia="zh-CN"/>
        </w:rPr>
      </w:pPr>
      <w:bookmarkStart w:id="673" w:name="_Toc138880591"/>
      <w:bookmarkStart w:id="674" w:name="_Toc136851160"/>
      <w:bookmarkStart w:id="675" w:name="_Toc138880124"/>
      <w:r>
        <w:rPr>
          <w:rFonts w:hint="eastAsia"/>
          <w:lang w:eastAsia="zh-CN"/>
        </w:rPr>
        <w:t>9.7</w:t>
      </w:r>
      <w:r>
        <w:rPr>
          <w:rFonts w:hint="eastAsia"/>
          <w:lang w:eastAsia="zh-CN"/>
        </w:rPr>
        <w:tab/>
      </w:r>
      <w:r>
        <w:rPr>
          <w:rFonts w:hint="eastAsia"/>
          <w:lang w:eastAsia="zh-CN"/>
        </w:rPr>
        <w:t>OTA unwanted emissions</w:t>
      </w:r>
      <w:bookmarkEnd w:id="673"/>
      <w:bookmarkEnd w:id="674"/>
      <w:bookmarkEnd w:id="675"/>
    </w:p>
    <w:p>
      <w:pPr>
        <w:pStyle w:val="4"/>
      </w:pPr>
      <w:bookmarkStart w:id="676" w:name="_Toc138880125"/>
      <w:bookmarkStart w:id="677" w:name="_Toc138880592"/>
      <w:bookmarkStart w:id="678" w:name="_Toc136851161"/>
      <w:r>
        <w:t>9.7.1</w:t>
      </w:r>
      <w:r>
        <w:tab/>
      </w:r>
      <w:r>
        <w:t>General</w:t>
      </w:r>
      <w:bookmarkEnd w:id="676"/>
      <w:bookmarkEnd w:id="677"/>
      <w:bookmarkEnd w:id="678"/>
    </w:p>
    <w:p>
      <w:pPr>
        <w:rPr>
          <w:color w:val="000000" w:themeColor="text1"/>
          <w14:textFill>
            <w14:solidFill>
              <w14:schemeClr w14:val="tx1"/>
            </w14:solidFill>
          </w14:textFill>
        </w:rPr>
      </w:pPr>
      <w:r>
        <w:t xml:space="preserve">Unwanted emissions consist of so-called out-of-band emissions and spurious emissions according to ITU definitions </w:t>
      </w:r>
      <w:r>
        <w:rPr>
          <w:rFonts w:cs="Arial"/>
        </w:rPr>
        <w:t>ITU-R SM.329 [3]</w:t>
      </w:r>
      <w:r>
        <w:t xml:space="preserve">. In ITU terminology, out of band emissions are unwanted emissions immediately outside the </w:t>
      </w:r>
      <w:r>
        <w:rPr>
          <w:i/>
        </w:rPr>
        <w:t>SAN channel bandwidth</w:t>
      </w:r>
      <w:r>
        <w:t xml:space="preserve"> </w:t>
      </w:r>
      <w:r>
        <w:rPr>
          <w:color w:val="000000" w:themeColor="text1"/>
          <w14:textFill>
            <w14:solidFill>
              <w14:schemeClr w14:val="tx1"/>
            </w14:solidFill>
          </w14:textFill>
        </w:rPr>
        <w:t>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color w:val="000000" w:themeColor="text1"/>
          <w14:textFill>
            <w14:solidFill>
              <w14:schemeClr w14:val="tx1"/>
            </w14:solidFill>
          </w14:textFill>
        </w:rPr>
      </w:pPr>
      <w:r>
        <w:rPr>
          <w:rFonts w:cs="v5.0.0"/>
          <w:color w:val="000000" w:themeColor="text1"/>
          <w14:textFill>
            <w14:solidFill>
              <w14:schemeClr w14:val="tx1"/>
            </w14:solidFill>
          </w14:textFill>
        </w:rPr>
        <w:t xml:space="preserve">The OTA out-of-band emissions requirement for the </w:t>
      </w:r>
      <w:r>
        <w:rPr>
          <w:rFonts w:cs="v5.0.0"/>
          <w:i/>
          <w:color w:val="000000" w:themeColor="text1"/>
          <w14:textFill>
            <w14:solidFill>
              <w14:schemeClr w14:val="tx1"/>
            </w14:solidFill>
          </w14:textFill>
        </w:rPr>
        <w:t>SAN type 1-O</w:t>
      </w:r>
      <w:r>
        <w:rPr>
          <w:rFonts w:cs="v5.0.0"/>
          <w:color w:val="000000" w:themeColor="text1"/>
          <w14:textFill>
            <w14:solidFill>
              <w14:schemeClr w14:val="tx1"/>
            </w14:solidFill>
          </w14:textFill>
        </w:rPr>
        <w:t xml:space="preserve"> is specified both in terms of Adjacent Channel Leakage power Ratio (ACLR) and operating band unwanted emissions (OBUE). The OTA Operating band unwanted emissions define all unwanted emissions in each supported downlink </w:t>
      </w:r>
      <w:r>
        <w:rPr>
          <w:rFonts w:cs="v5.0.0"/>
          <w:i/>
          <w:color w:val="000000" w:themeColor="text1"/>
          <w14:textFill>
            <w14:solidFill>
              <w14:schemeClr w14:val="tx1"/>
            </w14:solidFill>
          </w14:textFill>
        </w:rPr>
        <w:t>operating band</w:t>
      </w:r>
      <w:r>
        <w:rPr>
          <w:rFonts w:cs="v5.0.0"/>
          <w:color w:val="000000" w:themeColor="text1"/>
          <w14:textFill>
            <w14:solidFill>
              <w14:schemeClr w14:val="tx1"/>
            </w14:solidFill>
          </w14:textFill>
        </w:rPr>
        <w:t xml:space="preserve"> plus the frequency ranges </w:t>
      </w:r>
      <w:r>
        <w:rPr>
          <w:color w:val="000000" w:themeColor="text1"/>
          <w14:textFill>
            <w14:solidFill>
              <w14:schemeClr w14:val="tx1"/>
            </w14:solidFill>
          </w14:textFill>
        </w:rPr>
        <w:t>Δf</w:t>
      </w:r>
      <w:r>
        <w:rPr>
          <w:color w:val="000000" w:themeColor="text1"/>
          <w:vertAlign w:val="subscript"/>
          <w14:textFill>
            <w14:solidFill>
              <w14:schemeClr w14:val="tx1"/>
            </w14:solidFill>
          </w14:textFill>
        </w:rPr>
        <w:t>OBUE</w:t>
      </w:r>
      <w:r>
        <w:rPr>
          <w:rFonts w:cs="v5.0.0"/>
          <w:color w:val="000000" w:themeColor="text1"/>
          <w14:textFill>
            <w14:solidFill>
              <w14:schemeClr w14:val="tx1"/>
            </w14:solidFill>
          </w14:textFill>
        </w:rPr>
        <w:t xml:space="preserve"> above and </w:t>
      </w:r>
      <w:r>
        <w:rPr>
          <w:color w:val="000000" w:themeColor="text1"/>
          <w14:textFill>
            <w14:solidFill>
              <w14:schemeClr w14:val="tx1"/>
            </w14:solidFill>
          </w14:textFill>
        </w:rPr>
        <w:t>Δf</w:t>
      </w:r>
      <w:r>
        <w:rPr>
          <w:color w:val="000000" w:themeColor="text1"/>
          <w:vertAlign w:val="subscript"/>
          <w14:textFill>
            <w14:solidFill>
              <w14:schemeClr w14:val="tx1"/>
            </w14:solidFill>
          </w14:textFill>
        </w:rPr>
        <w:t>OBUE</w:t>
      </w:r>
      <w:r>
        <w:rPr>
          <w:rFonts w:cs="v5.0.0"/>
          <w:color w:val="000000" w:themeColor="text1"/>
          <w14:textFill>
            <w14:solidFill>
              <w14:schemeClr w14:val="tx1"/>
            </w14:solidFill>
          </w14:textFill>
        </w:rPr>
        <w:t xml:space="preserve"> below each band. OTA Unwanted emissions outside of this frequency range are limited by an OTA spurious emissions requirement.</w:t>
      </w:r>
    </w:p>
    <w:p>
      <w:pPr>
        <w:rPr>
          <w:rFonts w:cs="v5.0.0"/>
          <w:color w:val="000000" w:themeColor="text1"/>
          <w14:textFill>
            <w14:solidFill>
              <w14:schemeClr w14:val="tx1"/>
            </w14:solidFill>
          </w14:textFill>
        </w:rPr>
      </w:pPr>
      <w:r>
        <w:rPr>
          <w:rFonts w:cs="v5.0.0"/>
          <w:color w:val="000000" w:themeColor="text1"/>
          <w14:textFill>
            <w14:solidFill>
              <w14:schemeClr w14:val="tx1"/>
            </w14:solidFill>
          </w14:textFill>
        </w:rPr>
        <w:t xml:space="preserve">The maximum offset of the operating band unwanted emissions mask from the </w:t>
      </w:r>
      <w:r>
        <w:rPr>
          <w:rFonts w:cs="v5.0.0"/>
          <w:i/>
          <w:color w:val="000000" w:themeColor="text1"/>
          <w14:textFill>
            <w14:solidFill>
              <w14:schemeClr w14:val="tx1"/>
            </w14:solidFill>
          </w14:textFill>
        </w:rPr>
        <w:t>operating band</w:t>
      </w:r>
      <w:r>
        <w:rPr>
          <w:rFonts w:cs="v5.0.0"/>
          <w:color w:val="000000" w:themeColor="text1"/>
          <w14:textFill>
            <w14:solidFill>
              <w14:schemeClr w14:val="tx1"/>
            </w14:solidFill>
          </w14:textFill>
        </w:rPr>
        <w:t xml:space="preserve"> edge is </w:t>
      </w:r>
      <w:r>
        <w:rPr>
          <w:color w:val="000000" w:themeColor="text1"/>
          <w14:textFill>
            <w14:solidFill>
              <w14:schemeClr w14:val="tx1"/>
            </w14:solidFill>
          </w14:textFill>
        </w:rPr>
        <w:t>Δf</w:t>
      </w:r>
      <w:r>
        <w:rPr>
          <w:color w:val="000000" w:themeColor="text1"/>
          <w:vertAlign w:val="subscript"/>
          <w14:textFill>
            <w14:solidFill>
              <w14:schemeClr w14:val="tx1"/>
            </w14:solidFill>
          </w14:textFill>
        </w:rPr>
        <w:t>OBUE</w:t>
      </w:r>
      <w:r>
        <w:rPr>
          <w:rFonts w:cs="v5.0.0"/>
          <w:color w:val="000000" w:themeColor="text1"/>
          <w14:textFill>
            <w14:solidFill>
              <w14:schemeClr w14:val="tx1"/>
            </w14:solidFill>
          </w14:textFill>
        </w:rPr>
        <w:t xml:space="preserve">. The value of </w:t>
      </w:r>
      <w:r>
        <w:rPr>
          <w:color w:val="000000" w:themeColor="text1"/>
          <w14:textFill>
            <w14:solidFill>
              <w14:schemeClr w14:val="tx1"/>
            </w14:solidFill>
          </w14:textFill>
        </w:rPr>
        <w:t>Δf</w:t>
      </w:r>
      <w:r>
        <w:rPr>
          <w:color w:val="000000" w:themeColor="text1"/>
          <w:vertAlign w:val="subscript"/>
          <w14:textFill>
            <w14:solidFill>
              <w14:schemeClr w14:val="tx1"/>
            </w14:solidFill>
          </w14:textFill>
        </w:rPr>
        <w:t>OBUE</w:t>
      </w:r>
      <w:r>
        <w:rPr>
          <w:rFonts w:cs="v5.0.0"/>
          <w:color w:val="000000" w:themeColor="text1"/>
          <w14:textFill>
            <w14:solidFill>
              <w14:schemeClr w14:val="tx1"/>
            </w14:solidFill>
          </w14:textFill>
        </w:rPr>
        <w:t xml:space="preserve"> is defined in table 9.7.1-1 for </w:t>
      </w:r>
      <w:r>
        <w:rPr>
          <w:rFonts w:cs="v5.0.0"/>
          <w:i/>
          <w:color w:val="000000" w:themeColor="text1"/>
          <w14:textFill>
            <w14:solidFill>
              <w14:schemeClr w14:val="tx1"/>
            </w14:solidFill>
          </w14:textFill>
        </w:rPr>
        <w:t>SAN type 1-O</w:t>
      </w:r>
      <w:r>
        <w:rPr>
          <w:rFonts w:cs="v5.0.0"/>
          <w:color w:val="000000" w:themeColor="text1"/>
          <w14:textFill>
            <w14:solidFill>
              <w14:schemeClr w14:val="tx1"/>
            </w14:solidFill>
          </w14:textFill>
        </w:rPr>
        <w:t xml:space="preserve"> for the SAN </w:t>
      </w:r>
      <w:r>
        <w:rPr>
          <w:rFonts w:cs="v5.0.0"/>
          <w:i/>
          <w:color w:val="000000" w:themeColor="text1"/>
          <w14:textFill>
            <w14:solidFill>
              <w14:schemeClr w14:val="tx1"/>
            </w14:solidFill>
          </w14:textFill>
        </w:rPr>
        <w:t>operating bands</w:t>
      </w:r>
      <w:r>
        <w:rPr>
          <w:rFonts w:cs="v5.0.0"/>
          <w:color w:val="000000" w:themeColor="text1"/>
          <w14:textFill>
            <w14:solidFill>
              <w14:schemeClr w14:val="tx1"/>
            </w14:solidFill>
          </w14:textFill>
        </w:rPr>
        <w:t>.</w:t>
      </w:r>
    </w:p>
    <w:p>
      <w:pPr>
        <w:pStyle w:val="55"/>
        <w:rPr>
          <w:i/>
          <w:color w:val="000000" w:themeColor="text1"/>
          <w14:textFill>
            <w14:solidFill>
              <w14:schemeClr w14:val="tx1"/>
            </w14:solidFill>
          </w14:textFill>
        </w:rPr>
      </w:pPr>
      <w:r>
        <w:rPr>
          <w:color w:val="000000" w:themeColor="text1"/>
          <w14:textFill>
            <w14:solidFill>
              <w14:schemeClr w14:val="tx1"/>
            </w14:solidFill>
          </w14:textFill>
        </w:rPr>
        <w:t>Table 9.7.1-1: Maximum offset Δf</w:t>
      </w:r>
      <w:r>
        <w:rPr>
          <w:color w:val="000000" w:themeColor="text1"/>
          <w:vertAlign w:val="subscript"/>
          <w14:textFill>
            <w14:solidFill>
              <w14:schemeClr w14:val="tx1"/>
            </w14:solidFill>
          </w14:textFill>
        </w:rPr>
        <w:t>OBUE</w:t>
      </w:r>
      <w:r>
        <w:rPr>
          <w:color w:val="000000" w:themeColor="text1"/>
          <w14:textFill>
            <w14:solidFill>
              <w14:schemeClr w14:val="tx1"/>
            </w14:solidFill>
          </w14:textFill>
        </w:rPr>
        <w:t xml:space="preserve"> outside the downlink </w:t>
      </w:r>
      <w:r>
        <w:rPr>
          <w:i/>
          <w:color w:val="000000" w:themeColor="text1"/>
          <w14:textFill>
            <w14:solidFill>
              <w14:schemeClr w14:val="tx1"/>
            </w14:solidFill>
          </w14:textFill>
        </w:rPr>
        <w:t>operating band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Pr>
          <w:p>
            <w:pPr>
              <w:pStyle w:val="51"/>
              <w:rPr>
                <w:color w:val="000000" w:themeColor="text1"/>
                <w14:textFill>
                  <w14:solidFill>
                    <w14:schemeClr w14:val="tx1"/>
                  </w14:solidFill>
                </w14:textFill>
              </w:rPr>
            </w:pPr>
            <w:r>
              <w:rPr>
                <w:color w:val="000000" w:themeColor="text1"/>
                <w14:textFill>
                  <w14:solidFill>
                    <w14:schemeClr w14:val="tx1"/>
                  </w14:solidFill>
                </w14:textFill>
              </w:rPr>
              <w:t>SAN type</w:t>
            </w:r>
          </w:p>
        </w:tc>
        <w:tc>
          <w:tcPr>
            <w:tcW w:w="3801" w:type="dxa"/>
          </w:tcPr>
          <w:p>
            <w:pPr>
              <w:pStyle w:val="51"/>
              <w:rPr>
                <w:color w:val="000000" w:themeColor="text1"/>
                <w14:textFill>
                  <w14:solidFill>
                    <w14:schemeClr w14:val="tx1"/>
                  </w14:solidFill>
                </w14:textFill>
              </w:rPr>
            </w:pPr>
            <w:r>
              <w:rPr>
                <w:i/>
                <w:color w:val="000000" w:themeColor="text1"/>
                <w14:textFill>
                  <w14:solidFill>
                    <w14:schemeClr w14:val="tx1"/>
                  </w14:solidFill>
                </w14:textFill>
              </w:rPr>
              <w:t>Operating band</w:t>
            </w:r>
            <w:r>
              <w:rPr>
                <w:color w:val="000000" w:themeColor="text1"/>
                <w14:textFill>
                  <w14:solidFill>
                    <w14:schemeClr w14:val="tx1"/>
                  </w14:solidFill>
                </w14:textFill>
              </w:rPr>
              <w:t xml:space="preserve"> characteristics</w:t>
            </w:r>
          </w:p>
        </w:tc>
        <w:tc>
          <w:tcPr>
            <w:tcW w:w="1784" w:type="dxa"/>
          </w:tcPr>
          <w:p>
            <w:pPr>
              <w:pStyle w:val="51"/>
              <w:rPr>
                <w:color w:val="000000" w:themeColor="text1"/>
                <w14:textFill>
                  <w14:solidFill>
                    <w14:schemeClr w14:val="tx1"/>
                  </w14:solidFill>
                </w14:textFill>
              </w:rPr>
            </w:pPr>
            <w:r>
              <w:rPr>
                <w:color w:val="000000" w:themeColor="text1"/>
                <w14:textFill>
                  <w14:solidFill>
                    <w14:schemeClr w14:val="tx1"/>
                  </w14:solidFill>
                </w14:textFill>
              </w:rPr>
              <w:t>Δf</w:t>
            </w:r>
            <w:r>
              <w:rPr>
                <w:color w:val="000000" w:themeColor="text1"/>
                <w:vertAlign w:val="subscript"/>
                <w14:textFill>
                  <w14:solidFill>
                    <w14:schemeClr w14:val="tx1"/>
                  </w14:solidFill>
                </w14:textFill>
              </w:rPr>
              <w:t>OBUE</w:t>
            </w:r>
            <w:r>
              <w:rPr>
                <w:color w:val="000000" w:themeColor="text1"/>
                <w14:textFill>
                  <w14:solidFill>
                    <w14:schemeClr w14:val="tx1"/>
                  </w14:solidFill>
                </w14:textFill>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vAlign w:val="center"/>
          </w:tcPr>
          <w:p>
            <w:pPr>
              <w:pStyle w:val="52"/>
              <w:rPr>
                <w:color w:val="000000" w:themeColor="text1"/>
                <w14:textFill>
                  <w14:solidFill>
                    <w14:schemeClr w14:val="tx1"/>
                  </w14:solidFill>
                </w14:textFill>
              </w:rPr>
            </w:pPr>
            <w:r>
              <w:rPr>
                <w:i/>
                <w:color w:val="000000" w:themeColor="text1"/>
                <w:lang w:eastAsia="zh-CN"/>
                <w14:textFill>
                  <w14:solidFill>
                    <w14:schemeClr w14:val="tx1"/>
                  </w14:solidFill>
                </w14:textFill>
              </w:rPr>
              <w:t>SAN type 1-O</w:t>
            </w:r>
          </w:p>
        </w:tc>
        <w:tc>
          <w:tcPr>
            <w:tcW w:w="3801" w:type="dxa"/>
          </w:tcPr>
          <w:p>
            <w:pPr>
              <w:pStyle w:val="52"/>
              <w:rPr>
                <w:color w:val="000000" w:themeColor="text1"/>
                <w14:textFill>
                  <w14:solidFill>
                    <w14:schemeClr w14:val="tx1"/>
                  </w14:solidFill>
                </w14:textFill>
              </w:rPr>
            </w:pPr>
            <w:r>
              <w:rPr>
                <w:color w:val="000000" w:themeColor="text1"/>
                <w14:textFill>
                  <w14:solidFill>
                    <w14:schemeClr w14:val="tx1"/>
                  </w14:solidFill>
                </w14:textFill>
              </w:rPr>
              <w:t>F</w:t>
            </w:r>
            <w:r>
              <w:rPr>
                <w:color w:val="000000" w:themeColor="text1"/>
                <w:vertAlign w:val="subscript"/>
                <w14:textFill>
                  <w14:solidFill>
                    <w14:schemeClr w14:val="tx1"/>
                  </w14:solidFill>
                </w14:textFill>
              </w:rPr>
              <w:t>DL,high</w:t>
            </w:r>
            <w:r>
              <w:rPr>
                <w:color w:val="000000" w:themeColor="text1"/>
                <w14:textFill>
                  <w14:solidFill>
                    <w14:schemeClr w14:val="tx1"/>
                  </w14:solidFill>
                </w14:textFill>
              </w:rPr>
              <w:t xml:space="preserve"> – F</w:t>
            </w:r>
            <w:r>
              <w:rPr>
                <w:color w:val="000000" w:themeColor="text1"/>
                <w:vertAlign w:val="subscript"/>
                <w14:textFill>
                  <w14:solidFill>
                    <w14:schemeClr w14:val="tx1"/>
                  </w14:solidFill>
                </w14:textFill>
              </w:rPr>
              <w:t>DL,low</w:t>
            </w:r>
            <w:r>
              <w:rPr>
                <w:color w:val="000000" w:themeColor="text1"/>
                <w14:textFill>
                  <w14:solidFill>
                    <w14:schemeClr w14:val="tx1"/>
                  </w14:solidFill>
                </w14:textFill>
              </w:rPr>
              <w:t xml:space="preserve">  &lt; 100 MHz</w:t>
            </w:r>
          </w:p>
        </w:tc>
        <w:tc>
          <w:tcPr>
            <w:tcW w:w="1784" w:type="dxa"/>
          </w:tcPr>
          <w:p>
            <w:pPr>
              <w:pStyle w:val="52"/>
              <w:rPr>
                <w:color w:val="000000" w:themeColor="text1"/>
                <w14:textFill>
                  <w14:solidFill>
                    <w14:schemeClr w14:val="tx1"/>
                  </w14:solidFill>
                </w14:textFill>
              </w:rPr>
            </w:pPr>
            <w:r>
              <w:rPr>
                <w:lang w:val="en-US" w:eastAsia="ja-JP"/>
              </w:rPr>
              <w:t>2xBW</w:t>
            </w:r>
            <w:ins w:id="77" w:author="liyankun" w:date="2023-08-11T11:42:00Z">
              <w:r>
                <w:rPr>
                  <w:rFonts w:hint="eastAsia" w:eastAsia="宋体"/>
                  <w:vertAlign w:val="subscript"/>
                  <w:lang w:val="en-US" w:eastAsia="zh-CN"/>
                </w:rPr>
                <w:t>Necessary</w:t>
              </w:r>
            </w:ins>
            <w:del w:id="78" w:author="liyankun" w:date="2023-08-11T11:42:00Z">
              <w:r>
                <w:rPr>
                  <w:vertAlign w:val="subscript"/>
                  <w:lang w:val="en-US" w:eastAsia="ja-JP"/>
                </w:rPr>
                <w:delText>channel</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 w:author="liyankun" w:date="2023-08-11T11:42:03Z"/>
        </w:trPr>
        <w:tc>
          <w:tcPr>
            <w:tcW w:w="7141" w:type="dxa"/>
            <w:gridSpan w:val="3"/>
            <w:vAlign w:val="center"/>
          </w:tcPr>
          <w:p>
            <w:pPr>
              <w:pStyle w:val="52"/>
              <w:jc w:val="both"/>
              <w:rPr>
                <w:ins w:id="81" w:author="liyankun" w:date="2023-08-11T11:42:03Z"/>
                <w:lang w:val="en-US" w:eastAsia="ja-JP"/>
              </w:rPr>
              <w:pPrChange w:id="80" w:author="liyankun" w:date="2023-08-11T11:42:16Z">
                <w:pPr>
                  <w:pStyle w:val="52"/>
                </w:pPr>
              </w:pPrChange>
            </w:pPr>
            <w:ins w:id="82" w:author="liyankun" w:date="2023-08-11T11:42:16Z">
              <w:r>
                <w:rPr>
                  <w:rFonts w:hint="eastAsia" w:eastAsia="宋体"/>
                  <w:lang w:val="en-US" w:eastAsia="zh-CN"/>
                </w:rPr>
                <w:t xml:space="preserve">Note: </w:t>
              </w:r>
            </w:ins>
            <w:ins w:id="83" w:author="liyankun" w:date="2023-08-11T11:42:16Z">
              <w:r>
                <w:rPr/>
                <w:t>BW</w:t>
              </w:r>
            </w:ins>
            <w:ins w:id="84" w:author="liyankun" w:date="2023-08-11T11:42:16Z">
              <w:r>
                <w:rPr>
                  <w:rFonts w:hint="eastAsia" w:eastAsia="宋体"/>
                  <w:vertAlign w:val="subscript"/>
                  <w:lang w:val="en-US" w:eastAsia="zh-CN"/>
                </w:rPr>
                <w:t>Necessary</w:t>
              </w:r>
            </w:ins>
            <w:ins w:id="85" w:author="liyankun" w:date="2023-08-11T11:42:16Z">
              <w:r>
                <w:rPr>
                  <w:rFonts w:hint="eastAsia" w:eastAsia="宋体"/>
                  <w:lang w:val="en-US" w:eastAsia="zh-CN"/>
                </w:rPr>
                <w:t xml:space="preserve"> </w:t>
              </w:r>
            </w:ins>
            <w:ins w:id="86" w:author="liyankun" w:date="2023-08-11T11:42:16Z">
              <w:r>
                <w:rPr/>
                <w:t xml:space="preserve">is the considered </w:t>
              </w:r>
            </w:ins>
            <w:ins w:id="87" w:author="liyankun" w:date="2023-08-11T11:42:16Z">
              <w:r>
                <w:rPr>
                  <w:rFonts w:hint="eastAsia"/>
                  <w:lang w:val="en-US" w:eastAsia="zh-CN"/>
                </w:rPr>
                <w:t>E-UTRA</w:t>
              </w:r>
            </w:ins>
            <w:ins w:id="88" w:author="liyankun" w:date="2023-08-11T11:42:16Z">
              <w:r>
                <w:rPr/>
                <w:t xml:space="preserve"> </w:t>
              </w:r>
            </w:ins>
            <w:ins w:id="89" w:author="liyankun" w:date="2023-08-11T11:42:16Z">
              <w:r>
                <w:rPr>
                  <w:i/>
                  <w:iCs/>
                </w:rPr>
                <w:t xml:space="preserve">channel bandwidth </w:t>
              </w:r>
            </w:ins>
            <w:ins w:id="90" w:author="liyankun" w:date="2023-08-11T11:42:16Z">
              <w:r>
                <w:rPr/>
                <w:t xml:space="preserve">or SAN total </w:t>
              </w:r>
            </w:ins>
            <w:ins w:id="91" w:author="liyankun" w:date="2023-08-11T11:42:16Z">
              <w:r>
                <w:rPr>
                  <w:i/>
                  <w:iCs/>
                </w:rPr>
                <w:t>RF bandwidth</w:t>
              </w:r>
            </w:ins>
            <w:ins w:id="92" w:author="liyankun" w:date="2023-08-11T11:42:16Z">
              <w:r>
                <w:rPr/>
                <w:t xml:space="preserve"> for a given </w:t>
              </w:r>
            </w:ins>
            <w:ins w:id="93" w:author="liyankun" w:date="2023-08-11T11:42:16Z">
              <w:r>
                <w:rPr>
                  <w:i/>
                  <w:iCs/>
                </w:rPr>
                <w:t>operating band</w:t>
              </w:r>
            </w:ins>
            <w:ins w:id="94" w:author="liyankun" w:date="2023-08-11T11:42:16Z">
              <w:r>
                <w:rPr/>
                <w:t>.</w:t>
              </w:r>
            </w:ins>
          </w:p>
        </w:tc>
      </w:tr>
    </w:tbl>
    <w:p>
      <w:pPr>
        <w:rPr>
          <w:color w:val="000000" w:themeColor="text1"/>
          <w14:textFill>
            <w14:solidFill>
              <w14:schemeClr w14:val="tx1"/>
            </w14:solidFill>
          </w14:textFill>
        </w:rPr>
      </w:pPr>
    </w:p>
    <w:p>
      <w:pPr>
        <w:rPr>
          <w:rFonts w:eastAsiaTheme="minorEastAsia"/>
          <w:color w:val="000000" w:themeColor="text1"/>
          <w:lang w:eastAsia="zh-CN"/>
          <w14:textFill>
            <w14:solidFill>
              <w14:schemeClr w14:val="tx1"/>
            </w14:solidFill>
          </w14:textFill>
        </w:rPr>
      </w:pPr>
      <w:r>
        <w:rPr>
          <w:color w:val="000000" w:themeColor="text1"/>
          <w14:textFill>
            <w14:solidFill>
              <w14:schemeClr w14:val="tx1"/>
            </w14:solidFill>
          </w14:textFill>
        </w:rPr>
        <w:t>The unwanted emission requirements are applied per cell for all the configurations.  Requirements for OTA unwanted emissions are captured using TRP,</w:t>
      </w:r>
      <w:r>
        <w:rPr>
          <w:rFonts w:hint="eastAsia"/>
          <w:color w:val="000000" w:themeColor="text1"/>
          <w:lang w:eastAsia="zh-CN"/>
          <w14:textFill>
            <w14:solidFill>
              <w14:schemeClr w14:val="tx1"/>
            </w14:solidFill>
          </w14:textFill>
        </w:rPr>
        <w:t xml:space="preserve"> or</w:t>
      </w:r>
      <w:r>
        <w:rPr>
          <w:color w:val="000000" w:themeColor="text1"/>
          <w14:textFill>
            <w14:solidFill>
              <w14:schemeClr w14:val="tx1"/>
            </w14:solidFill>
          </w14:textFill>
        </w:rPr>
        <w:t xml:space="preserve"> </w:t>
      </w:r>
      <w:r>
        <w:rPr>
          <w:i/>
          <w:color w:val="000000" w:themeColor="text1"/>
          <w14:textFill>
            <w14:solidFill>
              <w14:schemeClr w14:val="tx1"/>
            </w14:solidFill>
          </w14:textFill>
        </w:rPr>
        <w:t>directional requirements</w:t>
      </w:r>
      <w:r>
        <w:rPr>
          <w:color w:val="000000" w:themeColor="text1"/>
          <w14:textFill>
            <w14:solidFill>
              <w14:schemeClr w14:val="tx1"/>
            </w14:solidFill>
          </w14:textFill>
        </w:rPr>
        <w:t xml:space="preserve"> as described per requirement.</w:t>
      </w:r>
    </w:p>
    <w:p>
      <w:pPr>
        <w:rPr>
          <w:color w:val="000000" w:themeColor="text1"/>
          <w14:textFill>
            <w14:solidFill>
              <w14:schemeClr w14:val="tx1"/>
            </w14:solidFill>
          </w14:textFill>
        </w:rPr>
      </w:pPr>
      <w:r>
        <w:rPr>
          <w:color w:val="000000"/>
          <w:lang w:eastAsia="ja-JP"/>
        </w:rPr>
        <w:t>For the OTA TRP measurement procedures, refer to TS 38.141-2 [9], annex I.</w:t>
      </w:r>
    </w:p>
    <w:p>
      <w:r>
        <w:rPr>
          <w:color w:val="000000" w:themeColor="text1"/>
          <w14:textFill>
            <w14:solidFill>
              <w14:schemeClr w14:val="tx1"/>
            </w14:solidFill>
          </w14:textFill>
        </w:rPr>
        <w:t>There is in addition a requirement for occupied bandwidth.</w:t>
      </w:r>
    </w:p>
    <w:p>
      <w:pPr>
        <w:rPr>
          <w:rFonts w:hint="eastAsia" w:eastAsia="宋体"/>
          <w:b/>
          <w:bCs/>
          <w:color w:val="C00000"/>
          <w:lang w:val="en-US" w:eastAsia="zh-CN"/>
        </w:rPr>
      </w:pPr>
    </w:p>
    <w:p>
      <w:pPr>
        <w:rPr>
          <w:rFonts w:hint="eastAsia" w:eastAsia="宋体"/>
          <w:b/>
          <w:bCs/>
          <w:color w:val="C00000"/>
          <w:lang w:val="en-US" w:eastAsia="zh-CN"/>
        </w:rPr>
      </w:pPr>
      <w:r>
        <w:rPr>
          <w:rFonts w:hint="eastAsia" w:eastAsia="宋体"/>
          <w:b/>
          <w:bCs/>
          <w:color w:val="C00000"/>
          <w:lang w:val="en-US" w:eastAsia="zh-CN"/>
        </w:rPr>
        <w:t>&lt;End of correction 3&gt;</w:t>
      </w:r>
    </w:p>
    <w:p>
      <w:pPr>
        <w:rPr>
          <w:rFonts w:hint="eastAsia" w:eastAsia="宋体"/>
          <w:b/>
          <w:bCs/>
          <w:color w:val="C00000"/>
          <w:lang w:val="en-US" w:eastAsia="zh-CN"/>
        </w:rPr>
      </w:pPr>
    </w:p>
    <w:p>
      <w:pPr>
        <w:rPr>
          <w:rFonts w:hint="eastAsia" w:eastAsia="宋体"/>
          <w:b/>
          <w:bCs/>
          <w:color w:val="C00000"/>
          <w:lang w:val="en-US" w:eastAsia="zh-CN"/>
        </w:rPr>
      </w:pPr>
    </w:p>
    <w:p>
      <w:pPr>
        <w:rPr>
          <w:rFonts w:hint="eastAsia" w:eastAsia="宋体"/>
          <w:b/>
          <w:bCs/>
          <w:color w:val="C00000"/>
          <w:lang w:val="en-US" w:eastAsia="zh-CN"/>
        </w:rPr>
      </w:pPr>
      <w:r>
        <w:rPr>
          <w:rFonts w:hint="eastAsia" w:eastAsia="宋体"/>
          <w:b/>
          <w:bCs/>
          <w:color w:val="C00000"/>
          <w:lang w:val="en-US" w:eastAsia="zh-CN"/>
        </w:rPr>
        <w:t>&lt;Start of correction 4&gt;</w:t>
      </w:r>
    </w:p>
    <w:p>
      <w:pPr>
        <w:pStyle w:val="4"/>
        <w:rPr>
          <w:color w:val="000000" w:themeColor="text1"/>
          <w14:textFill>
            <w14:solidFill>
              <w14:schemeClr w14:val="tx1"/>
            </w14:solidFill>
          </w14:textFill>
        </w:rPr>
      </w:pPr>
      <w:bookmarkStart w:id="679" w:name="_Toc138880609"/>
      <w:bookmarkStart w:id="680" w:name="_Toc136851178"/>
      <w:bookmarkStart w:id="681" w:name="_Toc138880142"/>
      <w:r>
        <w:t>9.7.4</w:t>
      </w:r>
      <w:r>
        <w:tab/>
      </w:r>
      <w:r>
        <w:t xml:space="preserve">OTA operating </w:t>
      </w:r>
      <w:r>
        <w:rPr>
          <w:color w:val="000000" w:themeColor="text1"/>
          <w14:textFill>
            <w14:solidFill>
              <w14:schemeClr w14:val="tx1"/>
            </w14:solidFill>
          </w14:textFill>
        </w:rPr>
        <w:t>band unwanted emissions</w:t>
      </w:r>
      <w:bookmarkEnd w:id="679"/>
      <w:bookmarkEnd w:id="680"/>
      <w:bookmarkEnd w:id="681"/>
    </w:p>
    <w:p>
      <w:pPr>
        <w:pStyle w:val="5"/>
      </w:pPr>
      <w:bookmarkStart w:id="682" w:name="_Toc138880610"/>
      <w:bookmarkStart w:id="683" w:name="_Toc136851179"/>
      <w:bookmarkStart w:id="684" w:name="_Toc138880143"/>
      <w:r>
        <w:t>9.7.4.1</w:t>
      </w:r>
      <w:r>
        <w:tab/>
      </w:r>
      <w:r>
        <w:t>Definition and applicability</w:t>
      </w:r>
      <w:bookmarkEnd w:id="682"/>
      <w:bookmarkEnd w:id="683"/>
      <w:bookmarkEnd w:id="684"/>
    </w:p>
    <w:p>
      <w:pPr>
        <w:rPr>
          <w:color w:val="000000" w:themeColor="text1"/>
          <w:lang w:eastAsia="zh-CN"/>
          <w14:textFill>
            <w14:solidFill>
              <w14:schemeClr w14:val="tx1"/>
            </w14:solidFill>
          </w14:textFill>
        </w:rPr>
      </w:pPr>
      <w:r>
        <w:rPr>
          <w:color w:val="000000" w:themeColor="text1"/>
          <w14:textFill>
            <w14:solidFill>
              <w14:schemeClr w14:val="tx1"/>
            </w14:solidFill>
          </w14:textFill>
        </w:rPr>
        <w:t>The OTA limits for operating band unwanted emissions are specified as TRP per RIB unless otherwise stated.</w:t>
      </w:r>
    </w:p>
    <w:p>
      <w:r>
        <w:t xml:space="preserve">Unless otherwise stated, the operating band unwanted emission (OBUE) limits for SAN are defined from channel edge up to frequencies separated from the channel edge by 200% of the necessary bandwidth. </w:t>
      </w:r>
    </w:p>
    <w:p>
      <w:pPr>
        <w:rPr>
          <w:rFonts w:cs="v5.0.0"/>
        </w:rPr>
      </w:pPr>
      <w:r>
        <w:t>The requirements shall apply whatever the type of transmitter considered and for all transmission modes foreseen by the manufacturer’s specification</w:t>
      </w:r>
      <w:r>
        <w:rPr>
          <w:rFonts w:cs="v5.0.0"/>
        </w:rPr>
        <w:t>.</w:t>
      </w:r>
    </w:p>
    <w:p>
      <w:r>
        <w:rPr>
          <w:i/>
        </w:rPr>
        <w:t>Basic limits</w:t>
      </w:r>
      <w:r>
        <w:t xml:space="preserve"> are specified in the tables below, where:</w:t>
      </w:r>
    </w:p>
    <w:p>
      <w:pPr>
        <w:pStyle w:val="75"/>
      </w:pPr>
      <w:r>
        <w:t>-</w:t>
      </w:r>
      <w:r>
        <w:tab/>
      </w:r>
      <w:r>
        <w:rPr/>
        <w:sym w:font="Symbol" w:char="F044"/>
      </w:r>
      <w:r>
        <w:t xml:space="preserve">f is the separation between the </w:t>
      </w:r>
      <w:r>
        <w:rPr>
          <w:i/>
        </w:rPr>
        <w:t>channel edge</w:t>
      </w:r>
      <w:r>
        <w:t xml:space="preserve"> frequency and the nominal -3 dB point of the measuring filter closest to the carrier frequency.</w:t>
      </w:r>
    </w:p>
    <w:p>
      <w:pPr>
        <w:pStyle w:val="75"/>
      </w:pPr>
      <w:r>
        <w:t>-</w:t>
      </w:r>
      <w:r>
        <w:tab/>
      </w:r>
      <w:r>
        <w:t xml:space="preserve">f_offset is the separation between the </w:t>
      </w:r>
      <w:r>
        <w:rPr>
          <w:i/>
        </w:rPr>
        <w:t>channel edge</w:t>
      </w:r>
      <w:r>
        <w:t xml:space="preserve"> frequency and the centre of the measuring filter.</w:t>
      </w:r>
    </w:p>
    <w:p>
      <w:pPr>
        <w:pStyle w:val="75"/>
      </w:pPr>
      <w:r>
        <w:rPr>
          <w:lang w:val="en-US"/>
        </w:rPr>
        <w:t>-</w:t>
      </w:r>
      <w:r>
        <w:rPr>
          <w:lang w:val="en-US"/>
        </w:rPr>
        <w:tab/>
      </w:r>
      <w:r>
        <w:rPr>
          <w:lang w:val="en-US"/>
        </w:rPr>
        <w:t>PSD</w:t>
      </w:r>
      <w:ins w:id="95" w:author="liyankun" w:date="2023-08-11T11:42:00Z">
        <w:r>
          <w:rPr>
            <w:rFonts w:hint="eastAsia" w:eastAsia="宋体"/>
            <w:vertAlign w:val="subscript"/>
            <w:lang w:val="en-US" w:eastAsia="zh-CN"/>
          </w:rPr>
          <w:t>Necessary</w:t>
        </w:r>
      </w:ins>
      <w:r>
        <w:t xml:space="preserve"> represents the Power Spectral Density of the channel for a given </w:t>
      </w:r>
      <w:r>
        <w:rPr>
          <w:lang w:val="en-US"/>
        </w:rPr>
        <w:t>BW</w:t>
      </w:r>
      <w:ins w:id="96" w:author="liyankun" w:date="2023-08-11T11:42:00Z">
        <w:r>
          <w:rPr>
            <w:rFonts w:hint="eastAsia" w:eastAsia="宋体"/>
            <w:vertAlign w:val="subscript"/>
            <w:lang w:val="en-US" w:eastAsia="zh-CN"/>
          </w:rPr>
          <w:t>Necessary</w:t>
        </w:r>
      </w:ins>
    </w:p>
    <w:p>
      <w:pPr>
        <w:pStyle w:val="75"/>
      </w:pPr>
      <w:r>
        <w:rPr>
          <w:lang w:val="en-US"/>
        </w:rPr>
        <w:t>-</w:t>
      </w:r>
      <w:r>
        <w:rPr>
          <w:lang w:val="en-US"/>
        </w:rPr>
        <w:tab/>
      </w:r>
      <w:r>
        <w:rPr>
          <w:lang w:val="en-US"/>
        </w:rPr>
        <w:t>BW</w:t>
      </w:r>
      <w:ins w:id="97" w:author="liyankun" w:date="2023-08-11T11:42:00Z">
        <w:r>
          <w:rPr>
            <w:rFonts w:hint="eastAsia" w:eastAsia="宋体"/>
            <w:vertAlign w:val="subscript"/>
            <w:lang w:val="en-US" w:eastAsia="zh-CN"/>
          </w:rPr>
          <w:t>Necessary</w:t>
        </w:r>
      </w:ins>
      <w:r>
        <w:t xml:space="preserve"> is the considered </w:t>
      </w:r>
      <w:r>
        <w:rPr>
          <w:i/>
          <w:iCs/>
          <w:lang w:val="en-US" w:eastAsia="zh-CN"/>
        </w:rPr>
        <w:t>SAN</w:t>
      </w:r>
      <w:r>
        <w:rPr>
          <w:i/>
          <w:iCs/>
        </w:rPr>
        <w:t xml:space="preserve"> channel bandwidth </w:t>
      </w:r>
      <w:r>
        <w:t>or SAN total</w:t>
      </w:r>
      <w:r>
        <w:rPr>
          <w:i/>
          <w:iCs/>
        </w:rPr>
        <w:t xml:space="preserve"> RF bandwidth</w:t>
      </w:r>
      <w:r>
        <w:t xml:space="preserve"> for a given </w:t>
      </w:r>
      <w:r>
        <w:rPr>
          <w:i/>
          <w:iCs/>
        </w:rPr>
        <w:t>operating band</w:t>
      </w:r>
      <w:r>
        <w:t>.</w:t>
      </w:r>
    </w:p>
    <w:p>
      <w:pPr>
        <w:pStyle w:val="75"/>
        <w:rPr>
          <w:ins w:id="98" w:author="liyankun" w:date="2023-08-11T11:46:49Z"/>
        </w:rPr>
      </w:pPr>
      <w:r>
        <w:rPr>
          <w:lang w:val="en-US" w:eastAsia="zh-CN"/>
        </w:rPr>
        <w:t>-</w:t>
      </w:r>
      <w:r>
        <w:rPr>
          <w:lang w:val="en-US" w:eastAsia="zh-CN"/>
        </w:rPr>
        <w:tab/>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oMath>
      <w:r>
        <w:rPr>
          <w:lang w:val="en-US" w:eastAsia="zh-CN"/>
        </w:rPr>
        <w:t xml:space="preserve"> </w:t>
      </w:r>
      <w:r>
        <w:t xml:space="preserve">is the </w:t>
      </w:r>
      <w:r>
        <w:rPr>
          <w:i/>
          <w:iCs/>
        </w:rPr>
        <w:t>SAN class parameter</w:t>
      </w:r>
      <w:r>
        <w:t xml:space="preserve"> in dB identified to characterize different SAN classes.</w:t>
      </w:r>
    </w:p>
    <w:p>
      <w:pPr>
        <w:pStyle w:val="75"/>
        <w:keepNext/>
        <w:rPr>
          <w:ins w:id="99" w:author="liyankun" w:date="2023-08-11T11:46:50Z"/>
          <w:rFonts w:cs="v5.0.0"/>
        </w:rPr>
      </w:pPr>
      <w:ins w:id="100" w:author="liyankun" w:date="2023-08-11T11:46:50Z">
        <w:r>
          <w:rPr>
            <w:rFonts w:cs="v5.0.0"/>
          </w:rPr>
          <w:t>-</w:t>
        </w:r>
      </w:ins>
      <w:ins w:id="101" w:author="liyankun" w:date="2023-08-11T11:46:50Z">
        <w:r>
          <w:rPr>
            <w:rFonts w:cs="v5.0.0"/>
          </w:rPr>
          <w:tab/>
        </w:r>
      </w:ins>
      <w:ins w:id="102" w:author="liyankun" w:date="2023-08-11T11:46:50Z">
        <w:r>
          <w:rPr>
            <w:rFonts w:cs="v5.0.0"/>
          </w:rPr>
          <w:sym w:font="Symbol" w:char="F044"/>
        </w:r>
      </w:ins>
      <w:ins w:id="103" w:author="liyankun" w:date="2023-08-11T11:46:50Z">
        <w:r>
          <w:rPr>
            <w:rFonts w:cs="v5.0.0"/>
          </w:rPr>
          <w:t>f</w:t>
        </w:r>
      </w:ins>
      <w:ins w:id="104" w:author="liyankun" w:date="2023-08-11T11:46:50Z">
        <w:r>
          <w:rPr>
            <w:rFonts w:cs="v5.0.0"/>
            <w:vertAlign w:val="subscript"/>
          </w:rPr>
          <w:t>max</w:t>
        </w:r>
      </w:ins>
      <w:ins w:id="105" w:author="liyankun" w:date="2023-08-11T11:46:50Z">
        <w:r>
          <w:rPr>
            <w:rFonts w:cs="v5.0.0"/>
          </w:rPr>
          <w:t xml:space="preserve"> is the offset to the frequency </w:t>
        </w:r>
      </w:ins>
      <w:ins w:id="106" w:author="liyankun" w:date="2023-08-11T11:46:50Z">
        <w:r>
          <w:rPr/>
          <w:t>Δf</w:t>
        </w:r>
      </w:ins>
      <w:ins w:id="107" w:author="liyankun" w:date="2023-08-11T11:46:50Z">
        <w:r>
          <w:rPr>
            <w:vertAlign w:val="subscript"/>
          </w:rPr>
          <w:t>OBUE</w:t>
        </w:r>
      </w:ins>
      <w:ins w:id="108" w:author="liyankun" w:date="2023-08-11T11:46:50Z">
        <w:r>
          <w:rPr>
            <w:rFonts w:cs="v5.0.0"/>
          </w:rPr>
          <w:t xml:space="preserve"> outside the downlink operating band.</w:t>
        </w:r>
      </w:ins>
    </w:p>
    <w:p>
      <w:pPr>
        <w:pStyle w:val="75"/>
        <w:rPr>
          <w:ins w:id="109" w:author="liyankun" w:date="2023-08-11T11:46:50Z"/>
          <w:rFonts w:cs="v5.0.0"/>
        </w:rPr>
      </w:pPr>
      <w:ins w:id="110" w:author="liyankun" w:date="2023-08-11T11:46:50Z">
        <w:r>
          <w:rPr>
            <w:rFonts w:cs="v5.0.0"/>
          </w:rPr>
          <w:t>-</w:t>
        </w:r>
      </w:ins>
      <w:ins w:id="111" w:author="liyankun" w:date="2023-08-11T11:46:50Z">
        <w:r>
          <w:rPr>
            <w:rFonts w:cs="v5.0.0"/>
          </w:rPr>
          <w:tab/>
        </w:r>
      </w:ins>
      <w:ins w:id="112" w:author="liyankun" w:date="2023-08-11T11:46:50Z">
        <w:r>
          <w:rPr>
            <w:rFonts w:cs="v5.0.0"/>
          </w:rPr>
          <w:t xml:space="preserve"> f_offset</w:t>
        </w:r>
      </w:ins>
      <w:ins w:id="113" w:author="liyankun" w:date="2023-08-11T11:46:50Z">
        <w:r>
          <w:rPr>
            <w:rFonts w:cs="v5.0.0"/>
            <w:vertAlign w:val="subscript"/>
          </w:rPr>
          <w:t>max</w:t>
        </w:r>
      </w:ins>
      <w:ins w:id="114" w:author="liyankun" w:date="2023-08-11T11:46:50Z">
        <w:r>
          <w:rPr>
            <w:rFonts w:hint="eastAsia" w:eastAsia="宋体" w:cs="v5.0.0"/>
            <w:vertAlign w:val="subscript"/>
            <w:lang w:val="en-US" w:eastAsia="zh-CN"/>
          </w:rPr>
          <w:t xml:space="preserve"> </w:t>
        </w:r>
      </w:ins>
      <w:ins w:id="115" w:author="liyankun" w:date="2023-08-11T11:46:50Z">
        <w:r>
          <w:rPr>
            <w:rFonts w:cs="v5.0.0"/>
          </w:rPr>
          <w:t xml:space="preserve">is equal to </w:t>
        </w:r>
      </w:ins>
      <w:ins w:id="116" w:author="liyankun" w:date="2023-08-11T11:46:50Z">
        <w:r>
          <w:rPr>
            <w:rFonts w:cs="v5.0.0"/>
          </w:rPr>
          <w:sym w:font="Symbol" w:char="F044"/>
        </w:r>
      </w:ins>
      <w:ins w:id="117" w:author="liyankun" w:date="2023-08-11T11:46:50Z">
        <w:r>
          <w:rPr>
            <w:rFonts w:cs="v5.0.0"/>
          </w:rPr>
          <w:t>f</w:t>
        </w:r>
      </w:ins>
      <w:ins w:id="118" w:author="liyankun" w:date="2023-08-11T11:46:50Z">
        <w:r>
          <w:rPr>
            <w:rFonts w:cs="v5.0.0"/>
            <w:vertAlign w:val="subscript"/>
          </w:rPr>
          <w:t>max</w:t>
        </w:r>
      </w:ins>
      <w:ins w:id="119" w:author="liyankun" w:date="2023-08-11T11:46:50Z">
        <w:r>
          <w:rPr>
            <w:rFonts w:cs="v5.0.0"/>
          </w:rPr>
          <w:t xml:space="preserve"> </w:t>
        </w:r>
      </w:ins>
      <w:ins w:id="120" w:author="liyankun" w:date="2023-08-11T11:46:50Z">
        <w:r>
          <w:rPr>
            <w:rFonts w:hint="eastAsia" w:eastAsia="宋体" w:cs="v5.0.0"/>
            <w:lang w:val="en-US" w:eastAsia="zh-CN"/>
          </w:rPr>
          <w:t>plus</w:t>
        </w:r>
      </w:ins>
      <w:ins w:id="121" w:author="liyankun" w:date="2023-08-11T11:46:50Z">
        <w:r>
          <w:rPr>
            <w:rFonts w:cs="v5.0.0"/>
          </w:rPr>
          <w:t xml:space="preserve"> half of the bandwidth of the measuring filter</w:t>
        </w:r>
      </w:ins>
      <w:ins w:id="122" w:author="liyankun" w:date="2023-08-11T11:46:50Z">
        <w:r>
          <w:rPr>
            <w:rFonts w:hint="eastAsia" w:eastAsia="宋体" w:cs="v5.0.0"/>
            <w:lang w:val="en-US" w:eastAsia="zh-CN"/>
          </w:rPr>
          <w:t>, i.e, 0.002MHz</w:t>
        </w:r>
      </w:ins>
      <w:ins w:id="123" w:author="liyankun" w:date="2023-08-11T11:46:50Z">
        <w:r>
          <w:rPr>
            <w:rFonts w:cs="v5.0.0"/>
          </w:rPr>
          <w:t>.</w:t>
        </w:r>
      </w:ins>
    </w:p>
    <w:p>
      <w:pPr>
        <w:pStyle w:val="75"/>
      </w:pPr>
    </w:p>
    <w:p>
      <w:r>
        <w:t xml:space="preserve">For a multi-carrier </w:t>
      </w:r>
      <w:r>
        <w:rPr>
          <w:i/>
          <w:iCs/>
        </w:rPr>
        <w:t xml:space="preserve">single-band </w:t>
      </w:r>
      <w:r>
        <w:rPr>
          <w:i/>
        </w:rPr>
        <w:t>RIB</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within a specified frequency band.</w:t>
      </w:r>
    </w:p>
    <w:p>
      <w:pPr>
        <w:pStyle w:val="75"/>
      </w:pPr>
      <w:r>
        <w:t>-</w:t>
      </w:r>
      <w:r>
        <w:tab/>
      </w:r>
      <w:r>
        <w:t>The operating band unwanted emission basic limits of the band where there are carriers transmitted, as defined in the tables of the present clause for the largest frequency offset (</w:t>
      </w:r>
      <w:r>
        <w:rPr/>
        <w:sym w:font="Symbol" w:char="F044"/>
      </w:r>
      <w:r>
        <w:t>f</w:t>
      </w:r>
      <w:r>
        <w:rPr>
          <w:vertAlign w:val="subscript"/>
        </w:rPr>
        <w:t>max</w:t>
      </w:r>
      <w:r>
        <w:t>), shall apply from channel edge up to frequencies separated from the channel edge by 200% of the necessary bandwidth.</w:t>
      </w:r>
    </w:p>
    <w:p>
      <w:pPr>
        <w:pStyle w:val="5"/>
        <w:rPr>
          <w:lang w:eastAsia="zh-CN"/>
        </w:rPr>
      </w:pPr>
      <w:bookmarkStart w:id="685" w:name="_Toc138880611"/>
      <w:bookmarkStart w:id="686" w:name="_Toc136851180"/>
      <w:bookmarkStart w:id="687" w:name="_Toc138880144"/>
      <w:r>
        <w:rPr>
          <w:lang w:eastAsia="zh-CN"/>
        </w:rPr>
        <w:t>9.7.4.2</w:t>
      </w:r>
      <w:r>
        <w:rPr>
          <w:lang w:eastAsia="zh-CN"/>
        </w:rPr>
        <w:tab/>
      </w:r>
      <w:r>
        <w:rPr>
          <w:lang w:eastAsia="zh-CN"/>
        </w:rPr>
        <w:t>Minimum requirement</w:t>
      </w:r>
      <w:bookmarkEnd w:id="685"/>
      <w:bookmarkEnd w:id="686"/>
      <w:bookmarkEnd w:id="687"/>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The minimum requirement for </w:t>
      </w:r>
      <w:r>
        <w:rPr>
          <w:i/>
          <w:color w:val="000000" w:themeColor="text1"/>
          <w:lang w:eastAsia="zh-CN"/>
          <w14:textFill>
            <w14:solidFill>
              <w14:schemeClr w14:val="tx1"/>
            </w14:solidFill>
          </w14:textFill>
        </w:rPr>
        <w:t>SAN type 1-O</w:t>
      </w:r>
      <w:r>
        <w:rPr>
          <w:color w:val="000000" w:themeColor="text1"/>
          <w:lang w:eastAsia="zh-CN"/>
          <w14:textFill>
            <w14:solidFill>
              <w14:schemeClr w14:val="tx1"/>
            </w14:solidFill>
          </w14:textFill>
        </w:rPr>
        <w:t xml:space="preserve"> is defined in TS 36.108 [</w:t>
      </w:r>
      <w:r>
        <w:rPr>
          <w:rFonts w:hint="eastAsia" w:eastAsiaTheme="minorEastAsia"/>
          <w:color w:val="000000" w:themeColor="text1"/>
          <w:lang w:eastAsia="zh-CN"/>
          <w14:textFill>
            <w14:solidFill>
              <w14:schemeClr w14:val="tx1"/>
            </w14:solidFill>
          </w14:textFill>
        </w:rPr>
        <w:t>2</w:t>
      </w:r>
      <w:r>
        <w:rPr>
          <w:color w:val="000000" w:themeColor="text1"/>
          <w:lang w:eastAsia="zh-CN"/>
          <w14:textFill>
            <w14:solidFill>
              <w14:schemeClr w14:val="tx1"/>
            </w14:solidFill>
          </w14:textFill>
        </w:rPr>
        <w:t>], clause 9.7.4.2.</w:t>
      </w:r>
    </w:p>
    <w:p>
      <w:pPr>
        <w:pStyle w:val="5"/>
        <w:rPr>
          <w:lang w:eastAsia="zh-CN"/>
        </w:rPr>
      </w:pPr>
      <w:bookmarkStart w:id="688" w:name="_Toc138880145"/>
      <w:bookmarkStart w:id="689" w:name="_Toc138880612"/>
      <w:bookmarkStart w:id="690" w:name="_Toc136851181"/>
      <w:r>
        <w:rPr>
          <w:lang w:eastAsia="zh-CN"/>
        </w:rPr>
        <w:t>9.7.4.3</w:t>
      </w:r>
      <w:r>
        <w:rPr>
          <w:lang w:eastAsia="zh-CN"/>
        </w:rPr>
        <w:tab/>
      </w:r>
      <w:r>
        <w:rPr>
          <w:lang w:eastAsia="zh-CN"/>
        </w:rPr>
        <w:t>Test purpose</w:t>
      </w:r>
      <w:bookmarkEnd w:id="688"/>
      <w:bookmarkEnd w:id="689"/>
      <w:bookmarkEnd w:id="690"/>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This test measures the emissions of the SAN, close to the assigned channel bandwidth of the wanted signal, while the SAN is in operation.</w:t>
      </w:r>
    </w:p>
    <w:p>
      <w:pPr>
        <w:pStyle w:val="5"/>
        <w:rPr>
          <w:i/>
          <w:iCs/>
          <w:lang w:eastAsia="zh-CN"/>
        </w:rPr>
      </w:pPr>
      <w:bookmarkStart w:id="691" w:name="_Toc136851182"/>
      <w:bookmarkStart w:id="692" w:name="_Toc138880146"/>
      <w:bookmarkStart w:id="693" w:name="_Toc138880613"/>
      <w:r>
        <w:rPr>
          <w:lang w:eastAsia="zh-CN"/>
        </w:rPr>
        <w:t>9.7.4.4</w:t>
      </w:r>
      <w:r>
        <w:rPr>
          <w:lang w:eastAsia="zh-CN"/>
        </w:rPr>
        <w:tab/>
      </w:r>
      <w:r>
        <w:rPr>
          <w:lang w:eastAsia="zh-CN"/>
        </w:rPr>
        <w:t>Method of test</w:t>
      </w:r>
      <w:bookmarkEnd w:id="691"/>
      <w:bookmarkEnd w:id="692"/>
      <w:bookmarkEnd w:id="693"/>
    </w:p>
    <w:p>
      <w:pPr>
        <w:pStyle w:val="6"/>
        <w:rPr>
          <w:lang w:eastAsia="zh-CN"/>
        </w:rPr>
      </w:pPr>
      <w:bookmarkStart w:id="694" w:name="_Toc136851183"/>
      <w:bookmarkStart w:id="695" w:name="_Toc138880614"/>
      <w:bookmarkStart w:id="696" w:name="_Toc138880147"/>
      <w:r>
        <w:rPr>
          <w:lang w:eastAsia="zh-CN"/>
        </w:rPr>
        <w:t>9.7.4.4.1</w:t>
      </w:r>
      <w:r>
        <w:rPr>
          <w:lang w:eastAsia="zh-CN"/>
        </w:rPr>
        <w:tab/>
      </w:r>
      <w:r>
        <w:rPr>
          <w:lang w:eastAsia="zh-CN"/>
        </w:rPr>
        <w:t>Initial conditions</w:t>
      </w:r>
      <w:bookmarkEnd w:id="694"/>
      <w:bookmarkEnd w:id="695"/>
      <w:bookmarkEnd w:id="696"/>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Test environment: normal; see annex B.</w:t>
      </w:r>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RF channels to be tested</w:t>
      </w:r>
      <w:r>
        <w:rPr>
          <w:rFonts w:hint="eastAsia"/>
          <w:color w:val="000000" w:themeColor="text1"/>
          <w:lang w:val="en-US" w:eastAsia="zh-CN"/>
          <w14:textFill>
            <w14:solidFill>
              <w14:schemeClr w14:val="tx1"/>
            </w14:solidFill>
          </w14:textFill>
        </w:rPr>
        <w:t xml:space="preserve"> for </w:t>
      </w:r>
      <w:r>
        <w:rPr>
          <w:color w:val="000000" w:themeColor="text1"/>
          <w:lang w:val="en-US" w:eastAsia="zh-CN"/>
          <w14:textFill>
            <w14:solidFill>
              <w14:schemeClr w14:val="tx1"/>
            </w14:solidFill>
          </w14:textFill>
        </w:rPr>
        <w:t>single carrier</w:t>
      </w:r>
      <w:r>
        <w:rPr>
          <w:color w:val="000000" w:themeColor="text1"/>
          <w:lang w:eastAsia="zh-CN"/>
          <w14:textFill>
            <w14:solidFill>
              <w14:schemeClr w14:val="tx1"/>
            </w14:solidFill>
          </w14:textFill>
        </w:rPr>
        <w:t xml:space="preserve">: </w:t>
      </w:r>
      <w:r>
        <w:rPr>
          <w:color w:val="000000" w:themeColor="text1"/>
          <w:lang w:val="en-US" w:eastAsia="zh-CN"/>
          <w14:textFill>
            <w14:solidFill>
              <w14:schemeClr w14:val="tx1"/>
            </w14:solidFill>
          </w14:textFill>
        </w:rPr>
        <w:t>B, M and T</w:t>
      </w:r>
      <w:r>
        <w:rPr>
          <w:color w:val="000000" w:themeColor="text1"/>
          <w:lang w:eastAsia="zh-CN"/>
          <w14:textFill>
            <w14:solidFill>
              <w14:schemeClr w14:val="tx1"/>
            </w14:solidFill>
          </w14:textFill>
        </w:rPr>
        <w:t>; see clause 4.9.1.</w:t>
      </w:r>
    </w:p>
    <w:p>
      <w:pPr>
        <w:rPr>
          <w:color w:val="000000" w:themeColor="text1"/>
          <w14:textFill>
            <w14:solidFill>
              <w14:schemeClr w14:val="tx1"/>
            </w14:solidFill>
          </w14:textFill>
        </w:rPr>
      </w:pPr>
      <w:r>
        <w:rPr>
          <w:i/>
          <w:color w:val="000000" w:themeColor="text1"/>
          <w14:textFill>
            <w14:solidFill>
              <w14:schemeClr w14:val="tx1"/>
            </w14:solidFill>
          </w14:textFill>
        </w:rPr>
        <w:t>SAN RF bandwidth</w:t>
      </w:r>
      <w:r>
        <w:rPr>
          <w:color w:val="000000" w:themeColor="text1"/>
          <w14:textFill>
            <w14:solidFill>
              <w14:schemeClr w14:val="tx1"/>
            </w14:solidFill>
          </w14:textFill>
        </w:rPr>
        <w:t xml:space="preserve"> positions to be tested for multi-carrier: B</w:t>
      </w:r>
      <w:r>
        <w:rPr>
          <w:color w:val="000000" w:themeColor="text1"/>
          <w:vertAlign w:val="subscript"/>
          <w14:textFill>
            <w14:solidFill>
              <w14:schemeClr w14:val="tx1"/>
            </w14:solidFill>
          </w14:textFill>
        </w:rPr>
        <w:t>RF</w:t>
      </w:r>
      <w:r>
        <w:rPr>
          <w:color w:val="000000" w:themeColor="text1"/>
          <w:vertAlign w:val="subscript"/>
          <w:lang w:eastAsia="zh-CN"/>
          <w14:textFill>
            <w14:solidFill>
              <w14:schemeClr w14:val="tx1"/>
            </w14:solidFill>
          </w14:textFill>
        </w:rPr>
        <w:t>BW</w:t>
      </w:r>
      <w:r>
        <w:rPr>
          <w:rFonts w:hint="eastAsia" w:eastAsia="宋体"/>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M</w:t>
      </w:r>
      <w:r>
        <w:rPr>
          <w:rFonts w:cs="v4.2.0"/>
          <w:color w:val="000000" w:themeColor="text1"/>
          <w:vertAlign w:val="subscript"/>
          <w14:textFill>
            <w14:solidFill>
              <w14:schemeClr w14:val="tx1"/>
            </w14:solidFill>
          </w14:textFill>
        </w:rPr>
        <w:t>RFBW</w:t>
      </w:r>
      <w:r>
        <w:rPr>
          <w:rFonts w:hint="eastAsia" w:eastAsia="宋体" w:cs="v4.2.0"/>
          <w:color w:val="000000" w:themeColor="text1"/>
          <w:vertAlign w:val="subscript"/>
          <w:lang w:val="en-US" w:eastAsia="zh-CN"/>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 xml:space="preserve">and </w:t>
      </w:r>
      <w:r>
        <w:rPr>
          <w:color w:val="000000" w:themeColor="text1"/>
          <w14:textFill>
            <w14:solidFill>
              <w14:schemeClr w14:val="tx1"/>
            </w14:solidFill>
          </w14:textFill>
        </w:rPr>
        <w:t>T</w:t>
      </w:r>
      <w:r>
        <w:rPr>
          <w:color w:val="000000" w:themeColor="text1"/>
          <w:vertAlign w:val="subscript"/>
          <w14:textFill>
            <w14:solidFill>
              <w14:schemeClr w14:val="tx1"/>
            </w14:solidFill>
          </w14:textFill>
        </w:rPr>
        <w:t>RF</w:t>
      </w:r>
      <w:r>
        <w:rPr>
          <w:color w:val="000000" w:themeColor="text1"/>
          <w:vertAlign w:val="subscript"/>
          <w:lang w:eastAsia="zh-CN"/>
          <w14:textFill>
            <w14:solidFill>
              <w14:schemeClr w14:val="tx1"/>
            </w14:solidFill>
          </w14:textFill>
        </w:rPr>
        <w:t xml:space="preserve">BW </w:t>
      </w:r>
      <w:r>
        <w:rPr>
          <w:color w:val="000000" w:themeColor="text1"/>
          <w14:textFill>
            <w14:solidFill>
              <w14:schemeClr w14:val="tx1"/>
            </w14:solidFill>
          </w14:textFill>
        </w:rPr>
        <w:t xml:space="preserve">in single-band operation, see clause 4.9.1. </w:t>
      </w:r>
    </w:p>
    <w:p>
      <w:pPr>
        <w:rPr>
          <w:color w:val="000000" w:themeColor="text1"/>
          <w:lang w:eastAsia="zh-CN"/>
          <w14:textFill>
            <w14:solidFill>
              <w14:schemeClr w14:val="tx1"/>
            </w14:solidFill>
          </w14:textFill>
        </w:rPr>
      </w:pPr>
      <w:r>
        <w:rPr>
          <w:color w:val="000000" w:themeColor="text1"/>
          <w14:textFill>
            <w14:solidFill>
              <w14:schemeClr w14:val="tx1"/>
            </w14:solidFill>
          </w14:textFill>
        </w:rPr>
        <w:t>Directions to be tested: As the requirement is TRP the beam pattern(s) may be set up to optimise the TRP measurement procedure (see TS 38.141-2 [9], annex I) as long as the required TRP level is achieved.</w:t>
      </w:r>
    </w:p>
    <w:p>
      <w:pPr>
        <w:pStyle w:val="6"/>
        <w:rPr>
          <w:lang w:eastAsia="zh-CN"/>
        </w:rPr>
      </w:pPr>
      <w:bookmarkStart w:id="697" w:name="_Toc138880615"/>
      <w:bookmarkStart w:id="698" w:name="_Toc136851184"/>
      <w:bookmarkStart w:id="699" w:name="_Toc138880148"/>
      <w:r>
        <w:rPr>
          <w:lang w:eastAsia="zh-CN"/>
        </w:rPr>
        <w:t>9.7.4.4.2</w:t>
      </w:r>
      <w:r>
        <w:rPr>
          <w:lang w:eastAsia="zh-CN"/>
        </w:rPr>
        <w:tab/>
      </w:r>
      <w:r>
        <w:rPr>
          <w:lang w:eastAsia="zh-CN"/>
        </w:rPr>
        <w:t>Procedure</w:t>
      </w:r>
      <w:bookmarkEnd w:id="697"/>
      <w:bookmarkEnd w:id="698"/>
      <w:bookmarkEnd w:id="699"/>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The following procedure for measuring TRP is based on the directional power measurements as described in </w:t>
      </w:r>
      <w:r>
        <w:rPr>
          <w:color w:val="000000" w:themeColor="text1"/>
          <w14:textFill>
            <w14:solidFill>
              <w14:schemeClr w14:val="tx1"/>
            </w14:solidFill>
          </w14:textFill>
        </w:rPr>
        <w:t>TS 38.141-2 [9], annex I</w:t>
      </w:r>
      <w:r>
        <w:rPr>
          <w:color w:val="000000" w:themeColor="text1"/>
          <w:lang w:eastAsia="zh-CN"/>
          <w14:textFill>
            <w14:solidFill>
              <w14:schemeClr w14:val="tx1"/>
            </w14:solidFill>
          </w14:textFill>
        </w:rPr>
        <w:t xml:space="preserve">. An alternative method to measure TRP is to use a </w:t>
      </w:r>
      <w:r>
        <w:rPr>
          <w:color w:val="000000" w:themeColor="text1"/>
          <w14:textFill>
            <w14:solidFill>
              <w14:schemeClr w14:val="tx1"/>
            </w14:solidFill>
          </w14:textFill>
        </w:rPr>
        <w:t xml:space="preserve">characterized and calibrated </w:t>
      </w:r>
      <w:r>
        <w:rPr>
          <w:color w:val="000000" w:themeColor="text1"/>
          <w:lang w:eastAsia="zh-CN"/>
          <w14:textFill>
            <w14:solidFill>
              <w14:schemeClr w14:val="tx1"/>
            </w14:solidFill>
          </w14:textFill>
        </w:rPr>
        <w:t>reverberation chamber if so follow steps 1, 3, 4, 6.</w:t>
      </w:r>
    </w:p>
    <w:p>
      <w:pPr>
        <w:pStyle w:val="75"/>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Place the SAN at the positioner.</w:t>
      </w:r>
    </w:p>
    <w:p>
      <w:pPr>
        <w:pStyle w:val="75"/>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Align the manufacturer declared coordinate system orientation (D.</w:t>
      </w:r>
      <w:r>
        <w:rPr>
          <w:rFonts w:hint="eastAsia" w:eastAsiaTheme="minorEastAsia"/>
          <w:color w:val="000000" w:themeColor="text1"/>
          <w:lang w:eastAsia="zh-CN"/>
          <w14:textFill>
            <w14:solidFill>
              <w14:schemeClr w14:val="tx1"/>
            </w14:solidFill>
          </w14:textFill>
        </w:rPr>
        <w:t>2</w:t>
      </w:r>
      <w:r>
        <w:rPr>
          <w:color w:val="000000" w:themeColor="text1"/>
          <w14:textFill>
            <w14:solidFill>
              <w14:schemeClr w14:val="tx1"/>
            </w14:solidFill>
          </w14:textFill>
        </w:rPr>
        <w:t>) of the SAN with the test system.</w:t>
      </w:r>
    </w:p>
    <w:p>
      <w:pPr>
        <w:pStyle w:val="75"/>
        <w:rPr>
          <w:color w:val="000000" w:themeColor="text1"/>
          <w:lang w:val="en-US"/>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lang w:val="en-US"/>
          <w14:textFill>
            <w14:solidFill>
              <w14:schemeClr w14:val="tx1"/>
            </w14:solidFill>
          </w14:textFill>
        </w:rPr>
        <w:t>The measurement devices characteristics shall be:</w:t>
      </w:r>
    </w:p>
    <w:p>
      <w:pPr>
        <w:pStyle w:val="76"/>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Measurement filter bandwidth: as defined in clause 9.7.4.5.</w:t>
      </w:r>
    </w:p>
    <w:p>
      <w:pPr>
        <w:pStyle w:val="76"/>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Detection mode: true RMS voltage or true power averaging.</w:t>
      </w:r>
    </w:p>
    <w:p>
      <w:pPr>
        <w:pStyle w:val="75"/>
        <w:rPr>
          <w:color w:val="000000" w:themeColor="text1"/>
          <w14:textFill>
            <w14:solidFill>
              <w14:schemeClr w14:val="tx1"/>
            </w14:solidFill>
          </w14:textFill>
        </w:rPr>
      </w:pPr>
      <w:r>
        <w:rPr>
          <w:color w:val="000000" w:themeColor="text1"/>
          <w:lang w:val="en-US"/>
          <w14:textFill>
            <w14:solidFill>
              <w14:schemeClr w14:val="tx1"/>
            </w14:solidFill>
          </w14:textFill>
        </w:rPr>
        <w:tab/>
      </w:r>
      <w:r>
        <w:rPr>
          <w:color w:val="000000" w:themeColor="text1"/>
          <w14:textFill>
            <w14:solidFill>
              <w14:schemeClr w14:val="tx1"/>
            </w14:solidFill>
          </w14:textFill>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75"/>
        <w:rPr>
          <w:color w:val="000000" w:themeColor="text1"/>
          <w:lang w:val="en-US"/>
          <w14:textFill>
            <w14:solidFill>
              <w14:schemeClr w14:val="tx1"/>
            </w14:solidFill>
          </w14:textFill>
        </w:rPr>
      </w:pPr>
      <w:r>
        <w:rPr>
          <w:color w:val="000000" w:themeColor="text1"/>
          <w14:textFill>
            <w14:solidFill>
              <w14:schemeClr w14:val="tx1"/>
            </w14:solidFill>
          </w14:textFill>
        </w:rPr>
        <w:tab/>
      </w:r>
      <w:r>
        <w:rPr>
          <w:color w:val="000000" w:themeColor="text1"/>
          <w14:textFill>
            <w14:solidFill>
              <w14:schemeClr w14:val="tx1"/>
            </w14:solidFill>
          </w14:textFill>
        </w:rPr>
        <w:t>The emission power should be averaged over an appropriate time duration to ensure the measurement is within the measurement uncertainty in table 4.1.2.2-</w:t>
      </w:r>
      <w:r>
        <w:rPr>
          <w:rFonts w:hint="eastAsia" w:eastAsiaTheme="minorEastAsia"/>
          <w:color w:val="000000" w:themeColor="text1"/>
          <w:lang w:eastAsia="zh-CN"/>
          <w14:textFill>
            <w14:solidFill>
              <w14:schemeClr w14:val="tx1"/>
            </w14:solidFill>
          </w14:textFill>
        </w:rPr>
        <w:t>2</w:t>
      </w:r>
      <w:r>
        <w:rPr>
          <w:color w:val="000000" w:themeColor="text1"/>
          <w14:textFill>
            <w14:solidFill>
              <w14:schemeClr w14:val="tx1"/>
            </w14:solidFill>
          </w14:textFill>
        </w:rPr>
        <w:t>.</w:t>
      </w:r>
    </w:p>
    <w:p>
      <w:pPr>
        <w:pStyle w:val="75"/>
        <w:rPr>
          <w:color w:val="000000" w:themeColor="text1"/>
          <w14:textFill>
            <w14:solidFill>
              <w14:schemeClr w14:val="tx1"/>
            </w14:solidFill>
          </w14:textFill>
        </w:rPr>
      </w:pPr>
      <w:r>
        <w:rPr>
          <w:color w:val="000000" w:themeColor="text1"/>
          <w:lang w:val="en-US"/>
          <w14:textFill>
            <w14:solidFill>
              <w14:schemeClr w14:val="tx1"/>
            </w14:solidFill>
          </w14:textFill>
        </w:rPr>
        <w:t>4</w:t>
      </w: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lang w:val="en-US"/>
          <w14:textFill>
            <w14:solidFill>
              <w14:schemeClr w14:val="tx1"/>
            </w14:solidFill>
          </w14:textFill>
        </w:rPr>
        <w:t>For single carrier operation, s</w:t>
      </w:r>
      <w:r>
        <w:rPr>
          <w:color w:val="000000" w:themeColor="text1"/>
          <w14:textFill>
            <w14:solidFill>
              <w14:schemeClr w14:val="tx1"/>
            </w14:solidFill>
          </w14:textFill>
        </w:rPr>
        <w:t>et the SAN to transmit according to the applicable test configuration in clause 4.8 using the corresponding test model(s) in clause 4.9.2</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 xml:space="preserve">at manufacturers declared </w:t>
      </w:r>
      <w:r>
        <w:rPr>
          <w:i/>
          <w:color w:val="000000" w:themeColor="text1"/>
          <w14:textFill>
            <w14:solidFill>
              <w14:schemeClr w14:val="tx1"/>
            </w14:solidFill>
          </w14:textFill>
        </w:rPr>
        <w:t xml:space="preserve">rated carrier TRP output power </w:t>
      </w:r>
      <w:r>
        <w:rPr>
          <w:color w:val="000000" w:themeColor="text1"/>
          <w14:textFill>
            <w14:solidFill>
              <w14:schemeClr w14:val="tx1"/>
            </w14:solidFill>
          </w14:textFill>
        </w:rPr>
        <w:t>declared</w:t>
      </w:r>
      <w:r>
        <w:rPr>
          <w:i/>
          <w:color w:val="000000" w:themeColor="text1"/>
          <w14:textFill>
            <w14:solidFill>
              <w14:schemeClr w14:val="tx1"/>
            </w14:solidFill>
          </w14:textFill>
        </w:rPr>
        <w:t xml:space="preserve"> </w:t>
      </w:r>
      <w:r>
        <w:rPr>
          <w:color w:val="000000" w:themeColor="text1"/>
          <w14:textFill>
            <w14:solidFill>
              <w14:schemeClr w14:val="tx1"/>
            </w14:solidFill>
          </w14:textFill>
        </w:rPr>
        <w:t>per RIB (P</w:t>
      </w:r>
      <w:r>
        <w:rPr>
          <w:color w:val="000000" w:themeColor="text1"/>
          <w:vertAlign w:val="subscript"/>
          <w14:textFill>
            <w14:solidFill>
              <w14:schemeClr w14:val="tx1"/>
            </w14:solidFill>
          </w14:textFill>
        </w:rPr>
        <w:t>rated,c,TRP</w:t>
      </w:r>
      <w:r>
        <w:rPr>
          <w:color w:val="000000" w:themeColor="text1"/>
          <w14:textFill>
            <w14:solidFill>
              <w14:schemeClr w14:val="tx1"/>
            </w14:solidFill>
          </w14:textFill>
        </w:rPr>
        <w:t>).</w:t>
      </w:r>
    </w:p>
    <w:p>
      <w:pPr>
        <w:pStyle w:val="75"/>
        <w:rPr>
          <w:color w:val="000000" w:themeColor="text1"/>
          <w14:textFill>
            <w14:solidFill>
              <w14:schemeClr w14:val="tx1"/>
            </w14:solidFill>
          </w14:textFill>
        </w:rPr>
      </w:pPr>
      <w:r>
        <w:rPr>
          <w:color w:val="000000" w:themeColor="text1"/>
          <w14:textFill>
            <w14:solidFill>
              <w14:schemeClr w14:val="tx1"/>
            </w14:solidFill>
          </w14:textFill>
        </w:rPr>
        <w:tab/>
      </w:r>
      <w:r>
        <w:rPr>
          <w:color w:val="000000" w:themeColor="text1"/>
          <w14:textFill>
            <w14:solidFill>
              <w14:schemeClr w14:val="tx1"/>
            </w14:solidFill>
          </w14:textFill>
        </w:rPr>
        <w:t xml:space="preserve">For a SAN declared to be capable of multi-carrier operation, use the applicable test signal configuration and corresponding power setting specified in clause 4.7.2 </w:t>
      </w:r>
      <w:r>
        <w:rPr>
          <w:rFonts w:hint="eastAsia"/>
          <w:color w:val="000000" w:themeColor="text1"/>
          <w:lang w:val="en-US" w:eastAsia="zh-CN"/>
          <w14:textFill>
            <w14:solidFill>
              <w14:schemeClr w14:val="tx1"/>
            </w14:solidFill>
          </w14:textFill>
        </w:rPr>
        <w:t xml:space="preserve">and 4.8 using </w:t>
      </w:r>
      <w:r>
        <w:rPr>
          <w:color w:val="000000" w:themeColor="text1"/>
          <w14:textFill>
            <w14:solidFill>
              <w14:schemeClr w14:val="tx1"/>
            </w14:solidFill>
          </w14:textFill>
        </w:rPr>
        <w:t>the corresponding test model(s) in clause 4.9.2</w:t>
      </w:r>
      <w:r>
        <w:rPr>
          <w:rFonts w:hint="eastAsia"/>
          <w:color w:val="000000" w:themeColor="text1"/>
          <w:lang w:val="en-US" w:eastAsia="zh-CN"/>
          <w14:textFill>
            <w14:solidFill>
              <w14:schemeClr w14:val="tx1"/>
            </w14:solidFill>
          </w14:textFill>
        </w:rPr>
        <w:t xml:space="preserve"> </w:t>
      </w:r>
      <w:r>
        <w:rPr>
          <w:snapToGrid w:val="0"/>
          <w:color w:val="000000" w:themeColor="text1"/>
          <w14:textFill>
            <w14:solidFill>
              <w14:schemeClr w14:val="tx1"/>
            </w14:solidFill>
          </w14:textFill>
        </w:rPr>
        <w:t>on all carriers configured</w:t>
      </w:r>
      <w:r>
        <w:rPr>
          <w:color w:val="000000" w:themeColor="text1"/>
          <w14:textFill>
            <w14:solidFill>
              <w14:schemeClr w14:val="tx1"/>
            </w14:solidFill>
          </w14:textFill>
        </w:rPr>
        <w:t>.</w:t>
      </w:r>
    </w:p>
    <w:p>
      <w:pPr>
        <w:pStyle w:val="75"/>
        <w:rPr>
          <w:color w:val="000000" w:themeColor="text1"/>
          <w14:textFill>
            <w14:solidFill>
              <w14:schemeClr w14:val="tx1"/>
            </w14:solidFill>
          </w14:textFill>
        </w:rPr>
      </w:pPr>
      <w:r>
        <w:rPr>
          <w:color w:val="000000" w:themeColor="text1"/>
          <w14:textFill>
            <w14:solidFill>
              <w14:schemeClr w14:val="tx1"/>
            </w14:solidFill>
          </w14:textFill>
        </w:rPr>
        <w:t>5) Orient the positioner (and SAN) in order that the direction to be tested aligns with the test antenna such that measurements to determine TRP can be performed (see TS 38.141-2 [9], annex I).</w:t>
      </w:r>
    </w:p>
    <w:p>
      <w:pPr>
        <w:pStyle w:val="75"/>
        <w:rPr>
          <w:strike/>
          <w:color w:val="000000" w:themeColor="text1"/>
          <w14:textFill>
            <w14:solidFill>
              <w14:schemeClr w14:val="tx1"/>
            </w14:solidFill>
          </w14:textFill>
        </w:rPr>
      </w:pPr>
      <w:r>
        <w:rPr>
          <w:color w:val="000000" w:themeColor="text1"/>
          <w14:textFill>
            <w14:solidFill>
              <w14:schemeClr w14:val="tx1"/>
            </w14:solidFill>
          </w14:textFill>
        </w:rPr>
        <w:t>6)</w:t>
      </w:r>
      <w:r>
        <w:rPr>
          <w:color w:val="000000" w:themeColor="text1"/>
          <w14:textFill>
            <w14:solidFill>
              <w14:schemeClr w14:val="tx1"/>
            </w14:solidFill>
          </w14:textFill>
        </w:rPr>
        <w:tab/>
      </w:r>
      <w:r>
        <w:rPr>
          <w:color w:val="000000" w:themeColor="text1"/>
          <w:lang w:val="en-US"/>
          <w14:textFill>
            <w14:solidFill>
              <w14:schemeClr w14:val="tx1"/>
            </w14:solidFill>
          </w14:textFill>
        </w:rPr>
        <w:t>Sweep the centre frequency of the measurement filter in contiguous steps and m</w:t>
      </w:r>
      <w:r>
        <w:rPr>
          <w:color w:val="000000" w:themeColor="text1"/>
          <w14:textFill>
            <w14:solidFill>
              <w14:schemeClr w14:val="tx1"/>
            </w14:solidFill>
          </w14:textFill>
        </w:rPr>
        <w:t xml:space="preserve">easure </w:t>
      </w:r>
      <w:r>
        <w:rPr>
          <w:color w:val="000000" w:themeColor="text1"/>
          <w:lang w:val="en-US"/>
          <w14:textFill>
            <w14:solidFill>
              <w14:schemeClr w14:val="tx1"/>
            </w14:solidFill>
          </w14:textFill>
        </w:rPr>
        <w:t>emission power within the specified frequency ranges with the specified measurement bandwidth.</w:t>
      </w:r>
    </w:p>
    <w:p>
      <w:pPr>
        <w:pStyle w:val="75"/>
        <w:rPr>
          <w:color w:val="000000" w:themeColor="text1"/>
          <w14:textFill>
            <w14:solidFill>
              <w14:schemeClr w14:val="tx1"/>
            </w14:solidFill>
          </w14:textFill>
        </w:rPr>
      </w:pPr>
      <w:r>
        <w:rPr>
          <w:color w:val="000000" w:themeColor="text1"/>
          <w14:textFill>
            <w14:solidFill>
              <w14:schemeClr w14:val="tx1"/>
            </w14:solidFill>
          </w14:textFill>
        </w:rPr>
        <w:t>7)</w:t>
      </w:r>
      <w:r>
        <w:rPr>
          <w:color w:val="000000" w:themeColor="text1"/>
          <w14:textFill>
            <w14:solidFill>
              <w14:schemeClr w14:val="tx1"/>
            </w14:solidFill>
          </w14:textFill>
        </w:rPr>
        <w:tab/>
      </w:r>
      <w:r>
        <w:rPr>
          <w:color w:val="000000" w:themeColor="text1"/>
          <w14:textFill>
            <w14:solidFill>
              <w14:schemeClr w14:val="tx1"/>
            </w14:solidFill>
          </w14:textFill>
        </w:rPr>
        <w:t xml:space="preserve">Repeat step </w:t>
      </w:r>
      <w:r>
        <w:rPr>
          <w:color w:val="000000" w:themeColor="text1"/>
          <w:lang w:val="en-US"/>
          <w14:textFill>
            <w14:solidFill>
              <w14:schemeClr w14:val="tx1"/>
            </w14:solidFill>
          </w14:textFill>
        </w:rPr>
        <w:t xml:space="preserve">5-6 </w:t>
      </w:r>
      <w:r>
        <w:rPr>
          <w:color w:val="000000" w:themeColor="text1"/>
          <w14:textFill>
            <w14:solidFill>
              <w14:schemeClr w14:val="tx1"/>
            </w14:solidFill>
          </w14:textFill>
        </w:rPr>
        <w:t>for all directions in the appropriated TRP measurement grid needed for TRP</w:t>
      </w:r>
      <w:r>
        <w:rPr>
          <w:color w:val="000000" w:themeColor="text1"/>
          <w:vertAlign w:val="subscript"/>
          <w14:textFill>
            <w14:solidFill>
              <w14:schemeClr w14:val="tx1"/>
            </w14:solidFill>
          </w14:textFill>
        </w:rPr>
        <w:t>Estimate</w:t>
      </w:r>
      <w:r>
        <w:rPr>
          <w:color w:val="000000" w:themeColor="text1"/>
          <w14:textFill>
            <w14:solidFill>
              <w14:schemeClr w14:val="tx1"/>
            </w14:solidFill>
          </w14:textFill>
        </w:rPr>
        <w:t xml:space="preserve"> (see TS 38.141-2 [9], annex I).</w:t>
      </w:r>
    </w:p>
    <w:p>
      <w:pPr>
        <w:pStyle w:val="75"/>
        <w:rPr>
          <w:color w:val="000000" w:themeColor="text1"/>
          <w14:textFill>
            <w14:solidFill>
              <w14:schemeClr w14:val="tx1"/>
            </w14:solidFill>
          </w14:textFill>
        </w:rPr>
      </w:pPr>
      <w:r>
        <w:rPr>
          <w:color w:val="000000" w:themeColor="text1"/>
          <w14:textFill>
            <w14:solidFill>
              <w14:schemeClr w14:val="tx1"/>
            </w14:solidFill>
          </w14:textFill>
        </w:rPr>
        <w:t>8)</w:t>
      </w:r>
      <w:r>
        <w:rPr>
          <w:color w:val="000000" w:themeColor="text1"/>
          <w14:textFill>
            <w14:solidFill>
              <w14:schemeClr w14:val="tx1"/>
            </w14:solidFill>
          </w14:textFill>
        </w:rPr>
        <w:tab/>
      </w:r>
      <w:r>
        <w:rPr>
          <w:color w:val="000000" w:themeColor="text1"/>
          <w14:textFill>
            <w14:solidFill>
              <w14:schemeClr w14:val="tx1"/>
            </w14:solidFill>
          </w14:textFill>
        </w:rPr>
        <w:t>Calculate TRP</w:t>
      </w:r>
      <w:r>
        <w:rPr>
          <w:color w:val="000000" w:themeColor="text1"/>
          <w:vertAlign w:val="subscript"/>
          <w14:textFill>
            <w14:solidFill>
              <w14:schemeClr w14:val="tx1"/>
            </w14:solidFill>
          </w14:textFill>
        </w:rPr>
        <w:t>Estimate</w:t>
      </w:r>
      <w:r>
        <w:rPr>
          <w:color w:val="000000" w:themeColor="text1"/>
          <w14:textFill>
            <w14:solidFill>
              <w14:schemeClr w14:val="tx1"/>
            </w14:solidFill>
          </w14:textFill>
        </w:rPr>
        <w:t xml:space="preserve"> using the measurements made in step 6.</w:t>
      </w:r>
    </w:p>
    <w:p>
      <w:pPr>
        <w:pStyle w:val="5"/>
        <w:rPr>
          <w:lang w:eastAsia="zh-CN"/>
        </w:rPr>
      </w:pPr>
      <w:bookmarkStart w:id="700" w:name="_Toc138880616"/>
      <w:bookmarkStart w:id="701" w:name="_Toc138880149"/>
      <w:bookmarkStart w:id="702" w:name="_Toc136851185"/>
      <w:r>
        <w:rPr>
          <w:lang w:eastAsia="zh-CN"/>
        </w:rPr>
        <w:t>9.7.4.5</w:t>
      </w:r>
      <w:r>
        <w:rPr>
          <w:lang w:eastAsia="zh-CN"/>
        </w:rPr>
        <w:tab/>
      </w:r>
      <w:r>
        <w:rPr>
          <w:lang w:eastAsia="zh-CN"/>
        </w:rPr>
        <w:t>Test requirements</w:t>
      </w:r>
      <w:bookmarkEnd w:id="700"/>
      <w:bookmarkEnd w:id="701"/>
      <w:bookmarkEnd w:id="702"/>
    </w:p>
    <w:p>
      <w:pPr>
        <w:rPr>
          <w:color w:val="000000" w:themeColor="text1"/>
          <w14:textFill>
            <w14:solidFill>
              <w14:schemeClr w14:val="tx1"/>
            </w14:solidFill>
          </w14:textFill>
        </w:rPr>
      </w:pPr>
      <w:r>
        <w:rPr>
          <w:color w:val="000000" w:themeColor="text1"/>
          <w14:textFill>
            <w14:solidFill>
              <w14:schemeClr w14:val="tx1"/>
            </w14:solidFill>
          </w14:textFill>
        </w:rPr>
        <w:t xml:space="preserve">The OTA operating band unwanted emission requirement for </w:t>
      </w:r>
      <w:r>
        <w:rPr>
          <w:i/>
          <w:color w:val="000000" w:themeColor="text1"/>
          <w14:textFill>
            <w14:solidFill>
              <w14:schemeClr w14:val="tx1"/>
            </w14:solidFill>
          </w14:textFill>
        </w:rPr>
        <w:t>SAN type 1-O</w:t>
      </w:r>
      <w:r>
        <w:rPr>
          <w:color w:val="000000" w:themeColor="text1"/>
          <w14:textFill>
            <w14:solidFill>
              <w14:schemeClr w14:val="tx1"/>
            </w14:solidFill>
          </w14:textFill>
        </w:rPr>
        <w:t xml:space="preserve"> shall not exceed the limit in table 9.7.4.5-1.</w:t>
      </w:r>
    </w:p>
    <w:p>
      <w:pPr>
        <w:pStyle w:val="55"/>
        <w:rPr>
          <w:rFonts w:cs="Arial"/>
          <w:b w:val="0"/>
          <w:lang w:val="en-US"/>
        </w:rPr>
      </w:pPr>
      <w:r>
        <w:rPr>
          <w:rFonts w:cs="Arial"/>
          <w:lang w:val="en-US"/>
        </w:rPr>
        <w:t xml:space="preserve">Table 9.7.4.5-1: SAN LEO and </w:t>
      </w:r>
      <w:r>
        <w:rPr>
          <w:rFonts w:cs="Arial"/>
          <w:lang w:val="en-US" w:eastAsia="zh-CN"/>
        </w:rPr>
        <w:t>GEO</w:t>
      </w:r>
      <w:r>
        <w:rPr>
          <w:rFonts w:cs="Arial"/>
          <w:lang w:val="en-US"/>
        </w:rPr>
        <w:t xml:space="preserve"> operating band unwanted emission limits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6"/>
        <w:gridCol w:w="1727"/>
        <w:gridCol w:w="5081"/>
        <w:gridCol w:w="14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0" w:type="pct"/>
            <w:tcBorders>
              <w:top w:val="single" w:color="auto" w:sz="4" w:space="0"/>
              <w:left w:val="single" w:color="auto" w:sz="4" w:space="0"/>
              <w:bottom w:val="single" w:color="auto" w:sz="4" w:space="0"/>
              <w:right w:val="single" w:color="auto" w:sz="4" w:space="0"/>
            </w:tcBorders>
          </w:tcPr>
          <w:p>
            <w:pPr>
              <w:pStyle w:val="51"/>
              <w:rPr>
                <w:lang w:val="en-US"/>
              </w:rPr>
            </w:pPr>
            <w:r>
              <w:rPr>
                <w:lang w:val="en-US"/>
              </w:rPr>
              <w:t xml:space="preserve">Frequency offset of measurement filter </w:t>
            </w:r>
            <w:r>
              <w:rPr>
                <w:lang w:val="en-US"/>
              </w:rPr>
              <w:noBreakHyphen/>
            </w:r>
            <w:r>
              <w:rPr>
                <w:lang w:val="en-US"/>
              </w:rPr>
              <w:t xml:space="preserve">3dB point, </w:t>
            </w:r>
            <w:r>
              <w:rPr/>
              <w:sym w:font="Symbol" w:char="F044"/>
            </w:r>
            <w:r>
              <w:rPr>
                <w:lang w:val="en-US"/>
              </w:rPr>
              <w:t>f</w:t>
            </w:r>
          </w:p>
        </w:tc>
        <w:tc>
          <w:tcPr>
            <w:tcW w:w="876" w:type="pct"/>
            <w:tcBorders>
              <w:top w:val="single" w:color="auto" w:sz="4" w:space="0"/>
              <w:left w:val="single" w:color="auto" w:sz="4" w:space="0"/>
              <w:bottom w:val="single" w:color="auto" w:sz="4" w:space="0"/>
              <w:right w:val="single" w:color="auto" w:sz="4" w:space="0"/>
            </w:tcBorders>
          </w:tcPr>
          <w:p>
            <w:pPr>
              <w:pStyle w:val="51"/>
              <w:rPr>
                <w:lang w:val="en-US"/>
              </w:rPr>
            </w:pPr>
            <w:r>
              <w:rPr>
                <w:lang w:val="en-US"/>
              </w:rPr>
              <w:t>Frequency offset of measurement filter centre frequency, f_offset</w:t>
            </w:r>
          </w:p>
        </w:tc>
        <w:tc>
          <w:tcPr>
            <w:tcW w:w="2578" w:type="pct"/>
            <w:tcBorders>
              <w:top w:val="single" w:color="auto" w:sz="4" w:space="0"/>
              <w:left w:val="single" w:color="auto" w:sz="4" w:space="0"/>
              <w:bottom w:val="single" w:color="auto" w:sz="4" w:space="0"/>
              <w:right w:val="single" w:color="auto" w:sz="4" w:space="0"/>
            </w:tcBorders>
          </w:tcPr>
          <w:p>
            <w:pPr>
              <w:pStyle w:val="51"/>
            </w:pPr>
            <w:r>
              <w:rPr>
                <w:lang w:eastAsia="zh-CN"/>
              </w:rPr>
              <w:t>Basic Limits</w:t>
            </w:r>
          </w:p>
          <w:p>
            <w:pPr>
              <w:pStyle w:val="51"/>
            </w:pPr>
            <w:r>
              <w:t>(dBm)</w:t>
            </w:r>
          </w:p>
        </w:tc>
        <w:tc>
          <w:tcPr>
            <w:tcW w:w="736" w:type="pct"/>
            <w:tcBorders>
              <w:top w:val="single" w:color="auto" w:sz="4" w:space="0"/>
              <w:left w:val="single" w:color="auto" w:sz="4" w:space="0"/>
              <w:bottom w:val="single" w:color="auto" w:sz="4" w:space="0"/>
              <w:right w:val="single" w:color="auto" w:sz="4" w:space="0"/>
            </w:tcBorders>
          </w:tcPr>
          <w:p>
            <w:pPr>
              <w:pStyle w:val="51"/>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10" w:type="pct"/>
            <w:tcBorders>
              <w:top w:val="single" w:color="auto" w:sz="4" w:space="0"/>
              <w:left w:val="single" w:color="auto" w:sz="4" w:space="0"/>
              <w:bottom w:val="single" w:color="auto" w:sz="4" w:space="0"/>
              <w:right w:val="single" w:color="auto" w:sz="4" w:space="0"/>
            </w:tcBorders>
            <w:vAlign w:val="center"/>
          </w:tcPr>
          <w:p>
            <w:pPr>
              <w:pStyle w:val="52"/>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r>
              <w:rPr>
                <w:rFonts w:cs="v5.0.0"/>
                <w:vertAlign w:val="subscript"/>
              </w:rPr>
              <w:t>Channel</w:t>
            </w:r>
          </w:p>
        </w:tc>
        <w:tc>
          <w:tcPr>
            <w:tcW w:w="876" w:type="pct"/>
            <w:tcBorders>
              <w:top w:val="single" w:color="auto" w:sz="4" w:space="0"/>
              <w:left w:val="single" w:color="auto" w:sz="4" w:space="0"/>
              <w:bottom w:val="single" w:color="auto" w:sz="4" w:space="0"/>
              <w:right w:val="single" w:color="auto" w:sz="4" w:space="0"/>
            </w:tcBorders>
            <w:vAlign w:val="center"/>
          </w:tcPr>
          <w:p>
            <w:pPr>
              <w:pStyle w:val="52"/>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r>
              <w:rPr>
                <w:rFonts w:cs="v5.0.0"/>
                <w:vertAlign w:val="subscript"/>
                <w:lang w:val="en-US"/>
              </w:rPr>
              <w:t>Channel</w:t>
            </w:r>
            <w:r>
              <w:rPr>
                <w:rFonts w:cs="v5.0.0"/>
                <w:lang w:val="en-US"/>
              </w:rPr>
              <w:t xml:space="preserve"> + 0.002 MHz</w:t>
            </w:r>
          </w:p>
        </w:tc>
        <w:tc>
          <w:tcPr>
            <w:tcW w:w="2578" w:type="pct"/>
            <w:tcBorders>
              <w:top w:val="single" w:color="auto" w:sz="4" w:space="0"/>
              <w:left w:val="single" w:color="auto" w:sz="4" w:space="0"/>
              <w:bottom w:val="single" w:color="auto" w:sz="4" w:space="0"/>
              <w:right w:val="single" w:color="auto" w:sz="4" w:space="0"/>
            </w:tcBorders>
            <w:vAlign w:val="center"/>
          </w:tcPr>
          <w:p>
            <w:pPr>
              <w:pStyle w:val="52"/>
              <w:rPr>
                <w:sz w:val="16"/>
                <w:lang w:eastAsia="ja-JP"/>
              </w:rPr>
            </w:pPr>
            <w:r>
              <w:rPr>
                <w:rFonts w:hint="eastAsia" w:cs="v5.0.0"/>
                <w:sz w:val="16"/>
                <w:lang w:eastAsia="ja-JP"/>
              </w:rPr>
              <w:t>[</w:t>
            </w:r>
            <m:oMath>
              <m:r>
                <m:rPr/>
                <w:rPr>
                  <w:rFonts w:ascii="Cambria Math" w:hAnsi="Cambria Math"/>
                  <w:sz w:val="16"/>
                  <w:lang w:eastAsia="zh-CN"/>
                </w:rPr>
                <m:t>max</m:t>
              </m:r>
              <m:d>
                <m:dPr>
                  <m:ctrlPr>
                    <w:rPr>
                      <w:rFonts w:ascii="Cambria Math" w:hAnsi="Cambria Math"/>
                      <w:i/>
                      <w:sz w:val="16"/>
                      <w:lang w:eastAsia="zh-CN"/>
                    </w:rPr>
                  </m:ctrlPr>
                </m:dPr>
                <m:e>
                  <m:r>
                    <m:rPr/>
                    <w:rPr>
                      <w:rFonts w:ascii="Cambria Math" w:hAnsi="Cambria Math"/>
                      <w:sz w:val="16"/>
                      <w:lang w:eastAsia="zh-CN"/>
                    </w:rPr>
                    <m:t xml:space="preserve">SE limit, </m:t>
                  </m:r>
                  <m:sSub>
                    <m:sSubPr>
                      <m:ctrlPr>
                        <w:rPr>
                          <w:rFonts w:ascii="Cambria Math" w:hAnsi="Cambria Math"/>
                          <w:i/>
                          <w:sz w:val="16"/>
                          <w:lang w:eastAsia="zh-CN"/>
                        </w:rPr>
                      </m:ctrlPr>
                    </m:sSubPr>
                    <m:e>
                      <m:r>
                        <m:rPr/>
                        <w:rPr>
                          <w:rFonts w:ascii="Cambria Math" w:hAnsi="Cambria Math"/>
                          <w:sz w:val="16"/>
                          <w:lang w:eastAsia="zh-CN"/>
                        </w:rPr>
                        <m:t xml:space="preserve"> PSD</m:t>
                      </m:r>
                      <m:ctrlPr>
                        <w:rPr>
                          <w:rFonts w:ascii="Cambria Math" w:hAnsi="Cambria Math"/>
                          <w:i/>
                          <w:sz w:val="16"/>
                          <w:lang w:eastAsia="zh-CN"/>
                        </w:rPr>
                      </m:ctrlPr>
                    </m:e>
                    <m:sub>
                      <w:ins w:id="124" w:author="liyankun" w:date="2023-08-11T11:45:37Z">
                        <m:r>
                          <m:rPr>
                            <m:sty m:val="p"/>
                          </m:rPr>
                          <w:rPr>
                            <w:rFonts w:hint="eastAsia" w:eastAsia="宋体"/>
                            <w:vertAlign w:val="subscript"/>
                            <w:lang w:val="en-US" w:eastAsia="zh-CN"/>
                          </w:rPr>
                          <m:t>Necessary</m:t>
                        </m:r>
                      </w:ins>
                      <w:del w:id="125" w:author="liyankun" w:date="2023-08-11T11:45:37Z">
                        <m:r>
                          <m:rPr>
                            <m:sty m:val="p"/>
                          </m:rPr>
                          <w:rPr>
                            <w:rFonts w:ascii="Cambria Math" w:hAnsi="Cambria Math"/>
                            <w:sz w:val="16"/>
                            <w:lang w:eastAsia="zh-CN"/>
                          </w:rPr>
                          <m:t>C</m:t>
                        </m:r>
                      </w:del>
                      <w:del w:id="126" w:author="liyankun" w:date="2023-08-11T11:45:37Z">
                        <m:r>
                          <m:rPr/>
                          <w:rPr>
                            <w:rFonts w:ascii="Cambria Math" w:hAnsi="Cambria Math"/>
                            <w:sz w:val="16"/>
                            <w:lang w:eastAsia="zh-CN"/>
                          </w:rPr>
                          <m:t>ℎannel</m:t>
                        </m:r>
                      </w:del>
                      <m:ctrlPr>
                        <w:rPr>
                          <w:rFonts w:ascii="Cambria Math" w:hAnsi="Cambria Math"/>
                          <w:i/>
                          <w:sz w:val="16"/>
                          <w:lang w:eastAsia="zh-CN"/>
                        </w:rPr>
                      </m:ctrlPr>
                    </m:sub>
                  </m:sSub>
                  <m:r>
                    <m:rPr/>
                    <w:rPr>
                      <w:rFonts w:ascii="Cambria Math" w:hAnsi="Cambria Math"/>
                      <w:sz w:val="16"/>
                      <w:lang w:eastAsia="zh-CN"/>
                    </w:rPr>
                    <m:t xml:space="preserve">  – </m:t>
                  </m:r>
                  <m:sSub>
                    <m:sSubPr>
                      <m:ctrlPr>
                        <w:rPr>
                          <w:rFonts w:ascii="Cambria Math" w:hAnsi="Cambria Math"/>
                          <w:i/>
                          <w:sz w:val="16"/>
                          <w:lang w:eastAsia="zh-CN"/>
                        </w:rPr>
                      </m:ctrlPr>
                    </m:sSubPr>
                    <m:e>
                      <m:r>
                        <m:rPr/>
                        <w:rPr>
                          <w:rFonts w:ascii="Cambria Math" w:hAnsi="Cambria Math"/>
                          <w:sz w:val="16"/>
                          <w:lang w:eastAsia="zh-CN"/>
                        </w:rPr>
                        <m:t>Δ</m:t>
                      </m:r>
                      <m:ctrlPr>
                        <w:rPr>
                          <w:rFonts w:ascii="Cambria Math" w:hAnsi="Cambria Math"/>
                          <w:i/>
                          <w:sz w:val="16"/>
                          <w:lang w:eastAsia="zh-CN"/>
                        </w:rPr>
                      </m:ctrlPr>
                    </m:e>
                    <m:sub>
                      <m:r>
                        <m:rPr/>
                        <w:rPr>
                          <w:rFonts w:ascii="Cambria Math" w:hAnsi="Cambria Math"/>
                          <w:sz w:val="16"/>
                          <w:lang w:eastAsia="zh-CN"/>
                        </w:rPr>
                        <m:t>Sat_Class</m:t>
                      </m:r>
                      <m:ctrlPr>
                        <w:rPr>
                          <w:rFonts w:ascii="Cambria Math" w:hAnsi="Cambria Math"/>
                          <w:i/>
                          <w:sz w:val="16"/>
                          <w:lang w:eastAsia="zh-CN"/>
                        </w:rPr>
                      </m:ctrlPr>
                    </m:sub>
                  </m:sSub>
                  <m:r>
                    <m:rPr/>
                    <w:rPr>
                      <w:rFonts w:ascii="Cambria Math" w:hAnsi="Cambria Math"/>
                      <w:sz w:val="16"/>
                      <w:lang w:eastAsia="zh-CN"/>
                    </w:rPr>
                    <m:t>−40×log10</m:t>
                  </m:r>
                  <m:d>
                    <m:dPr>
                      <m:ctrlPr>
                        <w:rPr>
                          <w:rFonts w:ascii="Cambria Math" w:hAnsi="Cambria Math"/>
                          <w:i/>
                          <w:sz w:val="16"/>
                          <w:lang w:eastAsia="zh-CN"/>
                        </w:rPr>
                      </m:ctrlPr>
                    </m:dPr>
                    <m:e>
                      <m:f>
                        <m:fPr>
                          <m:ctrlPr>
                            <w:rPr>
                              <w:rFonts w:ascii="Cambria Math" w:hAnsi="Cambria Math"/>
                              <w:i/>
                              <w:sz w:val="16"/>
                              <w:lang w:eastAsia="zh-CN"/>
                            </w:rPr>
                          </m:ctrlPr>
                        </m:fPr>
                        <m:num>
                          <m:sSub>
                            <m:sSubPr>
                              <m:ctrlPr>
                                <w:rPr>
                                  <w:rFonts w:ascii="Cambria Math" w:hAnsi="Cambria Math" w:cs="Arial" w:eastAsiaTheme="minorHAnsi"/>
                                  <w:i/>
                                  <w:iCs/>
                                  <w:sz w:val="16"/>
                                  <w:szCs w:val="18"/>
                                </w:rPr>
                              </m:ctrlPr>
                            </m:sSubPr>
                            <m:e>
                              <m:r>
                                <m:rPr/>
                                <w:rPr>
                                  <w:rFonts w:ascii="Cambria Math" w:hAnsi="Cambria Math"/>
                                  <w:sz w:val="16"/>
                                  <w:lang w:eastAsia="zh-CN"/>
                                </w:rPr>
                                <m:t xml:space="preserve"> </m:t>
                              </m:r>
                              <m:r>
                                <m:rPr/>
                                <w:rPr>
                                  <w:rFonts w:ascii="Cambria Math" w:hAnsi="Cambria Math" w:cs="Arial" w:eastAsiaTheme="minorHAnsi"/>
                                  <w:sz w:val="16"/>
                                  <w:szCs w:val="18"/>
                                </w:rPr>
                                <m:t>f</m:t>
                              </m:r>
                              <m:ctrlPr>
                                <w:rPr>
                                  <w:rFonts w:ascii="Cambria Math" w:hAnsi="Cambria Math" w:cs="Arial" w:eastAsiaTheme="minorHAnsi"/>
                                  <w:i/>
                                  <w:iCs/>
                                  <w:sz w:val="16"/>
                                  <w:szCs w:val="18"/>
                                </w:rPr>
                              </m:ctrlPr>
                            </m:e>
                            <m:sub>
                              <m:r>
                                <m:rPr/>
                                <w:rPr>
                                  <w:rFonts w:ascii="Cambria Math" w:hAnsi="Cambria Math" w:cs="Arial" w:eastAsiaTheme="minorHAnsi"/>
                                  <w:sz w:val="16"/>
                                  <w:szCs w:val="18"/>
                                </w:rPr>
                                <m:t>_offset</m:t>
                              </m:r>
                              <m:ctrlPr>
                                <w:rPr>
                                  <w:rFonts w:ascii="Cambria Math" w:hAnsi="Cambria Math" w:cs="Arial" w:eastAsiaTheme="minorHAnsi"/>
                                  <w:i/>
                                  <w:iCs/>
                                  <w:sz w:val="16"/>
                                  <w:szCs w:val="18"/>
                                </w:rPr>
                              </m:ctrlPr>
                            </m:sub>
                          </m:sSub>
                          <m:r>
                            <m:rPr/>
                            <w:rPr>
                              <w:rFonts w:ascii="Cambria Math" w:hAnsi="Cambria Math" w:cs="MS Gothic"/>
                              <w:sz w:val="16"/>
                              <w:szCs w:val="18"/>
                              <w:lang w:eastAsia="zh-CN"/>
                            </w:rPr>
                            <m:t>−</m:t>
                          </m:r>
                          <m:r>
                            <m:rPr/>
                            <w:rPr>
                              <w:rFonts w:ascii="Cambria Math" w:hAnsi="Cambria Math" w:cs="Arial" w:eastAsiaTheme="minorHAnsi"/>
                              <w:sz w:val="16"/>
                              <w:szCs w:val="18"/>
                            </w:rPr>
                            <m:t>0.002</m:t>
                          </m:r>
                          <m:ctrlPr>
                            <w:rPr>
                              <w:rFonts w:ascii="Cambria Math" w:hAnsi="Cambria Math"/>
                              <w:i/>
                              <w:sz w:val="16"/>
                              <w:lang w:eastAsia="zh-CN"/>
                            </w:rPr>
                          </m:ctrlPr>
                        </m:num>
                        <m:den>
                          <m:sSub>
                            <m:sSubPr>
                              <m:ctrlPr>
                                <w:rPr>
                                  <w:rFonts w:ascii="Cambria Math" w:hAnsi="Cambria Math"/>
                                  <w:i/>
                                  <w:sz w:val="16"/>
                                  <w:lang w:eastAsia="zh-CN"/>
                                </w:rPr>
                              </m:ctrlPr>
                            </m:sSubPr>
                            <m:e>
                              <m:r>
                                <m:rPr/>
                                <w:rPr>
                                  <w:rFonts w:ascii="Cambria Math" w:hAnsi="Cambria Math"/>
                                  <w:sz w:val="16"/>
                                  <w:lang w:eastAsia="zh-CN"/>
                                </w:rPr>
                                <m:t>BW</m:t>
                              </m:r>
                              <m:ctrlPr>
                                <w:rPr>
                                  <w:rFonts w:ascii="Cambria Math" w:hAnsi="Cambria Math"/>
                                  <w:i/>
                                  <w:sz w:val="16"/>
                                  <w:lang w:eastAsia="zh-CN"/>
                                </w:rPr>
                              </m:ctrlPr>
                            </m:e>
                            <m:sub>
                              <w:ins w:id="127" w:author="liyankun" w:date="2023-08-11T11:45:45Z">
                                <m:r>
                                  <m:rPr>
                                    <m:sty m:val="p"/>
                                  </m:rPr>
                                  <w:rPr>
                                    <w:rFonts w:hint="eastAsia" w:eastAsia="宋体"/>
                                    <w:vertAlign w:val="subscript"/>
                                    <w:lang w:val="en-US" w:eastAsia="zh-CN"/>
                                  </w:rPr>
                                  <m:t>Necessary</m:t>
                                </m:r>
                              </w:ins>
                              <w:del w:id="128" w:author="liyankun" w:date="2023-08-11T11:45:45Z">
                                <m:r>
                                  <m:rPr/>
                                  <w:rPr>
                                    <w:rFonts w:ascii="Cambria Math" w:hAnsi="Cambria Math"/>
                                    <w:sz w:val="16"/>
                                    <w:lang w:eastAsia="zh-CN"/>
                                  </w:rPr>
                                  <m:t>Cℎannel</m:t>
                                </m:r>
                              </w:del>
                              <m:ctrlPr>
                                <w:rPr>
                                  <w:rFonts w:ascii="Cambria Math" w:hAnsi="Cambria Math"/>
                                  <w:i/>
                                  <w:sz w:val="16"/>
                                  <w:lang w:eastAsia="zh-CN"/>
                                </w:rPr>
                              </m:ctrlPr>
                            </m:sub>
                          </m:sSub>
                          <m:ctrlPr>
                            <w:rPr>
                              <w:rFonts w:ascii="Cambria Math" w:hAnsi="Cambria Math"/>
                              <w:i/>
                              <w:sz w:val="16"/>
                              <w:lang w:eastAsia="zh-CN"/>
                            </w:rPr>
                          </m:ctrlPr>
                        </m:den>
                      </m:f>
                      <m:r>
                        <m:rPr/>
                        <w:rPr>
                          <w:rFonts w:ascii="Cambria Math" w:hAnsi="Cambria Math"/>
                          <w:sz w:val="16"/>
                          <w:lang w:eastAsia="zh-CN"/>
                        </w:rPr>
                        <m:t>×2+1</m:t>
                      </m:r>
                      <m:ctrlPr>
                        <w:rPr>
                          <w:rFonts w:ascii="Cambria Math" w:hAnsi="Cambria Math"/>
                          <w:i/>
                          <w:sz w:val="16"/>
                          <w:lang w:eastAsia="zh-CN"/>
                        </w:rPr>
                      </m:ctrlPr>
                    </m:e>
                  </m:d>
                  <m:ctrlPr>
                    <w:rPr>
                      <w:rFonts w:ascii="Cambria Math" w:hAnsi="Cambria Math"/>
                      <w:i/>
                      <w:sz w:val="16"/>
                      <w:lang w:eastAsia="zh-CN"/>
                    </w:rPr>
                  </m:ctrlPr>
                </m:e>
              </m:d>
            </m:oMath>
            <w:r>
              <w:rPr>
                <w:sz w:val="16"/>
                <w:lang w:eastAsia="ja-JP"/>
              </w:rPr>
              <w:t>]</w:t>
            </w:r>
          </w:p>
        </w:tc>
        <w:tc>
          <w:tcPr>
            <w:tcW w:w="736" w:type="pct"/>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4 kHz</w:t>
            </w:r>
          </w:p>
          <w:p>
            <w:pPr>
              <w:pStyle w:val="52"/>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6"/>
              <w:rPr>
                <w:lang w:val="en-US"/>
              </w:rPr>
            </w:pPr>
            <w:r>
              <w:rPr>
                <w:rFonts w:hint="eastAsia" w:cs="Arial"/>
                <w:lang w:val="en-US" w:eastAsia="zh-CN"/>
              </w:rPr>
              <w:t>N</w:t>
            </w:r>
            <w:r>
              <w:rPr>
                <w:rFonts w:cs="Arial"/>
                <w:lang w:val="en-US" w:eastAsia="zh-CN"/>
              </w:rPr>
              <w:t xml:space="preserve">OTE 1: </w:t>
            </w:r>
            <w:r>
              <w:rPr>
                <w:lang w:val="en-US"/>
              </w:rPr>
              <w:t>PSD</w:t>
            </w:r>
            <w:del w:id="129" w:author="liyankun" w:date="2023-08-11T11:45:53Z">
              <w:r>
                <w:rPr>
                  <w:rFonts w:hint="eastAsia"/>
                  <w:vertAlign w:val="subscript"/>
                  <w:lang w:val="en-US" w:eastAsia="zh-CN"/>
                </w:rPr>
                <w:delText>C</w:delText>
              </w:r>
            </w:del>
            <w:del w:id="130" w:author="liyankun" w:date="2023-08-11T11:45:53Z">
              <w:r>
                <w:rPr>
                  <w:vertAlign w:val="subscript"/>
                  <w:lang w:val="en-US"/>
                </w:rPr>
                <w:delText>hanne</w:delText>
              </w:r>
            </w:del>
            <w:ins w:id="131" w:author="liyankun" w:date="2023-08-11T11:45:54Z">
              <w:r>
                <w:rPr>
                  <w:rFonts w:hint="eastAsia" w:eastAsia="宋体"/>
                  <w:vertAlign w:val="subscript"/>
                  <w:lang w:val="en-US" w:eastAsia="zh-CN"/>
                </w:rPr>
                <w:t>Necessary</w:t>
              </w:r>
            </w:ins>
            <w:del w:id="132" w:author="liyankun" w:date="2023-08-11T11:45:54Z">
              <w:r>
                <w:rPr>
                  <w:vertAlign w:val="subscript"/>
                  <w:lang w:val="en-US"/>
                </w:rPr>
                <w:delText>l</w:delText>
              </w:r>
            </w:del>
            <w:r>
              <w:rPr>
                <w:vertAlign w:val="subscript"/>
                <w:lang w:val="en-US"/>
              </w:rPr>
              <w:t xml:space="preserve"> </w:t>
            </w:r>
            <w:r>
              <w:rPr>
                <w:lang w:val="en-US"/>
              </w:rPr>
              <w:t>= P</w:t>
            </w:r>
            <w:r>
              <w:rPr>
                <w:vertAlign w:val="subscript"/>
                <w:lang w:val="en-US"/>
              </w:rPr>
              <w:t>rated,</w:t>
            </w:r>
            <w:ins w:id="133" w:author="liyankun" w:date="2023-08-11T11:46:03Z">
              <w:r>
                <w:rPr>
                  <w:rFonts w:hint="eastAsia" w:eastAsia="宋体"/>
                  <w:vertAlign w:val="subscript"/>
                  <w:lang w:val="en-US" w:eastAsia="zh-CN"/>
                </w:rPr>
                <w:t>t</w:t>
              </w:r>
            </w:ins>
            <w:del w:id="134" w:author="liyankun" w:date="2023-08-11T11:46:03Z">
              <w:r>
                <w:rPr>
                  <w:vertAlign w:val="subscript"/>
                  <w:lang w:val="en-US"/>
                </w:rPr>
                <w:delText>c</w:delText>
              </w:r>
            </w:del>
            <w:r>
              <w:rPr>
                <w:vertAlign w:val="subscript"/>
                <w:lang w:val="en-US"/>
              </w:rPr>
              <w:t xml:space="preserve">,sys </w:t>
            </w:r>
            <w:r>
              <w:rPr>
                <w:lang w:val="en-US"/>
              </w:rPr>
              <w:t>– 10log10(BW</w:t>
            </w:r>
            <w:ins w:id="135" w:author="liyankun" w:date="2023-08-11T11:46:11Z">
              <w:r>
                <w:rPr>
                  <w:rFonts w:hint="eastAsia" w:eastAsia="宋体"/>
                  <w:vertAlign w:val="subscript"/>
                  <w:lang w:val="en-US" w:eastAsia="zh-CN"/>
                </w:rPr>
                <w:t>Necessary</w:t>
              </w:r>
            </w:ins>
            <w:del w:id="136" w:author="liyankun" w:date="2023-08-11T11:46:11Z">
              <w:r>
                <w:rPr>
                  <w:vertAlign w:val="subscript"/>
                  <w:lang w:val="en-US"/>
                </w:rPr>
                <w:delText>Channel</w:delText>
              </w:r>
            </w:del>
            <w:r>
              <w:rPr>
                <w:lang w:val="en-US"/>
              </w:rPr>
              <w:t>) – 24 dBm/4kHz.</w:t>
            </w:r>
          </w:p>
          <w:p>
            <w:pPr>
              <w:pStyle w:val="66"/>
              <w:rPr>
                <w:rFonts w:cs="Arial"/>
                <w:lang w:val="en-US" w:eastAsia="zh-CN"/>
              </w:rPr>
            </w:pPr>
            <w:r>
              <w:rPr>
                <w:rFonts w:hint="eastAsia" w:cs="Arial"/>
                <w:lang w:val="en-US" w:eastAsia="zh-CN"/>
              </w:rPr>
              <w:t>N</w:t>
            </w:r>
            <w:r>
              <w:rPr>
                <w:rFonts w:cs="Arial"/>
                <w:lang w:val="en-US" w:eastAsia="zh-CN"/>
              </w:rPr>
              <w:t>OTE 2: SE limit is spurious emission limit specified in spurious emission clause 6.6.5.</w:t>
            </w:r>
          </w:p>
          <w:p>
            <w:pPr>
              <w:pStyle w:val="66"/>
              <w:rPr>
                <w:rFonts w:cs="Arial"/>
                <w:lang w:val="en-US" w:eastAsia="zh-CN"/>
              </w:rPr>
            </w:pPr>
            <w:r>
              <w:rPr>
                <w:rFonts w:cs="Arial"/>
                <w:lang w:val="en-US" w:eastAsia="zh-CN"/>
              </w:rPr>
              <w:t>NOTE 3: PSD attenuation as in ITU-R SM.1541 [4], annex 5 OoB domain emission limits for space services.</w:t>
            </w:r>
          </w:p>
          <w:p>
            <w:pPr>
              <w:pStyle w:val="66"/>
              <w:rPr>
                <w:rFonts w:cs="Arial"/>
                <w:lang w:val="en-US" w:eastAsia="ja-JP"/>
              </w:rPr>
            </w:pPr>
            <w:r>
              <w:rPr>
                <w:rFonts w:cs="Arial"/>
                <w:lang w:val="en-US" w:eastAsia="zh-CN"/>
              </w:rPr>
              <w:t xml:space="preserve">NOTE 4: </w:t>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oMath>
            <w:r>
              <w:rPr>
                <w:rFonts w:cs="Arial"/>
                <w:lang w:val="en-US" w:eastAsia="zh-CN"/>
              </w:rPr>
              <w:t xml:space="preserve">=0 dB for GEO class and </w:t>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oMath>
            <w:r>
              <w:rPr>
                <w:rFonts w:cs="Arial"/>
                <w:lang w:val="en-US" w:eastAsia="zh-CN"/>
              </w:rPr>
              <w:t>=3 dB for LEO class.</w:t>
            </w:r>
          </w:p>
        </w:tc>
      </w:tr>
    </w:tbl>
    <w:p>
      <w:pPr>
        <w:rPr>
          <w:rFonts w:hint="eastAsia" w:eastAsia="宋体"/>
          <w:b/>
          <w:bCs/>
          <w:color w:val="C00000"/>
          <w:lang w:val="en-US" w:eastAsia="zh-CN"/>
        </w:rPr>
      </w:pPr>
    </w:p>
    <w:p>
      <w:pPr>
        <w:rPr>
          <w:rFonts w:hint="eastAsia" w:eastAsia="宋体"/>
          <w:b/>
          <w:bCs/>
          <w:color w:val="C00000"/>
          <w:lang w:val="en-US" w:eastAsia="zh-CN"/>
        </w:rPr>
      </w:pPr>
      <w:r>
        <w:rPr>
          <w:rFonts w:hint="eastAsia" w:eastAsia="宋体"/>
          <w:b/>
          <w:bCs/>
          <w:color w:val="C00000"/>
          <w:lang w:val="en-US" w:eastAsia="zh-CN"/>
        </w:rPr>
        <w:t>&lt;End of correction 4&gt;</w:t>
      </w:r>
    </w:p>
    <w:p>
      <w:pPr>
        <w:rPr>
          <w:rFonts w:hint="eastAsia" w:eastAsia="宋体"/>
          <w:b/>
          <w:bCs/>
          <w:color w:val="C00000"/>
          <w:lang w:val="en-US" w:eastAsia="zh-CN"/>
        </w:rPr>
      </w:pPr>
    </w:p>
    <w:p>
      <w:pPr>
        <w:rPr>
          <w:rFonts w:hint="eastAsia" w:eastAsia="宋体"/>
          <w:b/>
          <w:bCs/>
          <w:color w:val="C00000"/>
          <w:lang w:val="en-US" w:eastAsia="zh-CN"/>
        </w:rPr>
      </w:pPr>
    </w:p>
    <w:p>
      <w:pPr>
        <w:rPr>
          <w:rFonts w:hint="default" w:eastAsia="宋体"/>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kun">
    <w15:presenceInfo w15:providerId="None" w15:userId="liyan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5MGFhOGVhZmFkMmMyZmIzYTc4ZWY1NjUwNzUzZjEifQ=="/>
  </w:docVars>
  <w:rsids>
    <w:rsidRoot w:val="00022E4A"/>
    <w:rsid w:val="00022E4A"/>
    <w:rsid w:val="000A6394"/>
    <w:rsid w:val="000B7FED"/>
    <w:rsid w:val="000C038A"/>
    <w:rsid w:val="000C6598"/>
    <w:rsid w:val="000D44B3"/>
    <w:rsid w:val="00134BE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7B92716"/>
    <w:rsid w:val="0F5E1312"/>
    <w:rsid w:val="174560C4"/>
    <w:rsid w:val="1EAF435F"/>
    <w:rsid w:val="1F235780"/>
    <w:rsid w:val="39152EA2"/>
    <w:rsid w:val="43C2359E"/>
    <w:rsid w:val="49797C8B"/>
    <w:rsid w:val="4F3A75B6"/>
    <w:rsid w:val="4F7055BD"/>
    <w:rsid w:val="546B3837"/>
    <w:rsid w:val="56C73A1B"/>
    <w:rsid w:val="5BC800C4"/>
    <w:rsid w:val="65EB75BC"/>
    <w:rsid w:val="69E668CA"/>
    <w:rsid w:val="6A4A4DA6"/>
    <w:rsid w:val="6F8E423F"/>
    <w:rsid w:val="6F986AA3"/>
    <w:rsid w:val="7B9B2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2909</Words>
  <Characters>14611</Characters>
  <Lines>16</Lines>
  <Paragraphs>4</Paragraphs>
  <TotalTime>2</TotalTime>
  <ScaleCrop>false</ScaleCrop>
  <LinksUpToDate>false</LinksUpToDate>
  <CharactersWithSpaces>17100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liyankun</cp:lastModifiedBy>
  <cp:lastPrinted>2411-12-31T23:00:00Z</cp:lastPrinted>
  <dcterms:modified xsi:type="dcterms:W3CDTF">2023-08-11T09:54:25Z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2052-11.1.0.14309</vt:lpwstr>
  </property>
  <property fmtid="{D5CDD505-2E9C-101B-9397-08002B2CF9AE}" pid="22" name="ICV">
    <vt:lpwstr>A685CDEFAC5244B78ED90FE59AE0E302_13</vt:lpwstr>
  </property>
</Properties>
</file>