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79ABAF9F" w:rsidR="006C5630" w:rsidRPr="007F59E4" w:rsidRDefault="006C5630" w:rsidP="006C5630">
      <w:pPr>
        <w:tabs>
          <w:tab w:val="right" w:pos="10440"/>
          <w:tab w:val="right" w:pos="13323"/>
        </w:tabs>
        <w:spacing w:after="0"/>
        <w:rPr>
          <w:rFonts w:ascii="Arial" w:hAnsi="Arial" w:cs="Arial"/>
          <w:b/>
          <w:sz w:val="24"/>
          <w:szCs w:val="24"/>
          <w:lang w:eastAsia="zh-CN"/>
        </w:rPr>
      </w:pPr>
      <w:r w:rsidRPr="007F59E4">
        <w:rPr>
          <w:rFonts w:ascii="Arial" w:eastAsia="MS Mincho" w:hAnsi="Arial" w:cs="Arial"/>
          <w:b/>
          <w:sz w:val="24"/>
          <w:szCs w:val="24"/>
        </w:rPr>
        <w:t>3GPP TSG-RAN WG4 Meeting #</w:t>
      </w:r>
      <w:r w:rsidR="00110E8A" w:rsidRPr="007F59E4">
        <w:rPr>
          <w:rFonts w:ascii="Arial" w:eastAsia="MS Mincho" w:hAnsi="Arial" w:cs="Arial"/>
          <w:b/>
          <w:sz w:val="24"/>
          <w:szCs w:val="24"/>
        </w:rPr>
        <w:t>10</w:t>
      </w:r>
      <w:r w:rsidR="0072787A" w:rsidRPr="007F59E4">
        <w:rPr>
          <w:rFonts w:ascii="Arial" w:eastAsia="MS Mincho" w:hAnsi="Arial" w:cs="Arial"/>
          <w:b/>
          <w:sz w:val="24"/>
          <w:szCs w:val="24"/>
        </w:rPr>
        <w:t>7</w:t>
      </w:r>
      <w:r w:rsidRPr="007F59E4">
        <w:rPr>
          <w:rFonts w:ascii="Arial" w:eastAsia="MS Mincho" w:hAnsi="Arial" w:cs="Arial"/>
          <w:b/>
          <w:sz w:val="24"/>
          <w:szCs w:val="24"/>
        </w:rPr>
        <w:tab/>
      </w:r>
      <w:r w:rsidR="00352129" w:rsidRPr="007F59E4">
        <w:rPr>
          <w:rFonts w:ascii="Arial" w:eastAsia="MS Mincho" w:hAnsi="Arial" w:cs="Arial"/>
          <w:b/>
          <w:sz w:val="24"/>
          <w:szCs w:val="24"/>
        </w:rPr>
        <w:t>R4</w:t>
      </w:r>
      <w:r w:rsidR="0072787A" w:rsidRPr="007F59E4">
        <w:rPr>
          <w:rFonts w:ascii="Arial" w:eastAsia="MS Mincho" w:hAnsi="Arial" w:cs="Arial"/>
          <w:b/>
          <w:sz w:val="24"/>
          <w:szCs w:val="24"/>
        </w:rPr>
        <w:t>-23</w:t>
      </w:r>
      <w:r w:rsidR="00C6672B" w:rsidRPr="007F59E4">
        <w:rPr>
          <w:rFonts w:ascii="Arial" w:eastAsia="MS Mincho" w:hAnsi="Arial" w:cs="Arial"/>
          <w:b/>
          <w:sz w:val="24"/>
          <w:szCs w:val="24"/>
        </w:rPr>
        <w:t>10140</w:t>
      </w:r>
    </w:p>
    <w:p w14:paraId="0ED16545" w14:textId="1272C8E2" w:rsidR="0068254F" w:rsidRPr="007F59E4" w:rsidRDefault="0072787A" w:rsidP="0068254F">
      <w:pPr>
        <w:tabs>
          <w:tab w:val="right" w:pos="10440"/>
          <w:tab w:val="right" w:pos="13323"/>
        </w:tabs>
        <w:spacing w:afterLines="100" w:after="240"/>
        <w:rPr>
          <w:rFonts w:ascii="Arial" w:hAnsi="Arial" w:cs="Arial"/>
          <w:b/>
          <w:sz w:val="24"/>
          <w:szCs w:val="24"/>
          <w:lang w:val="en-US" w:eastAsia="zh-CN"/>
        </w:rPr>
      </w:pPr>
      <w:r w:rsidRPr="007F59E4">
        <w:rPr>
          <w:rFonts w:ascii="Arial" w:eastAsiaTheme="minorEastAsia" w:hAnsi="Arial" w:cs="Arial"/>
          <w:b/>
          <w:sz w:val="24"/>
          <w:szCs w:val="24"/>
          <w:lang w:eastAsia="zh-CN"/>
        </w:rPr>
        <w:t>Incheon, KR, May 22nd – May 26</w:t>
      </w:r>
      <w:proofErr w:type="gramStart"/>
      <w:r w:rsidRPr="007F59E4">
        <w:rPr>
          <w:rFonts w:ascii="Arial" w:eastAsiaTheme="minorEastAsia" w:hAnsi="Arial" w:cs="Arial"/>
          <w:b/>
          <w:sz w:val="24"/>
          <w:szCs w:val="24"/>
          <w:lang w:eastAsia="zh-CN"/>
        </w:rPr>
        <w:t>th ,</w:t>
      </w:r>
      <w:proofErr w:type="gramEnd"/>
      <w:r w:rsidRPr="007F59E4">
        <w:rPr>
          <w:rFonts w:ascii="Arial" w:eastAsiaTheme="minorEastAsia" w:hAnsi="Arial" w:cs="Arial"/>
          <w:b/>
          <w:sz w:val="24"/>
          <w:szCs w:val="24"/>
          <w:lang w:eastAsia="zh-CN"/>
        </w:rPr>
        <w:t xml:space="preserve"> 2023</w:t>
      </w:r>
    </w:p>
    <w:p w14:paraId="1226C057" w14:textId="739EB45A" w:rsidR="00E61455" w:rsidRPr="007F59E4" w:rsidRDefault="00E61455" w:rsidP="00E61455">
      <w:pPr>
        <w:tabs>
          <w:tab w:val="left" w:pos="1985"/>
        </w:tabs>
        <w:jc w:val="both"/>
        <w:rPr>
          <w:rFonts w:ascii="Arial" w:hAnsi="Arial" w:cs="Arial"/>
          <w:b/>
          <w:sz w:val="22"/>
          <w:lang w:eastAsia="zh-CN"/>
        </w:rPr>
      </w:pPr>
      <w:r w:rsidRPr="007F59E4">
        <w:rPr>
          <w:rFonts w:ascii="Arial" w:hAnsi="Arial" w:cs="Arial"/>
          <w:b/>
          <w:sz w:val="22"/>
        </w:rPr>
        <w:t xml:space="preserve">Title: </w:t>
      </w:r>
      <w:r w:rsidRPr="007F59E4">
        <w:rPr>
          <w:rFonts w:ascii="Arial" w:hAnsi="Arial" w:cs="Arial"/>
          <w:b/>
          <w:sz w:val="22"/>
        </w:rPr>
        <w:tab/>
      </w:r>
      <w:r w:rsidR="00C6672B" w:rsidRPr="007F59E4">
        <w:rPr>
          <w:rFonts w:ascii="Arial" w:hAnsi="Arial" w:cs="Arial"/>
          <w:sz w:val="22"/>
          <w:lang w:eastAsia="zh-CN"/>
        </w:rPr>
        <w:t>WF on R17 NR MIMO RRM requirements maintenance</w:t>
      </w:r>
    </w:p>
    <w:p w14:paraId="73AD8CE3" w14:textId="68982174" w:rsidR="00E61455" w:rsidRPr="007F59E4" w:rsidRDefault="00E61455" w:rsidP="00E61455">
      <w:pPr>
        <w:tabs>
          <w:tab w:val="left" w:pos="1985"/>
        </w:tabs>
        <w:jc w:val="both"/>
        <w:rPr>
          <w:rFonts w:ascii="Arial" w:hAnsi="Arial" w:cs="Arial"/>
          <w:sz w:val="22"/>
          <w:lang w:eastAsia="zh-CN"/>
        </w:rPr>
      </w:pPr>
      <w:r w:rsidRPr="007F59E4">
        <w:rPr>
          <w:rFonts w:ascii="Arial" w:hAnsi="Arial" w:cs="Arial"/>
          <w:b/>
          <w:sz w:val="22"/>
        </w:rPr>
        <w:t>Agenda Item:</w:t>
      </w:r>
      <w:r w:rsidRPr="007F59E4">
        <w:rPr>
          <w:rFonts w:ascii="Arial" w:hAnsi="Arial" w:cs="Arial"/>
          <w:b/>
          <w:sz w:val="22"/>
        </w:rPr>
        <w:tab/>
      </w:r>
      <w:r w:rsidR="00C6672B" w:rsidRPr="007F59E4">
        <w:rPr>
          <w:rFonts w:ascii="Arial" w:hAnsi="Arial" w:cs="Arial"/>
          <w:bCs/>
          <w:sz w:val="22"/>
          <w:lang w:eastAsia="zh-CN"/>
        </w:rPr>
        <w:t>5</w:t>
      </w:r>
      <w:r w:rsidR="00280D59" w:rsidRPr="007F59E4">
        <w:rPr>
          <w:rFonts w:ascii="Arial" w:hAnsi="Arial" w:cs="Arial"/>
          <w:sz w:val="22"/>
          <w:lang w:eastAsia="zh-CN"/>
        </w:rPr>
        <w:t>.</w:t>
      </w:r>
      <w:r w:rsidR="00C6672B" w:rsidRPr="007F59E4">
        <w:rPr>
          <w:rFonts w:ascii="Arial" w:hAnsi="Arial" w:cs="Arial"/>
          <w:sz w:val="22"/>
          <w:lang w:eastAsia="zh-CN"/>
        </w:rPr>
        <w:t>4</w:t>
      </w:r>
    </w:p>
    <w:p w14:paraId="6402E503" w14:textId="429A71BD" w:rsidR="00D84BD0" w:rsidRPr="007F59E4" w:rsidRDefault="00D84BD0" w:rsidP="00D84BD0">
      <w:pPr>
        <w:tabs>
          <w:tab w:val="left" w:pos="1985"/>
        </w:tabs>
        <w:jc w:val="both"/>
        <w:rPr>
          <w:rFonts w:ascii="Arial" w:hAnsi="Arial" w:cs="Arial"/>
          <w:sz w:val="22"/>
        </w:rPr>
      </w:pPr>
      <w:r w:rsidRPr="007F59E4">
        <w:rPr>
          <w:rFonts w:ascii="Arial" w:hAnsi="Arial" w:cs="Arial"/>
          <w:b/>
          <w:sz w:val="22"/>
        </w:rPr>
        <w:t xml:space="preserve">Source: </w:t>
      </w:r>
      <w:r w:rsidRPr="007F59E4">
        <w:rPr>
          <w:rFonts w:ascii="Arial" w:hAnsi="Arial" w:cs="Arial"/>
          <w:b/>
          <w:sz w:val="22"/>
        </w:rPr>
        <w:tab/>
      </w:r>
      <w:r w:rsidR="00FD3278" w:rsidRPr="007F59E4">
        <w:rPr>
          <w:rFonts w:ascii="Arial" w:hAnsi="Arial" w:cs="Arial"/>
          <w:bCs/>
          <w:sz w:val="22"/>
        </w:rPr>
        <w:t>Samsung</w:t>
      </w:r>
    </w:p>
    <w:p w14:paraId="5E188A5E" w14:textId="77777777" w:rsidR="00E61455" w:rsidRPr="007F59E4" w:rsidRDefault="00E61455" w:rsidP="00E61455">
      <w:pPr>
        <w:tabs>
          <w:tab w:val="left" w:pos="1985"/>
        </w:tabs>
        <w:jc w:val="both"/>
        <w:rPr>
          <w:rFonts w:ascii="Arial" w:hAnsi="Arial" w:cs="Arial"/>
          <w:b/>
          <w:sz w:val="22"/>
          <w:lang w:eastAsia="zh-CN"/>
        </w:rPr>
      </w:pPr>
      <w:r w:rsidRPr="007F59E4">
        <w:rPr>
          <w:rFonts w:ascii="Arial" w:hAnsi="Arial" w:cs="Arial"/>
          <w:b/>
          <w:sz w:val="22"/>
        </w:rPr>
        <w:t>Document for:</w:t>
      </w:r>
      <w:r w:rsidRPr="007F59E4">
        <w:rPr>
          <w:rFonts w:ascii="Arial" w:hAnsi="Arial" w:cs="Arial"/>
          <w:b/>
          <w:sz w:val="22"/>
        </w:rPr>
        <w:tab/>
      </w:r>
      <w:r w:rsidR="00280D59" w:rsidRPr="007F59E4">
        <w:rPr>
          <w:rFonts w:ascii="Arial" w:hAnsi="Arial" w:cs="Arial"/>
          <w:sz w:val="22"/>
          <w:lang w:eastAsia="zh-CN"/>
        </w:rPr>
        <w:t>Approval</w:t>
      </w:r>
    </w:p>
    <w:p w14:paraId="6031E54F" w14:textId="537E52E6" w:rsidR="0053332A" w:rsidRPr="007F59E4" w:rsidRDefault="0053332A" w:rsidP="00402439">
      <w:pPr>
        <w:spacing w:line="276" w:lineRule="auto"/>
        <w:rPr>
          <w:rFonts w:eastAsia="Yu Mincho"/>
          <w:lang w:eastAsia="ja-JP"/>
        </w:rPr>
      </w:pPr>
    </w:p>
    <w:p w14:paraId="29EF9E55" w14:textId="10277CF8" w:rsidR="00163132" w:rsidRPr="007F59E4" w:rsidRDefault="00357463" w:rsidP="00766478">
      <w:pPr>
        <w:pStyle w:val="1"/>
        <w:numPr>
          <w:ilvl w:val="0"/>
          <w:numId w:val="36"/>
        </w:numPr>
        <w:rPr>
          <w:lang w:eastAsia="zh-CN"/>
        </w:rPr>
      </w:pPr>
      <w:r w:rsidRPr="007F59E4">
        <w:rPr>
          <w:lang w:eastAsia="ja-JP"/>
        </w:rPr>
        <w:t xml:space="preserve">Topic #1 </w:t>
      </w:r>
      <w:r w:rsidR="00757AA8" w:rsidRPr="007F59E4">
        <w:rPr>
          <w:lang w:eastAsia="ja-JP"/>
        </w:rPr>
        <w:t>Core part maintenance</w:t>
      </w:r>
    </w:p>
    <w:p w14:paraId="3CE6A84B" w14:textId="77777777" w:rsidR="00757AA8" w:rsidRPr="007F59E4" w:rsidRDefault="00757AA8" w:rsidP="00757AA8">
      <w:pPr>
        <w:spacing w:after="120"/>
        <w:rPr>
          <w:rFonts w:eastAsiaTheme="minorEastAsia"/>
          <w:b/>
          <w:u w:val="single"/>
          <w:lang w:eastAsia="zh-CN"/>
        </w:rPr>
      </w:pPr>
      <w:r w:rsidRPr="007F59E4">
        <w:rPr>
          <w:rFonts w:eastAsiaTheme="minorEastAsia"/>
          <w:b/>
          <w:u w:val="single"/>
          <w:lang w:eastAsia="zh-CN"/>
        </w:rPr>
        <w:t xml:space="preserve">Issue 1-1-1: Whether </w:t>
      </w:r>
      <w:r w:rsidRPr="007F59E4">
        <w:rPr>
          <w:b/>
          <w:bCs/>
          <w:u w:val="single"/>
        </w:rPr>
        <w:t xml:space="preserve">UE need to track UL time/frequency </w:t>
      </w:r>
      <w:r w:rsidRPr="007F59E4">
        <w:rPr>
          <w:rFonts w:eastAsiaTheme="minorEastAsia"/>
          <w:b/>
          <w:u w:val="single"/>
          <w:lang w:eastAsia="zh-CN"/>
        </w:rPr>
        <w:t>if source RS in UL TCI state is not in the DL active TCI list</w:t>
      </w:r>
    </w:p>
    <w:p w14:paraId="2E5041D2" w14:textId="77777777" w:rsidR="00C6672B" w:rsidRPr="007F59E4" w:rsidRDefault="00C6672B" w:rsidP="00C6672B">
      <w:pPr>
        <w:spacing w:line="252" w:lineRule="auto"/>
        <w:ind w:left="284"/>
        <w:rPr>
          <w:lang w:val="en-US"/>
        </w:rPr>
      </w:pPr>
      <w:bookmarkStart w:id="0" w:name="OLE_LINK1"/>
      <w:r w:rsidRPr="007F59E4">
        <w:rPr>
          <w:lang w:val="en-US"/>
        </w:rPr>
        <w:t>Agreement</w:t>
      </w:r>
    </w:p>
    <w:bookmarkEnd w:id="0"/>
    <w:p w14:paraId="57F9D9C6" w14:textId="77777777" w:rsidR="00C6672B" w:rsidRPr="007F59E4" w:rsidRDefault="00C6672B" w:rsidP="00C6672B">
      <w:pPr>
        <w:ind w:left="568"/>
        <w:rPr>
          <w:rFonts w:eastAsia="Calibri"/>
        </w:rPr>
      </w:pPr>
      <w:r w:rsidRPr="007F59E4">
        <w:rPr>
          <w:rFonts w:eastAsia="Calibri"/>
        </w:rPr>
        <w:t>Add applicability in spec</w:t>
      </w:r>
      <w:r w:rsidRPr="007F59E4">
        <w:t xml:space="preserve"> for a</w:t>
      </w:r>
      <w:r w:rsidRPr="007F59E4">
        <w:rPr>
          <w:rFonts w:eastAsia="Calibri"/>
        </w:rPr>
        <w:t xml:space="preserve">ctive uplink TCI state switching delay for unified TCI: </w:t>
      </w:r>
    </w:p>
    <w:p w14:paraId="27245B85" w14:textId="77777777" w:rsidR="00C6672B" w:rsidRPr="007F59E4" w:rsidRDefault="00C6672B" w:rsidP="00C6672B">
      <w:pPr>
        <w:ind w:left="852"/>
        <w:rPr>
          <w:rFonts w:eastAsia="Calibri"/>
        </w:rPr>
      </w:pPr>
      <w:r w:rsidRPr="007F59E4">
        <w:rPr>
          <w:rFonts w:eastAsia="Calibri"/>
        </w:rPr>
        <w:t>The requirements in this clause are applicable when the source RS of the active UL TCI state is a DL-RS and this DL-RS is included as one of the source RSs in the DL active TCI list.</w:t>
      </w:r>
    </w:p>
    <w:p w14:paraId="0FA757E6" w14:textId="336BC180" w:rsidR="00757AA8" w:rsidRPr="007F59E4" w:rsidRDefault="00757AA8" w:rsidP="00513440"/>
    <w:p w14:paraId="500DEF25" w14:textId="77777777" w:rsidR="00757AA8" w:rsidRPr="007F59E4" w:rsidRDefault="00757AA8" w:rsidP="00757AA8">
      <w:pPr>
        <w:spacing w:after="120"/>
        <w:rPr>
          <w:rFonts w:eastAsiaTheme="minorEastAsia"/>
          <w:b/>
          <w:u w:val="single"/>
          <w:lang w:eastAsia="zh-CN"/>
        </w:rPr>
      </w:pPr>
      <w:r w:rsidRPr="007F59E4">
        <w:rPr>
          <w:rFonts w:eastAsiaTheme="minorEastAsia"/>
          <w:b/>
          <w:u w:val="single"/>
          <w:lang w:eastAsia="zh-CN"/>
        </w:rPr>
        <w:t>Issue 1-1-2 Definition of maintained PL-RS</w:t>
      </w:r>
    </w:p>
    <w:p w14:paraId="5E735A8D" w14:textId="5127A335" w:rsidR="00757AA8" w:rsidRPr="007F59E4" w:rsidRDefault="00C6672B" w:rsidP="00C6672B">
      <w:pPr>
        <w:spacing w:line="252" w:lineRule="auto"/>
        <w:ind w:left="284"/>
        <w:rPr>
          <w:rFonts w:eastAsiaTheme="minorEastAsia"/>
          <w:lang w:eastAsia="zh-CN"/>
        </w:rPr>
      </w:pPr>
      <w:r w:rsidRPr="007F59E4">
        <w:rPr>
          <w:lang w:val="en-US"/>
        </w:rPr>
        <w:t>Agreement</w:t>
      </w:r>
      <w:r w:rsidR="00757AA8" w:rsidRPr="007F59E4">
        <w:rPr>
          <w:rFonts w:eastAsiaTheme="minorEastAsia" w:hint="eastAsia"/>
          <w:lang w:eastAsia="zh-CN"/>
        </w:rPr>
        <w:t>:</w:t>
      </w:r>
      <w:r w:rsidR="00757AA8" w:rsidRPr="007F59E4">
        <w:rPr>
          <w:rFonts w:eastAsiaTheme="minorEastAsia"/>
          <w:lang w:eastAsia="zh-CN"/>
        </w:rPr>
        <w:t xml:space="preserve"> </w:t>
      </w:r>
    </w:p>
    <w:p w14:paraId="28694647" w14:textId="77777777" w:rsidR="00757AA8" w:rsidRPr="007F59E4" w:rsidRDefault="00757AA8" w:rsidP="00757AA8">
      <w:pPr>
        <w:ind w:left="568" w:hanging="284"/>
        <w:rPr>
          <w:lang w:eastAsia="zh-CN"/>
        </w:rPr>
      </w:pPr>
      <w:bookmarkStart w:id="1" w:name="_Hlk135914580"/>
      <w:r w:rsidRPr="007F59E4">
        <w:t xml:space="preserve">PL-RS is maintained provided: </w:t>
      </w:r>
    </w:p>
    <w:p w14:paraId="69B9E9E8" w14:textId="77777777" w:rsidR="00757AA8" w:rsidRPr="007F59E4" w:rsidRDefault="00757AA8" w:rsidP="00757AA8">
      <w:pPr>
        <w:ind w:left="851" w:hanging="284"/>
      </w:pPr>
      <w:r w:rsidRPr="007F59E4">
        <w:t>-</w:t>
      </w:r>
      <w:r w:rsidRPr="007F59E4">
        <w:tab/>
        <w:t>the target PL-RS is associated with or included in the UL or joint TCI states in the active TCI list for PUSCH/PUCCH/SRS transmissions</w:t>
      </w:r>
    </w:p>
    <w:p w14:paraId="1C4F6600" w14:textId="3191D777" w:rsidR="00757AA8" w:rsidRPr="007F59E4" w:rsidRDefault="00757AA8" w:rsidP="00757AA8">
      <w:pPr>
        <w:ind w:left="851" w:hanging="284"/>
      </w:pPr>
      <w:r w:rsidRPr="007F59E4">
        <w:t>-</w:t>
      </w:r>
      <w:r w:rsidRPr="007F59E4">
        <w:tab/>
        <w:t xml:space="preserve">There are no more than 4 different RS </w:t>
      </w:r>
      <w:r w:rsidR="00C6672B" w:rsidRPr="007F59E4">
        <w:t>activated</w:t>
      </w:r>
      <w:r w:rsidRPr="007F59E4">
        <w:t xml:space="preserve"> as PL-RS per serving cell among all active UL TCI states (UL or joint TCI state) for PUSCH/PUCCH/SRS transmissions</w:t>
      </w:r>
    </w:p>
    <w:p w14:paraId="2D08E1C5" w14:textId="77777777" w:rsidR="00757AA8" w:rsidRPr="007F59E4" w:rsidRDefault="00757AA8" w:rsidP="00757AA8">
      <w:pPr>
        <w:ind w:left="851" w:hanging="284"/>
        <w:rPr>
          <w:bCs/>
          <w:lang w:eastAsia="zh-CN"/>
        </w:rPr>
      </w:pPr>
      <w:r w:rsidRPr="007F59E4">
        <w:t>-</w:t>
      </w:r>
      <w:r w:rsidRPr="007F59E4">
        <w:rPr>
          <w:bCs/>
          <w:lang w:eastAsia="zh-CN"/>
        </w:rPr>
        <w:t xml:space="preserve">    The target pathloss reference signal remains detectable during TCI state switching period</w:t>
      </w:r>
    </w:p>
    <w:p w14:paraId="48CA1F41" w14:textId="77777777" w:rsidR="00757AA8" w:rsidRPr="007F59E4" w:rsidRDefault="00757AA8" w:rsidP="00757AA8">
      <w:pPr>
        <w:ind w:left="1134" w:hanging="283"/>
        <w:rPr>
          <w:bCs/>
          <w:lang w:eastAsia="zh-CN"/>
        </w:rPr>
      </w:pPr>
      <w:r w:rsidRPr="007F59E4">
        <w:t>-</w:t>
      </w:r>
      <w:r w:rsidRPr="007F59E4">
        <w:tab/>
      </w:r>
      <w:r w:rsidRPr="007F59E4">
        <w:rPr>
          <w:bCs/>
          <w:lang w:eastAsia="zh-CN"/>
        </w:rPr>
        <w:t>SNR of the target pathloss reference signal≥-3dB</w:t>
      </w:r>
    </w:p>
    <w:p w14:paraId="0D1DCE8B" w14:textId="77777777" w:rsidR="00757AA8" w:rsidRPr="007F59E4" w:rsidRDefault="00757AA8" w:rsidP="00757AA8">
      <w:pPr>
        <w:ind w:left="851" w:hanging="284"/>
        <w:rPr>
          <w:bCs/>
          <w:lang w:eastAsia="zh-CN"/>
        </w:rPr>
      </w:pPr>
      <w:r w:rsidRPr="007F59E4">
        <w:t>-</w:t>
      </w:r>
      <w:r w:rsidRPr="007F59E4">
        <w:tab/>
      </w:r>
      <w:r w:rsidRPr="007F59E4">
        <w:rPr>
          <w:bCs/>
          <w:lang w:eastAsia="zh-CN"/>
        </w:rPr>
        <w:t>The associated SSBs with the target pathloss reference signal remain detectable during the TCI state switching period.</w:t>
      </w:r>
    </w:p>
    <w:p w14:paraId="4B895A60" w14:textId="77777777" w:rsidR="00757AA8" w:rsidRPr="007F59E4" w:rsidRDefault="00757AA8" w:rsidP="00757AA8">
      <w:pPr>
        <w:ind w:left="1135" w:hanging="284"/>
      </w:pPr>
      <w:r w:rsidRPr="007F59E4">
        <w:t>-</w:t>
      </w:r>
      <w:r w:rsidRPr="007F59E4">
        <w:tab/>
      </w:r>
      <w:r w:rsidRPr="007F59E4">
        <w:rPr>
          <w:bCs/>
          <w:lang w:eastAsia="zh-CN"/>
        </w:rPr>
        <w:t>SNR of the associated SSB ≥-3dB</w:t>
      </w:r>
    </w:p>
    <w:bookmarkEnd w:id="1"/>
    <w:p w14:paraId="101F3533" w14:textId="01976779" w:rsidR="00757AA8" w:rsidRPr="007F59E4" w:rsidRDefault="00757AA8" w:rsidP="00757AA8">
      <w:pPr>
        <w:ind w:left="1135" w:hanging="284"/>
      </w:pPr>
    </w:p>
    <w:p w14:paraId="6A1A2374" w14:textId="77777777" w:rsidR="00757AA8" w:rsidRPr="007F59E4" w:rsidRDefault="00757AA8" w:rsidP="00757AA8">
      <w:pPr>
        <w:spacing w:after="120"/>
        <w:rPr>
          <w:rFonts w:eastAsiaTheme="minorEastAsia"/>
          <w:b/>
          <w:u w:val="single"/>
          <w:lang w:eastAsia="zh-CN"/>
        </w:rPr>
      </w:pPr>
      <w:r w:rsidRPr="007F59E4">
        <w:rPr>
          <w:rFonts w:eastAsiaTheme="minorEastAsia"/>
          <w:b/>
          <w:u w:val="single"/>
          <w:lang w:eastAsia="zh-CN"/>
        </w:rPr>
        <w:t>Issue 1-1-3 MAC-CE based UL TCI state switching delay when SSB is indicated as PL-RS in UL TCI state for FR2</w:t>
      </w:r>
    </w:p>
    <w:p w14:paraId="370A985E" w14:textId="77777777" w:rsidR="008B7FBA" w:rsidRPr="007F59E4" w:rsidRDefault="008B7FBA" w:rsidP="008B7FBA">
      <w:pPr>
        <w:pStyle w:val="af"/>
        <w:numPr>
          <w:ilvl w:val="0"/>
          <w:numId w:val="32"/>
        </w:numPr>
        <w:overflowPunct/>
        <w:autoSpaceDE/>
        <w:autoSpaceDN/>
        <w:adjustRightInd/>
        <w:spacing w:after="120" w:line="259" w:lineRule="auto"/>
        <w:ind w:left="720" w:firstLineChars="0"/>
        <w:textAlignment w:val="auto"/>
        <w:rPr>
          <w:rFonts w:eastAsiaTheme="minorEastAsia"/>
          <w:bCs/>
        </w:rPr>
      </w:pPr>
      <w:r w:rsidRPr="007F59E4">
        <w:rPr>
          <w:rFonts w:eastAsiaTheme="minorEastAsia"/>
          <w:bCs/>
        </w:rPr>
        <w:t>Agreements</w:t>
      </w:r>
    </w:p>
    <w:p w14:paraId="2C842943" w14:textId="77777777" w:rsidR="008B7FBA" w:rsidRPr="007F59E4" w:rsidRDefault="008B7FBA" w:rsidP="008B7FBA">
      <w:pPr>
        <w:pStyle w:val="af"/>
        <w:numPr>
          <w:ilvl w:val="1"/>
          <w:numId w:val="32"/>
        </w:numPr>
        <w:overflowPunct/>
        <w:autoSpaceDE/>
        <w:autoSpaceDN/>
        <w:adjustRightInd/>
        <w:spacing w:after="120" w:line="259" w:lineRule="auto"/>
        <w:ind w:left="1656" w:firstLineChars="0"/>
        <w:textAlignment w:val="auto"/>
        <w:rPr>
          <w:rFonts w:eastAsiaTheme="minorEastAsia"/>
          <w:bCs/>
        </w:rPr>
      </w:pPr>
      <w:r w:rsidRPr="007F59E4">
        <w:rPr>
          <w:rFonts w:eastAsiaTheme="minorEastAsia"/>
          <w:bCs/>
        </w:rPr>
        <w:t xml:space="preserve">No requirements are defined for the case </w:t>
      </w:r>
      <w:r w:rsidRPr="007F59E4">
        <w:rPr>
          <w:lang w:val="sv-SE"/>
        </w:rPr>
        <w:t>when SSB is indicated as PL-RS in UL TCI state in FR2 and PL-RS is not maintained</w:t>
      </w:r>
    </w:p>
    <w:p w14:paraId="1C6E6910" w14:textId="353C5A20" w:rsidR="00757AA8" w:rsidRPr="007F59E4" w:rsidRDefault="00757AA8" w:rsidP="00513440">
      <w:pPr>
        <w:rPr>
          <w:rFonts w:eastAsiaTheme="minorEastAsia"/>
          <w:lang w:eastAsia="zh-CN"/>
        </w:rPr>
      </w:pPr>
    </w:p>
    <w:p w14:paraId="0D537F01" w14:textId="4D1096D7" w:rsidR="00757AA8" w:rsidRPr="007F59E4" w:rsidRDefault="00757AA8" w:rsidP="00757AA8">
      <w:pPr>
        <w:spacing w:after="120"/>
        <w:rPr>
          <w:rFonts w:cstheme="minorHAnsi"/>
          <w:b/>
          <w:bCs/>
          <w:u w:val="single"/>
          <w:lang w:eastAsia="zh-CN"/>
        </w:rPr>
      </w:pPr>
      <w:r w:rsidRPr="007F59E4">
        <w:rPr>
          <w:rFonts w:cstheme="minorHAnsi"/>
          <w:b/>
          <w:bCs/>
          <w:u w:val="single"/>
          <w:lang w:eastAsia="zh-CN"/>
        </w:rPr>
        <w:t xml:space="preserve">Issue 1-2-1 Whether need clarification or update in RAN4 spec when PDCCH/PDSCH and SSB </w:t>
      </w:r>
      <w:r w:rsidR="00AC2DDE" w:rsidRPr="007F59E4">
        <w:rPr>
          <w:rFonts w:cstheme="minorHAnsi"/>
          <w:b/>
          <w:bCs/>
          <w:u w:val="single"/>
          <w:lang w:eastAsia="zh-CN"/>
        </w:rPr>
        <w:t>associated different</w:t>
      </w:r>
      <w:r w:rsidRPr="007F59E4">
        <w:rPr>
          <w:rFonts w:cstheme="minorHAnsi"/>
          <w:b/>
          <w:bCs/>
          <w:u w:val="single"/>
          <w:lang w:eastAsia="zh-CN"/>
        </w:rPr>
        <w:t xml:space="preserve"> PCI are overlapped on the same RE</w:t>
      </w:r>
    </w:p>
    <w:p w14:paraId="08589BD9" w14:textId="77777777" w:rsidR="008B7FBA" w:rsidRPr="007F59E4" w:rsidRDefault="008B7FBA" w:rsidP="008B7FBA">
      <w:pPr>
        <w:pStyle w:val="af"/>
        <w:numPr>
          <w:ilvl w:val="0"/>
          <w:numId w:val="32"/>
        </w:numPr>
        <w:overflowPunct/>
        <w:autoSpaceDE/>
        <w:autoSpaceDN/>
        <w:adjustRightInd/>
        <w:spacing w:after="120" w:line="259" w:lineRule="auto"/>
        <w:ind w:left="720" w:firstLineChars="0"/>
        <w:textAlignment w:val="auto"/>
        <w:rPr>
          <w:rFonts w:eastAsiaTheme="minorEastAsia"/>
          <w:bCs/>
        </w:rPr>
      </w:pPr>
      <w:r w:rsidRPr="007F59E4">
        <w:rPr>
          <w:rFonts w:eastAsiaTheme="minorEastAsia"/>
          <w:bCs/>
        </w:rPr>
        <w:t>Proposals:</w:t>
      </w:r>
    </w:p>
    <w:p w14:paraId="4A5F9445" w14:textId="77777777" w:rsidR="008B7FBA" w:rsidRPr="007F59E4" w:rsidRDefault="008B7FBA" w:rsidP="008B7FBA">
      <w:pPr>
        <w:pStyle w:val="af"/>
        <w:numPr>
          <w:ilvl w:val="1"/>
          <w:numId w:val="32"/>
        </w:numPr>
        <w:overflowPunct/>
        <w:autoSpaceDE/>
        <w:adjustRightInd/>
        <w:spacing w:after="120" w:line="252" w:lineRule="auto"/>
        <w:ind w:left="1656" w:firstLineChars="0"/>
        <w:textAlignment w:val="auto"/>
        <w:rPr>
          <w:rFonts w:eastAsiaTheme="minorEastAsia"/>
          <w:lang w:val="sv-SE"/>
        </w:rPr>
      </w:pPr>
      <w:r w:rsidRPr="007F59E4">
        <w:rPr>
          <w:rFonts w:eastAsiaTheme="minorEastAsia" w:hint="eastAsia"/>
          <w:lang w:val="sv-SE"/>
        </w:rPr>
        <w:t>P</w:t>
      </w:r>
      <w:r w:rsidRPr="007F59E4">
        <w:rPr>
          <w:rFonts w:eastAsiaTheme="minorEastAsia"/>
          <w:lang w:val="sv-SE"/>
        </w:rPr>
        <w:t xml:space="preserve">roposal 1: </w:t>
      </w:r>
      <w:r w:rsidRPr="007F59E4">
        <w:rPr>
          <w:rFonts w:eastAsiaTheme="minorEastAsia" w:hint="eastAsia"/>
          <w:lang w:val="sv-SE"/>
        </w:rPr>
        <w:t>(</w:t>
      </w:r>
      <w:r w:rsidRPr="007F59E4">
        <w:rPr>
          <w:rFonts w:eastAsiaTheme="minorEastAsia"/>
          <w:lang w:val="sv-SE"/>
        </w:rPr>
        <w:t>vivo)</w:t>
      </w:r>
    </w:p>
    <w:p w14:paraId="4FC7FCFF" w14:textId="77777777" w:rsidR="008B7FBA" w:rsidRPr="007F59E4" w:rsidRDefault="008B7FBA" w:rsidP="008B7FBA">
      <w:pPr>
        <w:pStyle w:val="af"/>
        <w:numPr>
          <w:ilvl w:val="2"/>
          <w:numId w:val="32"/>
        </w:numPr>
        <w:overflowPunct/>
        <w:autoSpaceDE/>
        <w:adjustRightInd/>
        <w:spacing w:after="120" w:line="252" w:lineRule="auto"/>
        <w:ind w:left="2376" w:firstLineChars="0"/>
        <w:textAlignment w:val="auto"/>
        <w:rPr>
          <w:lang w:val="sv-SE"/>
        </w:rPr>
      </w:pPr>
      <w:r w:rsidRPr="007F59E4">
        <w:rPr>
          <w:lang w:val="sv-SE"/>
        </w:rPr>
        <w:t>Introduce scheduling restriction</w:t>
      </w:r>
      <w:r w:rsidRPr="007F59E4">
        <w:rPr>
          <w:rFonts w:hint="eastAsia"/>
          <w:lang w:val="sv-SE"/>
        </w:rPr>
        <w:t>s</w:t>
      </w:r>
      <w:r w:rsidRPr="007F59E4">
        <w:rPr>
          <w:lang w:val="sv-SE"/>
        </w:rPr>
        <w:t xml:space="preserve"> for the cases when UE simultaneously receive SSB and PDSCH/PDCCH, while SSB is associated to a PCI different from the PCI to which the active TCI of PDSCH/PDCCH is associated. RRM requirements do not apply for these cases.</w:t>
      </w:r>
    </w:p>
    <w:p w14:paraId="4641ABFC" w14:textId="77777777" w:rsidR="008B7FBA" w:rsidRPr="007F59E4" w:rsidRDefault="008B7FBA" w:rsidP="008B7FBA">
      <w:pPr>
        <w:pStyle w:val="af"/>
        <w:numPr>
          <w:ilvl w:val="1"/>
          <w:numId w:val="32"/>
        </w:numPr>
        <w:overflowPunct/>
        <w:autoSpaceDE/>
        <w:adjustRightInd/>
        <w:spacing w:after="120" w:line="252" w:lineRule="auto"/>
        <w:ind w:left="1656" w:firstLineChars="0"/>
        <w:textAlignment w:val="auto"/>
        <w:rPr>
          <w:rFonts w:eastAsiaTheme="minorEastAsia"/>
          <w:lang w:val="sv-SE"/>
        </w:rPr>
      </w:pPr>
      <w:r w:rsidRPr="007F59E4">
        <w:rPr>
          <w:rFonts w:eastAsiaTheme="minorEastAsia" w:hint="eastAsia"/>
          <w:lang w:val="sv-SE"/>
        </w:rPr>
        <w:t>P</w:t>
      </w:r>
      <w:r w:rsidRPr="007F59E4">
        <w:rPr>
          <w:rFonts w:eastAsiaTheme="minorEastAsia"/>
          <w:lang w:val="sv-SE"/>
        </w:rPr>
        <w:t>roposal 3: (Ericsson)</w:t>
      </w:r>
    </w:p>
    <w:p w14:paraId="606FCB38" w14:textId="77777777" w:rsidR="008B7FBA" w:rsidRPr="007F59E4" w:rsidRDefault="008B7FBA" w:rsidP="008B7FBA">
      <w:pPr>
        <w:pStyle w:val="af"/>
        <w:numPr>
          <w:ilvl w:val="2"/>
          <w:numId w:val="32"/>
        </w:numPr>
        <w:overflowPunct/>
        <w:autoSpaceDE/>
        <w:adjustRightInd/>
        <w:spacing w:after="120" w:line="252" w:lineRule="auto"/>
        <w:ind w:left="2376" w:firstLineChars="0"/>
        <w:textAlignment w:val="auto"/>
        <w:rPr>
          <w:lang w:val="sv-SE"/>
        </w:rPr>
      </w:pPr>
      <w:r w:rsidRPr="007F59E4">
        <w:rPr>
          <w:rFonts w:eastAsiaTheme="minorEastAsia" w:hint="eastAsia"/>
          <w:lang w:val="sv-SE"/>
        </w:rPr>
        <w:t>D</w:t>
      </w:r>
      <w:r w:rsidRPr="007F59E4">
        <w:rPr>
          <w:rFonts w:eastAsiaTheme="minorEastAsia"/>
          <w:lang w:val="sv-SE"/>
        </w:rPr>
        <w:t>o not agree to introduce s</w:t>
      </w:r>
      <w:r w:rsidRPr="007F59E4">
        <w:rPr>
          <w:lang w:val="sv-SE"/>
        </w:rPr>
        <w:t xml:space="preserve">cheduling restriction “if the TCI state of the PDSCH /PDCCH is associated to the SSB of the cell with different PCI, UE is not expected to receive PDSCH/PDCCH </w:t>
      </w:r>
      <w:r w:rsidRPr="007F59E4">
        <w:rPr>
          <w:lang w:val="sv-SE"/>
        </w:rPr>
        <w:lastRenderedPageBreak/>
        <w:t>on the symbols corresponding to the SSB indexes configured for L1-RSRP measurement on the serving cell”</w:t>
      </w:r>
    </w:p>
    <w:p w14:paraId="6F2DE7D5" w14:textId="77777777" w:rsidR="00E34300" w:rsidRPr="007F59E4" w:rsidRDefault="00E34300" w:rsidP="00513440">
      <w:pPr>
        <w:rPr>
          <w:rFonts w:eastAsiaTheme="minorEastAsia"/>
          <w:lang w:val="sv-SE" w:eastAsia="zh-CN"/>
        </w:rPr>
      </w:pPr>
    </w:p>
    <w:sectPr w:rsidR="00E34300" w:rsidRPr="007F59E4"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B4E18" w14:textId="77777777" w:rsidR="00155825" w:rsidRPr="00A10429" w:rsidRDefault="00155825" w:rsidP="0064547A">
      <w:pPr>
        <w:spacing w:after="0"/>
        <w:rPr>
          <w:kern w:val="2"/>
          <w:lang w:eastAsia="zh-CN"/>
        </w:rPr>
      </w:pPr>
      <w:r>
        <w:separator/>
      </w:r>
    </w:p>
  </w:endnote>
  <w:endnote w:type="continuationSeparator" w:id="0">
    <w:p w14:paraId="46755CF7" w14:textId="77777777" w:rsidR="00155825" w:rsidRPr="00A10429" w:rsidRDefault="00155825"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C0E45" w14:textId="77777777" w:rsidR="00155825" w:rsidRPr="00A10429" w:rsidRDefault="00155825" w:rsidP="0064547A">
      <w:pPr>
        <w:spacing w:after="0"/>
        <w:rPr>
          <w:kern w:val="2"/>
          <w:lang w:eastAsia="zh-CN"/>
        </w:rPr>
      </w:pPr>
      <w:r>
        <w:separator/>
      </w:r>
    </w:p>
  </w:footnote>
  <w:footnote w:type="continuationSeparator" w:id="0">
    <w:p w14:paraId="79C590FF" w14:textId="77777777" w:rsidR="00155825" w:rsidRPr="00A10429" w:rsidRDefault="00155825"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BC072FF"/>
    <w:multiLevelType w:val="hybridMultilevel"/>
    <w:tmpl w:val="BF5236C0"/>
    <w:lvl w:ilvl="0" w:tplc="6580771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C47E87"/>
    <w:multiLevelType w:val="hybridMultilevel"/>
    <w:tmpl w:val="98D6E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457053"/>
    <w:multiLevelType w:val="multilevel"/>
    <w:tmpl w:val="0F45705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09C1FA8"/>
    <w:multiLevelType w:val="multilevel"/>
    <w:tmpl w:val="309C1F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F3472B1"/>
    <w:multiLevelType w:val="multilevel"/>
    <w:tmpl w:val="3F3472B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7A4B43"/>
    <w:multiLevelType w:val="multilevel"/>
    <w:tmpl w:val="4F7A4B43"/>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0424303"/>
    <w:multiLevelType w:val="hybridMultilevel"/>
    <w:tmpl w:val="F7FAC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FC38E3"/>
    <w:multiLevelType w:val="hybridMultilevel"/>
    <w:tmpl w:val="64B61B80"/>
    <w:lvl w:ilvl="0" w:tplc="1EA631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B73482"/>
    <w:multiLevelType w:val="hybridMultilevel"/>
    <w:tmpl w:val="7E26F99C"/>
    <w:lvl w:ilvl="0" w:tplc="08090001">
      <w:start w:val="1"/>
      <w:numFmt w:val="bullet"/>
      <w:lvlText w:val=""/>
      <w:lvlJc w:val="left"/>
      <w:pPr>
        <w:ind w:left="360" w:hanging="360"/>
      </w:pPr>
      <w:rPr>
        <w:rFonts w:ascii="Symbol" w:hAnsi="Symbol" w:hint="default"/>
      </w:rPr>
    </w:lvl>
    <w:lvl w:ilvl="1" w:tplc="0A860F42">
      <w:start w:val="1"/>
      <w:numFmt w:val="bullet"/>
      <w:lvlText w:val=""/>
      <w:lvlJc w:val="left"/>
      <w:pPr>
        <w:ind w:left="1080" w:hanging="360"/>
      </w:pPr>
      <w:rPr>
        <w:rFonts w:ascii="Wingdings" w:hAnsi="Wingdings"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1"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1F5A22"/>
    <w:multiLevelType w:val="multilevel"/>
    <w:tmpl w:val="671F5A2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AA44B4"/>
    <w:multiLevelType w:val="hybridMultilevel"/>
    <w:tmpl w:val="D38AD164"/>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17"/>
  </w:num>
  <w:num w:numId="3">
    <w:abstractNumId w:val="31"/>
  </w:num>
  <w:num w:numId="4">
    <w:abstractNumId w:val="16"/>
  </w:num>
  <w:num w:numId="5">
    <w:abstractNumId w:val="7"/>
  </w:num>
  <w:num w:numId="6">
    <w:abstractNumId w:val="23"/>
  </w:num>
  <w:num w:numId="7">
    <w:abstractNumId w:val="6"/>
  </w:num>
  <w:num w:numId="8">
    <w:abstractNumId w:val="22"/>
  </w:num>
  <w:num w:numId="9">
    <w:abstractNumId w:val="34"/>
  </w:num>
  <w:num w:numId="10">
    <w:abstractNumId w:val="34"/>
  </w:num>
  <w:num w:numId="11">
    <w:abstractNumId w:val="1"/>
  </w:num>
  <w:num w:numId="12">
    <w:abstractNumId w:val="11"/>
  </w:num>
  <w:num w:numId="13">
    <w:abstractNumId w:val="10"/>
  </w:num>
  <w:num w:numId="14">
    <w:abstractNumId w:val="30"/>
  </w:num>
  <w:num w:numId="15">
    <w:abstractNumId w:val="34"/>
  </w:num>
  <w:num w:numId="16">
    <w:abstractNumId w:val="34"/>
  </w:num>
  <w:num w:numId="17">
    <w:abstractNumId w:val="21"/>
  </w:num>
  <w:num w:numId="18">
    <w:abstractNumId w:val="35"/>
  </w:num>
  <w:num w:numId="19">
    <w:abstractNumId w:val="34"/>
  </w:num>
  <w:num w:numId="20">
    <w:abstractNumId w:val="8"/>
  </w:num>
  <w:num w:numId="21">
    <w:abstractNumId w:val="34"/>
  </w:num>
  <w:num w:numId="22">
    <w:abstractNumId w:val="34"/>
  </w:num>
  <w:num w:numId="23">
    <w:abstractNumId w:val="12"/>
  </w:num>
  <w:num w:numId="24">
    <w:abstractNumId w:val="4"/>
  </w:num>
  <w:num w:numId="25">
    <w:abstractNumId w:val="0"/>
  </w:num>
  <w:num w:numId="26">
    <w:abstractNumId w:val="13"/>
  </w:num>
  <w:num w:numId="27">
    <w:abstractNumId w:val="14"/>
  </w:num>
  <w:num w:numId="28">
    <w:abstractNumId w:val="24"/>
  </w:num>
  <w:num w:numId="29">
    <w:abstractNumId w:val="28"/>
  </w:num>
  <w:num w:numId="30">
    <w:abstractNumId w:val="20"/>
  </w:num>
  <w:num w:numId="31">
    <w:abstractNumId w:val="19"/>
  </w:num>
  <w:num w:numId="32">
    <w:abstractNumId w:val="29"/>
  </w:num>
  <w:num w:numId="33">
    <w:abstractNumId w:val="36"/>
  </w:num>
  <w:num w:numId="34">
    <w:abstractNumId w:val="27"/>
  </w:num>
  <w:num w:numId="35">
    <w:abstractNumId w:val="26"/>
  </w:num>
  <w:num w:numId="36">
    <w:abstractNumId w:val="2"/>
  </w:num>
  <w:num w:numId="37">
    <w:abstractNumId w:val="3"/>
  </w:num>
  <w:num w:numId="38">
    <w:abstractNumId w:val="9"/>
  </w:num>
  <w:num w:numId="39">
    <w:abstractNumId w:val="33"/>
  </w:num>
  <w:num w:numId="40">
    <w:abstractNumId w:val="5"/>
  </w:num>
  <w:num w:numId="41">
    <w:abstractNumId w:val="25"/>
  </w:num>
  <w:num w:numId="42">
    <w:abstractNumId w:val="15"/>
  </w:num>
  <w:num w:numId="43">
    <w:abstractNumId w:val="33"/>
  </w:num>
  <w:num w:numId="44">
    <w:abstractNumId w:val="32"/>
  </w:num>
  <w:num w:numId="4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2E71"/>
    <w:rsid w:val="0001310A"/>
    <w:rsid w:val="0001335E"/>
    <w:rsid w:val="000134D3"/>
    <w:rsid w:val="000134EA"/>
    <w:rsid w:val="00013C34"/>
    <w:rsid w:val="000142FF"/>
    <w:rsid w:val="0001521F"/>
    <w:rsid w:val="000160F7"/>
    <w:rsid w:val="00016143"/>
    <w:rsid w:val="000169D1"/>
    <w:rsid w:val="00016D9E"/>
    <w:rsid w:val="00017375"/>
    <w:rsid w:val="000178B7"/>
    <w:rsid w:val="000201C7"/>
    <w:rsid w:val="000212F9"/>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3BF0"/>
    <w:rsid w:val="000346D6"/>
    <w:rsid w:val="000363CC"/>
    <w:rsid w:val="000371E4"/>
    <w:rsid w:val="00040CD4"/>
    <w:rsid w:val="00041630"/>
    <w:rsid w:val="0004178B"/>
    <w:rsid w:val="00042511"/>
    <w:rsid w:val="00044C28"/>
    <w:rsid w:val="00044F34"/>
    <w:rsid w:val="00045E00"/>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6ED5"/>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51C"/>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517"/>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394"/>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0E8A"/>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825"/>
    <w:rsid w:val="00155FC8"/>
    <w:rsid w:val="00156368"/>
    <w:rsid w:val="00157359"/>
    <w:rsid w:val="00157EC4"/>
    <w:rsid w:val="001617B9"/>
    <w:rsid w:val="00162690"/>
    <w:rsid w:val="0016274A"/>
    <w:rsid w:val="00162CC9"/>
    <w:rsid w:val="0016310D"/>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4FD8"/>
    <w:rsid w:val="00175B25"/>
    <w:rsid w:val="00176367"/>
    <w:rsid w:val="0017793C"/>
    <w:rsid w:val="00177CA1"/>
    <w:rsid w:val="00180A37"/>
    <w:rsid w:val="0018149C"/>
    <w:rsid w:val="00181C7F"/>
    <w:rsid w:val="00183889"/>
    <w:rsid w:val="00183CEE"/>
    <w:rsid w:val="00184F92"/>
    <w:rsid w:val="001856EB"/>
    <w:rsid w:val="00185B97"/>
    <w:rsid w:val="00186537"/>
    <w:rsid w:val="00186634"/>
    <w:rsid w:val="00186D2E"/>
    <w:rsid w:val="001876A5"/>
    <w:rsid w:val="00187BDF"/>
    <w:rsid w:val="00187D2B"/>
    <w:rsid w:val="00190D3D"/>
    <w:rsid w:val="001923D1"/>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27B"/>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4FCB"/>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17"/>
    <w:rsid w:val="00247BBE"/>
    <w:rsid w:val="00250029"/>
    <w:rsid w:val="00250260"/>
    <w:rsid w:val="002505BC"/>
    <w:rsid w:val="002505EE"/>
    <w:rsid w:val="00250C95"/>
    <w:rsid w:val="0025149C"/>
    <w:rsid w:val="00252694"/>
    <w:rsid w:val="00252EE5"/>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C7F61"/>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27"/>
    <w:rsid w:val="002F709A"/>
    <w:rsid w:val="002F79CD"/>
    <w:rsid w:val="002F7D70"/>
    <w:rsid w:val="003007E7"/>
    <w:rsid w:val="00301F58"/>
    <w:rsid w:val="003021DB"/>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953"/>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129"/>
    <w:rsid w:val="0035237C"/>
    <w:rsid w:val="00355B5C"/>
    <w:rsid w:val="00357463"/>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CE6"/>
    <w:rsid w:val="00377D58"/>
    <w:rsid w:val="00380711"/>
    <w:rsid w:val="00380FFC"/>
    <w:rsid w:val="00381ACC"/>
    <w:rsid w:val="00382597"/>
    <w:rsid w:val="003826BE"/>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40B"/>
    <w:rsid w:val="003F69CC"/>
    <w:rsid w:val="003F6CF8"/>
    <w:rsid w:val="00400456"/>
    <w:rsid w:val="00400C4A"/>
    <w:rsid w:val="004012B3"/>
    <w:rsid w:val="0040193A"/>
    <w:rsid w:val="00401B84"/>
    <w:rsid w:val="00402439"/>
    <w:rsid w:val="0040266A"/>
    <w:rsid w:val="00402879"/>
    <w:rsid w:val="00403C32"/>
    <w:rsid w:val="004048E8"/>
    <w:rsid w:val="00404FC1"/>
    <w:rsid w:val="00405461"/>
    <w:rsid w:val="0040649A"/>
    <w:rsid w:val="0040652B"/>
    <w:rsid w:val="00407525"/>
    <w:rsid w:val="00410022"/>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28B"/>
    <w:rsid w:val="0044560C"/>
    <w:rsid w:val="004465DF"/>
    <w:rsid w:val="00450158"/>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C42"/>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7664"/>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B13"/>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82F"/>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6C4E"/>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440"/>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32A"/>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8E1"/>
    <w:rsid w:val="00554B06"/>
    <w:rsid w:val="00554C80"/>
    <w:rsid w:val="0055507D"/>
    <w:rsid w:val="005559BA"/>
    <w:rsid w:val="00555A76"/>
    <w:rsid w:val="005564BC"/>
    <w:rsid w:val="0055671D"/>
    <w:rsid w:val="00557448"/>
    <w:rsid w:val="0056000C"/>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DAF"/>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5BDE"/>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E78"/>
    <w:rsid w:val="005F43E7"/>
    <w:rsid w:val="005F466E"/>
    <w:rsid w:val="005F5231"/>
    <w:rsid w:val="005F5C82"/>
    <w:rsid w:val="005F6E45"/>
    <w:rsid w:val="00600172"/>
    <w:rsid w:val="00600ED0"/>
    <w:rsid w:val="006013E0"/>
    <w:rsid w:val="00602172"/>
    <w:rsid w:val="00602299"/>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718"/>
    <w:rsid w:val="00610CA5"/>
    <w:rsid w:val="006113BE"/>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013"/>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23A"/>
    <w:rsid w:val="00672245"/>
    <w:rsid w:val="0067290C"/>
    <w:rsid w:val="00673480"/>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A64"/>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4C6"/>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C71"/>
    <w:rsid w:val="00717F8C"/>
    <w:rsid w:val="0072085C"/>
    <w:rsid w:val="00720D96"/>
    <w:rsid w:val="0072128B"/>
    <w:rsid w:val="00721580"/>
    <w:rsid w:val="0072169C"/>
    <w:rsid w:val="00721928"/>
    <w:rsid w:val="00722BAC"/>
    <w:rsid w:val="0072319E"/>
    <w:rsid w:val="00723FC5"/>
    <w:rsid w:val="0072471D"/>
    <w:rsid w:val="00725192"/>
    <w:rsid w:val="007257CB"/>
    <w:rsid w:val="00725871"/>
    <w:rsid w:val="00726C28"/>
    <w:rsid w:val="0072704C"/>
    <w:rsid w:val="0072787A"/>
    <w:rsid w:val="00730F80"/>
    <w:rsid w:val="0073102C"/>
    <w:rsid w:val="00731616"/>
    <w:rsid w:val="00731D52"/>
    <w:rsid w:val="00732472"/>
    <w:rsid w:val="00732763"/>
    <w:rsid w:val="00732A4A"/>
    <w:rsid w:val="0073332B"/>
    <w:rsid w:val="0073337E"/>
    <w:rsid w:val="00733AF0"/>
    <w:rsid w:val="00734046"/>
    <w:rsid w:val="0073634D"/>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57AA8"/>
    <w:rsid w:val="00761D2B"/>
    <w:rsid w:val="00762396"/>
    <w:rsid w:val="00762891"/>
    <w:rsid w:val="00763D3E"/>
    <w:rsid w:val="007656F7"/>
    <w:rsid w:val="00766478"/>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64"/>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64B8"/>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4C47"/>
    <w:rsid w:val="007F59E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548"/>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247"/>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1FA3"/>
    <w:rsid w:val="008B3864"/>
    <w:rsid w:val="008B3A21"/>
    <w:rsid w:val="008B468B"/>
    <w:rsid w:val="008B52A8"/>
    <w:rsid w:val="008B54D8"/>
    <w:rsid w:val="008B579C"/>
    <w:rsid w:val="008B5F2B"/>
    <w:rsid w:val="008B635D"/>
    <w:rsid w:val="008B64F7"/>
    <w:rsid w:val="008B6AF8"/>
    <w:rsid w:val="008B7C2E"/>
    <w:rsid w:val="008B7E6D"/>
    <w:rsid w:val="008B7FBA"/>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06CE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6B7D"/>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9D6"/>
    <w:rsid w:val="00963BCD"/>
    <w:rsid w:val="009644D5"/>
    <w:rsid w:val="0096468A"/>
    <w:rsid w:val="00965D0E"/>
    <w:rsid w:val="00967098"/>
    <w:rsid w:val="00967DF2"/>
    <w:rsid w:val="00970E56"/>
    <w:rsid w:val="009719DF"/>
    <w:rsid w:val="00972605"/>
    <w:rsid w:val="00974949"/>
    <w:rsid w:val="009762E8"/>
    <w:rsid w:val="00976373"/>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E9E"/>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398"/>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202"/>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3EE8"/>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B7BF9"/>
    <w:rsid w:val="00AC0911"/>
    <w:rsid w:val="00AC21AF"/>
    <w:rsid w:val="00AC22C6"/>
    <w:rsid w:val="00AC24EF"/>
    <w:rsid w:val="00AC2CA3"/>
    <w:rsid w:val="00AC2D6E"/>
    <w:rsid w:val="00AC2D72"/>
    <w:rsid w:val="00AC2DDE"/>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8DE"/>
    <w:rsid w:val="00B12B8D"/>
    <w:rsid w:val="00B13FBD"/>
    <w:rsid w:val="00B145B6"/>
    <w:rsid w:val="00B14B09"/>
    <w:rsid w:val="00B14E65"/>
    <w:rsid w:val="00B153D0"/>
    <w:rsid w:val="00B15450"/>
    <w:rsid w:val="00B15DE2"/>
    <w:rsid w:val="00B15E3C"/>
    <w:rsid w:val="00B17B43"/>
    <w:rsid w:val="00B21230"/>
    <w:rsid w:val="00B225AA"/>
    <w:rsid w:val="00B22EBA"/>
    <w:rsid w:val="00B24056"/>
    <w:rsid w:val="00B240B1"/>
    <w:rsid w:val="00B2492B"/>
    <w:rsid w:val="00B25EC7"/>
    <w:rsid w:val="00B26EB9"/>
    <w:rsid w:val="00B277C2"/>
    <w:rsid w:val="00B27E50"/>
    <w:rsid w:val="00B3002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1DE3"/>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499"/>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153D"/>
    <w:rsid w:val="00BD2142"/>
    <w:rsid w:val="00BD2371"/>
    <w:rsid w:val="00BD3B76"/>
    <w:rsid w:val="00BD581E"/>
    <w:rsid w:val="00BD5B22"/>
    <w:rsid w:val="00BD5ED2"/>
    <w:rsid w:val="00BD5FA4"/>
    <w:rsid w:val="00BD6032"/>
    <w:rsid w:val="00BD61AC"/>
    <w:rsid w:val="00BD6279"/>
    <w:rsid w:val="00BD78D6"/>
    <w:rsid w:val="00BD7E39"/>
    <w:rsid w:val="00BE02AE"/>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5DB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72B"/>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49D6"/>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91D"/>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04A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90"/>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19D4"/>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301C"/>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677"/>
    <w:rsid w:val="00E2498A"/>
    <w:rsid w:val="00E253E1"/>
    <w:rsid w:val="00E256F1"/>
    <w:rsid w:val="00E25936"/>
    <w:rsid w:val="00E259F0"/>
    <w:rsid w:val="00E25FC3"/>
    <w:rsid w:val="00E2667A"/>
    <w:rsid w:val="00E26988"/>
    <w:rsid w:val="00E26EF6"/>
    <w:rsid w:val="00E26F0F"/>
    <w:rsid w:val="00E316A2"/>
    <w:rsid w:val="00E31999"/>
    <w:rsid w:val="00E3262D"/>
    <w:rsid w:val="00E33D04"/>
    <w:rsid w:val="00E3422A"/>
    <w:rsid w:val="00E34300"/>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53DD"/>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C0E"/>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0B49"/>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9A1"/>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68"/>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3D90"/>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408B"/>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4DC"/>
    <w:rsid w:val="00FD2A9A"/>
    <w:rsid w:val="00FD3278"/>
    <w:rsid w:val="00FD4063"/>
    <w:rsid w:val="00FD40FB"/>
    <w:rsid w:val="00FD46AF"/>
    <w:rsid w:val="00FD47CB"/>
    <w:rsid w:val="00FD4E21"/>
    <w:rsid w:val="00FD4F82"/>
    <w:rsid w:val="00FD6239"/>
    <w:rsid w:val="00FD638A"/>
    <w:rsid w:val="00FD6F1A"/>
    <w:rsid w:val="00FD771B"/>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08FC"/>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3E08FC"/>
    <w:pPr>
      <w:ind w:left="1418" w:hanging="1418"/>
      <w:outlineLvl w:val="3"/>
    </w:pPr>
    <w:rPr>
      <w:sz w:val="24"/>
    </w:rPr>
  </w:style>
  <w:style w:type="paragraph" w:styleId="5">
    <w:name w:val="heading 5"/>
    <w:basedOn w:val="4"/>
    <w:next w:val="a"/>
    <w:link w:val="50"/>
    <w:qFormat/>
    <w:rsid w:val="003E08FC"/>
    <w:pPr>
      <w:ind w:left="1701" w:hanging="1701"/>
      <w:outlineLvl w:val="4"/>
    </w:pPr>
    <w:rPr>
      <w:sz w:val="22"/>
    </w:rPr>
  </w:style>
  <w:style w:type="paragraph" w:styleId="6">
    <w:name w:val="heading 6"/>
    <w:basedOn w:val="H6"/>
    <w:next w:val="a"/>
    <w:link w:val="60"/>
    <w:qFormat/>
    <w:rsid w:val="003E08FC"/>
    <w:pPr>
      <w:outlineLvl w:val="5"/>
    </w:pPr>
  </w:style>
  <w:style w:type="paragraph" w:styleId="7">
    <w:name w:val="heading 7"/>
    <w:basedOn w:val="H6"/>
    <w:next w:val="a"/>
    <w:link w:val="70"/>
    <w:qFormat/>
    <w:rsid w:val="003E08FC"/>
    <w:pPr>
      <w:outlineLvl w:val="6"/>
    </w:pPr>
  </w:style>
  <w:style w:type="paragraph" w:styleId="8">
    <w:name w:val="heading 8"/>
    <w:basedOn w:val="1"/>
    <w:next w:val="a"/>
    <w:link w:val="80"/>
    <w:qFormat/>
    <w:rsid w:val="003E08FC"/>
    <w:pPr>
      <w:ind w:left="0" w:firstLine="0"/>
      <w:outlineLvl w:val="7"/>
    </w:pPr>
  </w:style>
  <w:style w:type="paragraph" w:styleId="9">
    <w:name w:val="heading 9"/>
    <w:basedOn w:val="8"/>
    <w:next w:val="a"/>
    <w:link w:val="90"/>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3E08FC"/>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3E08FC"/>
    <w:pPr>
      <w:keepNext/>
      <w:keepLines/>
      <w:spacing w:after="0"/>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3E08FC"/>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落11"/>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21">
    <w:name w:val="index 2"/>
    <w:basedOn w:val="11"/>
    <w:semiHidden/>
    <w:rsid w:val="003E08FC"/>
    <w:pPr>
      <w:ind w:left="284"/>
    </w:pPr>
  </w:style>
  <w:style w:type="paragraph" w:styleId="11">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f2"/>
    <w:semiHidden/>
    <w:rsid w:val="003E08FC"/>
    <w:pPr>
      <w:ind w:left="851"/>
    </w:pPr>
  </w:style>
  <w:style w:type="character" w:styleId="af3">
    <w:name w:val="footnote reference"/>
    <w:basedOn w:val="a0"/>
    <w:semiHidden/>
    <w:rsid w:val="003E08FC"/>
    <w:rPr>
      <w:b/>
      <w:position w:val="6"/>
      <w:sz w:val="16"/>
    </w:rPr>
  </w:style>
  <w:style w:type="paragraph" w:styleId="af4">
    <w:name w:val="footnote text"/>
    <w:basedOn w:val="a"/>
    <w:link w:val="af5"/>
    <w:semiHidden/>
    <w:rsid w:val="003E08FC"/>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a"/>
    <w:semiHidden/>
    <w:rsid w:val="003E08FC"/>
    <w:pPr>
      <w:ind w:left="1985" w:hanging="1985"/>
    </w:pPr>
  </w:style>
  <w:style w:type="paragraph" w:styleId="TOC7">
    <w:name w:val="toc 7"/>
    <w:basedOn w:val="TOC6"/>
    <w:next w:val="a"/>
    <w:semiHidden/>
    <w:rsid w:val="003E08FC"/>
    <w:pPr>
      <w:ind w:left="2268" w:hanging="2268"/>
    </w:pPr>
  </w:style>
  <w:style w:type="paragraph" w:styleId="23">
    <w:name w:val="List Bullet 2"/>
    <w:basedOn w:val="af6"/>
    <w:semiHidden/>
    <w:rsid w:val="003E08FC"/>
    <w:pPr>
      <w:ind w:left="851"/>
    </w:pPr>
  </w:style>
  <w:style w:type="paragraph" w:styleId="31">
    <w:name w:val="List Bullet 3"/>
    <w:basedOn w:val="23"/>
    <w:semiHidden/>
    <w:rsid w:val="003E08FC"/>
    <w:pPr>
      <w:ind w:left="1135"/>
    </w:pPr>
  </w:style>
  <w:style w:type="paragraph" w:styleId="af2">
    <w:name w:val="List Number"/>
    <w:basedOn w:val="af7"/>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7"/>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E08FC"/>
    <w:pPr>
      <w:ind w:left="1135"/>
    </w:pPr>
  </w:style>
  <w:style w:type="paragraph" w:styleId="41">
    <w:name w:val="List 4"/>
    <w:basedOn w:val="32"/>
    <w:semiHidden/>
    <w:rsid w:val="003E08FC"/>
    <w:pPr>
      <w:ind w:left="1418"/>
    </w:pPr>
  </w:style>
  <w:style w:type="paragraph" w:styleId="51">
    <w:name w:val="List 5"/>
    <w:basedOn w:val="41"/>
    <w:semiHidden/>
    <w:rsid w:val="003E08FC"/>
    <w:pPr>
      <w:ind w:left="1702"/>
    </w:pPr>
  </w:style>
  <w:style w:type="paragraph" w:customStyle="1" w:styleId="EditorsNote">
    <w:name w:val="Editor's Note"/>
    <w:basedOn w:val="NO"/>
    <w:rsid w:val="003E08FC"/>
    <w:rPr>
      <w:color w:val="FF0000"/>
    </w:rPr>
  </w:style>
  <w:style w:type="paragraph" w:styleId="af7">
    <w:name w:val="List"/>
    <w:basedOn w:val="a"/>
    <w:semiHidden/>
    <w:rsid w:val="003E08FC"/>
    <w:pPr>
      <w:ind w:left="568" w:hanging="284"/>
    </w:pPr>
  </w:style>
  <w:style w:type="paragraph" w:styleId="af6">
    <w:name w:val="List Bullet"/>
    <w:basedOn w:val="af7"/>
    <w:semiHidden/>
    <w:rsid w:val="003E08FC"/>
  </w:style>
  <w:style w:type="paragraph" w:styleId="42">
    <w:name w:val="List Bullet 4"/>
    <w:basedOn w:val="31"/>
    <w:semiHidden/>
    <w:rsid w:val="003E08FC"/>
    <w:pPr>
      <w:ind w:left="1418"/>
    </w:pPr>
  </w:style>
  <w:style w:type="paragraph" w:styleId="52">
    <w:name w:val="List Bullet 5"/>
    <w:basedOn w:val="42"/>
    <w:semiHidden/>
    <w:rsid w:val="003E08FC"/>
    <w:pPr>
      <w:ind w:left="1702"/>
    </w:pPr>
  </w:style>
  <w:style w:type="paragraph" w:customStyle="1" w:styleId="B1">
    <w:name w:val="B1"/>
    <w:basedOn w:val="af7"/>
    <w:rsid w:val="003E08FC"/>
  </w:style>
  <w:style w:type="paragraph" w:customStyle="1" w:styleId="B2">
    <w:name w:val="B2"/>
    <w:basedOn w:val="24"/>
    <w:rsid w:val="003E08FC"/>
  </w:style>
  <w:style w:type="paragraph" w:customStyle="1" w:styleId="B3">
    <w:name w:val="B3"/>
    <w:basedOn w:val="32"/>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
    <w:uiPriority w:val="34"/>
    <w:qFormat/>
    <w:locked/>
    <w:rsid w:val="00906CEB"/>
    <w:rPr>
      <w:rFonts w:ascii="Times New Roman" w:eastAsia="Times New Roman" w:hAnsi="Times New Roman"/>
    </w:rPr>
  </w:style>
  <w:style w:type="paragraph" w:styleId="af8">
    <w:name w:val="Revision"/>
    <w:hidden/>
    <w:uiPriority w:val="99"/>
    <w:semiHidden/>
    <w:rsid w:val="001923D1"/>
    <w:rPr>
      <w:rFonts w:ascii="Times New Roman" w:eastAsia="Times New Roman" w:hAnsi="Times New Roman"/>
    </w:rPr>
  </w:style>
  <w:style w:type="character" w:styleId="af9">
    <w:name w:val="Emphasis"/>
    <w:qFormat/>
    <w:rsid w:val="00CF04A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89064222">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1012</TotalTime>
  <Pages>2</Pages>
  <Words>343</Words>
  <Characters>1959</Characters>
  <Application>Microsoft Office Word</Application>
  <DocSecurity>0</DocSecurity>
  <Lines>16</Lines>
  <Paragraphs>4</Paragraphs>
  <ScaleCrop>false</ScaleCrop>
  <Company>Huawei Technologies Co.,Ltd.</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Yanze, samsung</cp:lastModifiedBy>
  <cp:revision>91</cp:revision>
  <dcterms:created xsi:type="dcterms:W3CDTF">2023-01-18T14:53:00Z</dcterms:created>
  <dcterms:modified xsi:type="dcterms:W3CDTF">2023-05-26T00:09:00Z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