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C13F75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66B66">
        <w:rPr>
          <w:rFonts w:ascii="Arial" w:eastAsia="SimSun" w:hAnsi="Arial" w:cs="Times New Roman"/>
          <w:b/>
          <w:bCs/>
          <w:sz w:val="24"/>
          <w:szCs w:val="20"/>
        </w:rPr>
        <w:t>3GPP T</w:t>
      </w:r>
      <w:bookmarkStart w:id="2" w:name="_Ref452454252"/>
      <w:bookmarkEnd w:id="2"/>
      <w:r w:rsidRPr="00766B66">
        <w:rPr>
          <w:rFonts w:ascii="Arial" w:eastAsia="SimSun" w:hAnsi="Arial" w:cs="Times New Roman"/>
          <w:b/>
          <w:bCs/>
          <w:sz w:val="24"/>
          <w:szCs w:val="20"/>
        </w:rPr>
        <w:t xml:space="preserve">SG-RAN </w:t>
      </w:r>
      <w:r w:rsidR="00ED7600" w:rsidRPr="00766B66">
        <w:rPr>
          <w:rFonts w:ascii="Arial" w:eastAsia="SimSun" w:hAnsi="Arial" w:cs="Times New Roman"/>
          <w:b/>
          <w:sz w:val="24"/>
          <w:szCs w:val="20"/>
        </w:rPr>
        <w:t>WG4 Meeting #</w:t>
      </w:r>
      <w:r w:rsidR="001868EE" w:rsidRPr="00766B66">
        <w:rPr>
          <w:rFonts w:ascii="Arial" w:eastAsia="SimSun" w:hAnsi="Arial" w:cs="Times New Roman"/>
          <w:b/>
          <w:sz w:val="24"/>
          <w:szCs w:val="20"/>
        </w:rPr>
        <w:t>10</w:t>
      </w:r>
      <w:r w:rsidR="004D3C47">
        <w:rPr>
          <w:rFonts w:ascii="Arial" w:eastAsia="SimSun" w:hAnsi="Arial" w:cs="Times New Roman"/>
          <w:b/>
          <w:sz w:val="24"/>
          <w:szCs w:val="20"/>
        </w:rPr>
        <w:t>7</w:t>
      </w:r>
      <w:r w:rsidR="006A3C11" w:rsidRPr="00766B66">
        <w:rPr>
          <w:rFonts w:ascii="Arial" w:eastAsia="SimSun" w:hAnsi="Arial" w:cs="Times New Roman"/>
          <w:b/>
          <w:sz w:val="24"/>
          <w:szCs w:val="20"/>
        </w:rPr>
        <w:t xml:space="preserve"> </w:t>
      </w:r>
      <w:r w:rsidRPr="00766B66">
        <w:rPr>
          <w:rFonts w:ascii="Arial" w:eastAsia="SimSun" w:hAnsi="Arial" w:cs="Times New Roman"/>
          <w:b/>
          <w:bCs/>
          <w:sz w:val="24"/>
          <w:szCs w:val="20"/>
        </w:rPr>
        <w:tab/>
      </w:r>
      <w:r w:rsidR="003E3BDB" w:rsidRPr="00766B66">
        <w:rPr>
          <w:rFonts w:ascii="Arial" w:eastAsia="SimSun" w:hAnsi="Arial" w:cs="Times New Roman"/>
          <w:b/>
          <w:bCs/>
          <w:sz w:val="24"/>
          <w:szCs w:val="20"/>
          <w:lang w:eastAsia="zh-CN"/>
        </w:rPr>
        <w:t>R4-230</w:t>
      </w:r>
      <w:r w:rsidR="00D944C5">
        <w:rPr>
          <w:rFonts w:ascii="Arial" w:eastAsia="SimSun" w:hAnsi="Arial" w:cs="Times New Roman"/>
          <w:b/>
          <w:bCs/>
          <w:sz w:val="24"/>
          <w:szCs w:val="20"/>
          <w:lang w:eastAsia="zh-CN"/>
        </w:rPr>
        <w:t>8780</w:t>
      </w:r>
    </w:p>
    <w:p w14:paraId="457FCC4F" w14:textId="48473B0D" w:rsidR="00841BCD" w:rsidRPr="00EF698B" w:rsidRDefault="00A5353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w:t>
      </w:r>
      <w:r w:rsidR="003C4FDE">
        <w:rPr>
          <w:rFonts w:ascii="Arial" w:eastAsia="SimSun" w:hAnsi="Arial" w:cs="Times New Roman"/>
          <w:b/>
          <w:sz w:val="24"/>
          <w:szCs w:val="20"/>
        </w:rPr>
        <w:t xml:space="preserve"> </w:t>
      </w:r>
      <w:r>
        <w:rPr>
          <w:rFonts w:ascii="Arial" w:eastAsia="SimSun" w:hAnsi="Arial" w:cs="Times New Roman"/>
          <w:b/>
          <w:sz w:val="24"/>
          <w:szCs w:val="20"/>
        </w:rPr>
        <w:t>Korea</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May</w:t>
      </w:r>
      <w:r w:rsidR="00521576">
        <w:rPr>
          <w:rFonts w:ascii="Arial" w:eastAsia="SimSun" w:hAnsi="Arial" w:cs="Times New Roman"/>
          <w:b/>
          <w:sz w:val="24"/>
          <w:szCs w:val="20"/>
        </w:rPr>
        <w:t xml:space="preserve"> </w:t>
      </w:r>
      <w:r>
        <w:rPr>
          <w:rFonts w:ascii="Arial" w:eastAsia="SimSun" w:hAnsi="Arial" w:cs="Times New Roman"/>
          <w:b/>
          <w:sz w:val="24"/>
          <w:szCs w:val="20"/>
        </w:rPr>
        <w:t>22</w:t>
      </w:r>
      <w:r w:rsidR="00A04992" w:rsidRPr="000151EF">
        <w:rPr>
          <w:rFonts w:ascii="Arial" w:eastAsia="SimSun" w:hAnsi="Arial" w:cs="Times New Roman"/>
          <w:b/>
          <w:sz w:val="24"/>
          <w:szCs w:val="20"/>
        </w:rPr>
        <w:t xml:space="preserve"> – </w:t>
      </w:r>
      <w:r w:rsidR="003C4FDE">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2AE29A4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73D9F">
        <w:rPr>
          <w:rFonts w:ascii="Arial" w:eastAsia="Calibri" w:hAnsi="Arial" w:cs="Arial"/>
          <w:b/>
          <w:bCs/>
          <w:sz w:val="24"/>
        </w:rPr>
        <w:t xml:space="preserve">Discussion on </w:t>
      </w:r>
      <w:r w:rsidR="00473D9F" w:rsidRPr="00473D9F">
        <w:rPr>
          <w:rFonts w:ascii="Arial" w:eastAsia="Calibri" w:hAnsi="Arial" w:cs="Arial"/>
          <w:b/>
          <w:bCs/>
          <w:sz w:val="24"/>
        </w:rPr>
        <w:t>LS to RAN4 on autonomous denial for IDC</w:t>
      </w:r>
      <w:r w:rsidR="007C1696">
        <w:rPr>
          <w:rFonts w:ascii="Arial" w:eastAsia="Calibri" w:hAnsi="Arial" w:cs="Arial"/>
          <w:b/>
          <w:bCs/>
          <w:sz w:val="24"/>
        </w:rPr>
        <w:t xml:space="preserve"> </w:t>
      </w:r>
    </w:p>
    <w:p w14:paraId="641E8BEA" w14:textId="30FB769C" w:rsidR="00841BCD" w:rsidRPr="00EF698B" w:rsidRDefault="00841BCD" w:rsidP="00841BCD">
      <w:pPr>
        <w:tabs>
          <w:tab w:val="left" w:pos="1985"/>
        </w:tabs>
        <w:spacing w:after="120" w:line="240" w:lineRule="auto"/>
        <w:rPr>
          <w:rFonts w:ascii="Arial" w:eastAsia="MS Mincho" w:hAnsi="Arial" w:cs="Arial"/>
          <w:b/>
          <w:bCs/>
          <w:sz w:val="24"/>
          <w:szCs w:val="20"/>
        </w:rPr>
      </w:pPr>
      <w:r w:rsidRPr="00631E2E">
        <w:rPr>
          <w:rFonts w:ascii="Arial" w:eastAsia="MS Mincho" w:hAnsi="Arial" w:cs="Arial"/>
          <w:b/>
          <w:bCs/>
          <w:sz w:val="24"/>
          <w:szCs w:val="20"/>
        </w:rPr>
        <w:t>Agenda item:</w:t>
      </w:r>
      <w:r w:rsidRPr="00631E2E">
        <w:rPr>
          <w:rFonts w:ascii="Arial" w:eastAsia="MS Mincho" w:hAnsi="Arial" w:cs="Arial"/>
          <w:b/>
          <w:bCs/>
          <w:sz w:val="24"/>
          <w:szCs w:val="20"/>
        </w:rPr>
        <w:tab/>
      </w:r>
      <w:r w:rsidR="00A5353C">
        <w:rPr>
          <w:rFonts w:ascii="Arial" w:eastAsia="MS Mincho" w:hAnsi="Arial" w:cs="Arial"/>
          <w:b/>
          <w:bCs/>
          <w:sz w:val="24"/>
          <w:szCs w:val="20"/>
        </w:rPr>
        <w:t>9.37.2</w:t>
      </w:r>
    </w:p>
    <w:p w14:paraId="07144160" w14:textId="663EEC7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15D2129" w14:textId="6DCD69FB" w:rsidR="0060543D" w:rsidRPr="00473D9F" w:rsidRDefault="00473D9F" w:rsidP="005C23A4">
      <w:pPr>
        <w:rPr>
          <w:szCs w:val="20"/>
        </w:rPr>
      </w:pPr>
      <w:r w:rsidRPr="00473D9F">
        <w:rPr>
          <w:rFonts w:eastAsiaTheme="minorEastAsia"/>
          <w:szCs w:val="20"/>
        </w:rPr>
        <w:t xml:space="preserve">RAN2 has agreed to introduce per CG autonomous denial configuration for the NR IDC issue. Based on this RAN2 has sent an LS to RAN4 </w:t>
      </w:r>
      <w:r>
        <w:rPr>
          <w:rFonts w:eastAsiaTheme="minorEastAsia"/>
          <w:szCs w:val="20"/>
        </w:rPr>
        <w:t xml:space="preserve">[1] </w:t>
      </w:r>
      <w:r w:rsidRPr="00473D9F">
        <w:rPr>
          <w:rFonts w:eastAsiaTheme="minorEastAsia"/>
          <w:szCs w:val="20"/>
        </w:rPr>
        <w:t xml:space="preserve">asking RAN4 to </w:t>
      </w:r>
      <w:r w:rsidRPr="00473D9F">
        <w:rPr>
          <w:rFonts w:eastAsia="Yu Mincho"/>
          <w:bCs/>
          <w:szCs w:val="20"/>
          <w:lang w:eastAsia="en-GB"/>
        </w:rPr>
        <w:t>define the corresponding RRM requirements if needed.</w:t>
      </w:r>
    </w:p>
    <w:p w14:paraId="06A7ECC3" w14:textId="77777777" w:rsidR="0060543D" w:rsidRPr="00EF698B" w:rsidRDefault="0060543D" w:rsidP="005C23A4"/>
    <w:p w14:paraId="5E6E091D" w14:textId="7740770D" w:rsidR="003B659E" w:rsidRPr="00EF698B" w:rsidRDefault="003B659E" w:rsidP="00AE56B1">
      <w:pPr>
        <w:pStyle w:val="RAN4H1"/>
        <w:rPr>
          <w:lang w:val="en-US"/>
        </w:rPr>
      </w:pPr>
      <w:bookmarkStart w:id="4" w:name="_Toc116995842"/>
      <w:r w:rsidRPr="00EF698B">
        <w:rPr>
          <w:lang w:val="en-US"/>
        </w:rPr>
        <w:t>Discussion</w:t>
      </w:r>
      <w:bookmarkEnd w:id="4"/>
    </w:p>
    <w:p w14:paraId="0E8C8886" w14:textId="7918DDCA" w:rsidR="0060543D" w:rsidRDefault="00FA5E66" w:rsidP="00300956">
      <w:r>
        <w:t>RAN2 LS states:</w:t>
      </w:r>
    </w:p>
    <w:p w14:paraId="438C69D8" w14:textId="77777777" w:rsidR="00FA5E66" w:rsidRDefault="00FA5E66" w:rsidP="00FA5E66">
      <w:pPr>
        <w:spacing w:afterLines="50" w:after="120"/>
        <w:ind w:left="720"/>
        <w:rPr>
          <w:lang w:eastAsia="en-GB"/>
        </w:rPr>
      </w:pPr>
      <w:r>
        <w:rPr>
          <w:rFonts w:eastAsiaTheme="minorEastAsia"/>
          <w:sz w:val="21"/>
          <w:szCs w:val="21"/>
        </w:rPr>
        <w:t xml:space="preserve">RAN2 has agreed to introduce per CG autonomous denial configuration for the NR IDC issue. The time unit for autonomous denial configuration is slot. This means that the UE is allowed to </w:t>
      </w:r>
      <w:r>
        <w:t xml:space="preserve">deny any transmission in a particular slot if during the number of slots indicated by </w:t>
      </w:r>
      <w:proofErr w:type="spellStart"/>
      <w:r>
        <w:rPr>
          <w:i/>
        </w:rPr>
        <w:t>autonomousDenialValidity</w:t>
      </w:r>
      <w:proofErr w:type="spellEnd"/>
      <w:r>
        <w:t xml:space="preserve">, </w:t>
      </w:r>
      <w:proofErr w:type="spellStart"/>
      <w:r>
        <w:t>preceeding</w:t>
      </w:r>
      <w:proofErr w:type="spellEnd"/>
      <w:r>
        <w:t xml:space="preserve"> and including this </w:t>
      </w:r>
      <w:proofErr w:type="gramStart"/>
      <w:r>
        <w:t>particular slot</w:t>
      </w:r>
      <w:proofErr w:type="gramEnd"/>
      <w:r>
        <w:t xml:space="preserve">, it autonomously denied fewer slots than indicated by </w:t>
      </w:r>
      <w:proofErr w:type="spellStart"/>
      <w:r>
        <w:rPr>
          <w:i/>
        </w:rPr>
        <w:t>autonomousDenialSlots</w:t>
      </w:r>
      <w:proofErr w:type="spellEnd"/>
      <w:r>
        <w:rPr>
          <w:i/>
        </w:rPr>
        <w:t>.</w:t>
      </w:r>
      <w:r>
        <w:rPr>
          <w:rFonts w:eastAsiaTheme="minorEastAsia"/>
          <w:sz w:val="21"/>
          <w:szCs w:val="21"/>
        </w:rPr>
        <w:t xml:space="preserve"> For the </w:t>
      </w:r>
      <w:r>
        <w:t xml:space="preserve">autonomous denial parameters, the following values are agreed for both single CC and carrier aggregation cases. </w:t>
      </w:r>
      <w:r>
        <w:rPr>
          <w:lang w:eastAsia="en-GB"/>
        </w:rPr>
        <w:t>RAN2 also observed that the autonomous denial solution might require new RRM requirements in RAN4, as LTE.</w:t>
      </w:r>
    </w:p>
    <w:p w14:paraId="7CC551C4" w14:textId="77777777" w:rsidR="00FA5E66" w:rsidRDefault="00FA5E66" w:rsidP="00FA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hAnsi="Courier New"/>
          <w:sz w:val="16"/>
          <w:lang w:eastAsia="en-GB"/>
        </w:rPr>
      </w:pPr>
      <w:r>
        <w:rPr>
          <w:rFonts w:ascii="Courier New" w:hAnsi="Courier New"/>
          <w:sz w:val="16"/>
          <w:lang w:eastAsia="en-GB"/>
        </w:rPr>
        <w:t>autonomousDenialParameters-r18</w:t>
      </w:r>
      <w:r>
        <w:rPr>
          <w:rFonts w:ascii="Courier New" w:hAnsi="Courier New"/>
          <w:sz w:val="16"/>
          <w:lang w:eastAsia="en-GB"/>
        </w:rPr>
        <w:tab/>
      </w:r>
      <w:r>
        <w:rPr>
          <w:rFonts w:ascii="Courier New" w:hAnsi="Courier New"/>
          <w:sz w:val="16"/>
          <w:lang w:eastAsia="en-GB"/>
        </w:rPr>
        <w:tab/>
        <w:t>SEQUENCE {</w:t>
      </w:r>
    </w:p>
    <w:p w14:paraId="38DEC54A"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t>autonomousDenialSlots-r18</w:t>
      </w:r>
      <w:r>
        <w:rPr>
          <w:lang w:eastAsia="en-GB"/>
        </w:rPr>
        <w:tab/>
      </w:r>
      <w:r>
        <w:rPr>
          <w:lang w:eastAsia="en-GB"/>
        </w:rPr>
        <w:tab/>
      </w:r>
      <w:r>
        <w:rPr>
          <w:lang w:eastAsia="en-GB"/>
        </w:rPr>
        <w:tab/>
        <w:t>ENUMERATED { n2, n5, n10, n15,</w:t>
      </w:r>
    </w:p>
    <w:p w14:paraId="55436FBD"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n20, n30, spare2, spare1},</w:t>
      </w:r>
    </w:p>
    <w:p w14:paraId="172286EB"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t>autonomousDenialValidity-r18</w:t>
      </w:r>
      <w:r>
        <w:rPr>
          <w:lang w:eastAsia="en-GB"/>
        </w:rPr>
        <w:tab/>
      </w:r>
      <w:r>
        <w:rPr>
          <w:lang w:eastAsia="en-GB"/>
        </w:rPr>
        <w:tab/>
        <w:t>ENUMERATED { n200, n500, n1000, n2000,</w:t>
      </w:r>
    </w:p>
    <w:p w14:paraId="229EB65F"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spare4, spare3, spare2, spare1}</w:t>
      </w:r>
    </w:p>
    <w:p w14:paraId="3DC71B8D" w14:textId="77777777" w:rsidR="00FA5E66" w:rsidRDefault="00FA5E66" w:rsidP="00FA5E66">
      <w:pPr>
        <w:pStyle w:val="PL"/>
        <w:shd w:val="clear" w:color="auto" w:fill="E6E6E6"/>
        <w:ind w:left="720"/>
        <w:rPr>
          <w:rFonts w:eastAsiaTheme="minorEastAsia"/>
          <w:lang w:eastAsia="zh-CN"/>
        </w:rPr>
      </w:pPr>
      <w:r>
        <w:rPr>
          <w:rFonts w:eastAsiaTheme="minorEastAsia"/>
          <w:lang w:eastAsia="zh-CN"/>
        </w:rPr>
        <w:t>FFS On other values.</w:t>
      </w:r>
    </w:p>
    <w:p w14:paraId="4A0192C8" w14:textId="3968DAFF" w:rsidR="00FA5E66" w:rsidRDefault="00FA5E66" w:rsidP="00300956"/>
    <w:p w14:paraId="06A64866" w14:textId="7D9334B3" w:rsidR="00FA5E66" w:rsidRDefault="00FA5E66" w:rsidP="00300956">
      <w:r>
        <w:t>RAN4 has defined IDC requirements for LTE. At that time RAN4 spent time discussing exactly how to introduce such requirements as our understanding is that any IDC solution is UE implementation specific. Having this as base for developing RAN4 requirement quite difficult and in LTE discussion it was agreed to capture the requirement in an implementation agnostic manner.</w:t>
      </w:r>
    </w:p>
    <w:p w14:paraId="1359A58D" w14:textId="4D88FFEA" w:rsidR="00FA5E66" w:rsidRDefault="00FA5E66" w:rsidP="00300956">
      <w:r>
        <w:t>One example from 36.133 is:</w:t>
      </w:r>
    </w:p>
    <w:p w14:paraId="72587052" w14:textId="77777777" w:rsidR="00FA5E66" w:rsidRDefault="00FA5E66" w:rsidP="00FA5E66">
      <w:pPr>
        <w:pStyle w:val="Default"/>
        <w:ind w:left="720"/>
        <w:rPr>
          <w:sz w:val="23"/>
          <w:szCs w:val="23"/>
        </w:rPr>
      </w:pPr>
      <w:r>
        <w:rPr>
          <w:sz w:val="23"/>
          <w:szCs w:val="23"/>
        </w:rPr>
        <w:t xml:space="preserve">7.6.2.5 Minimum requirement under IDC Interference </w:t>
      </w:r>
    </w:p>
    <w:p w14:paraId="1BCE9EEF" w14:textId="45D9F712" w:rsidR="00FA5E66" w:rsidRDefault="00FA5E66" w:rsidP="00FA5E66">
      <w:pPr>
        <w:ind w:left="720"/>
      </w:pPr>
      <w:r>
        <w:rPr>
          <w:rFonts w:cs="Times New Roman"/>
          <w:szCs w:val="20"/>
        </w:rPr>
        <w:t>When the UE is provided with IDC solution, the UE shall also perform radio link monitoring and meet the corresponding requirements in clause 7.6.2.</w:t>
      </w:r>
    </w:p>
    <w:p w14:paraId="0D3A4689" w14:textId="583F50E0" w:rsidR="00FA5E66" w:rsidRDefault="00FA5E66" w:rsidP="00300956">
      <w:r>
        <w:t>And similar approach was specific for section 8 UE Measurement procedures in RRC Connected state.</w:t>
      </w:r>
    </w:p>
    <w:p w14:paraId="100E8170" w14:textId="06B298A9" w:rsidR="00FA5E66" w:rsidRDefault="00FA5E66" w:rsidP="00300956">
      <w:r>
        <w:t>Other places an additional is allowed if IDC is configured:</w:t>
      </w:r>
    </w:p>
    <w:p w14:paraId="6A011380" w14:textId="6DF33E6D" w:rsidR="00FA5E66" w:rsidRDefault="00FA5E66" w:rsidP="00FA5E66">
      <w:pPr>
        <w:ind w:left="720"/>
      </w:pPr>
      <w:r>
        <w:rPr>
          <w:szCs w:val="20"/>
        </w:rPr>
        <w:t xml:space="preserve">When L3 filtering is used or IDC autonomous denial is configured or the UE is performing reception and/or transmission for </w:t>
      </w:r>
      <w:proofErr w:type="spellStart"/>
      <w:r>
        <w:rPr>
          <w:szCs w:val="20"/>
        </w:rPr>
        <w:t>ProSe</w:t>
      </w:r>
      <w:proofErr w:type="spellEnd"/>
      <w:r>
        <w:rPr>
          <w:szCs w:val="20"/>
        </w:rPr>
        <w:t xml:space="preserve"> Direct Discovery and/or </w:t>
      </w:r>
      <w:proofErr w:type="spellStart"/>
      <w:r>
        <w:rPr>
          <w:szCs w:val="20"/>
        </w:rPr>
        <w:t>ProSe</w:t>
      </w:r>
      <w:proofErr w:type="spellEnd"/>
      <w:r>
        <w:rPr>
          <w:szCs w:val="20"/>
        </w:rPr>
        <w:t xml:space="preserve"> Direct Communication, or the UE is configured to perform SRS </w:t>
      </w:r>
      <w:proofErr w:type="gramStart"/>
      <w:r>
        <w:rPr>
          <w:szCs w:val="20"/>
        </w:rPr>
        <w:t>carrier based</w:t>
      </w:r>
      <w:proofErr w:type="gramEnd"/>
      <w:r>
        <w:rPr>
          <w:szCs w:val="20"/>
        </w:rPr>
        <w:t xml:space="preserve"> switching, an additional delay can be expected</w:t>
      </w:r>
    </w:p>
    <w:p w14:paraId="0DF54FE4" w14:textId="7BE6F519" w:rsidR="00FA5E66" w:rsidRDefault="00FA5E66" w:rsidP="00300956">
      <w:r>
        <w:t>In general, we see that RAN4 can take a similar approach in NR when defining requirements for a UE which has been provided with an IDC solution.</w:t>
      </w:r>
    </w:p>
    <w:p w14:paraId="380D368E" w14:textId="711CE0BF" w:rsidR="00FA5E66" w:rsidRDefault="00FA5E66" w:rsidP="00631E2E">
      <w:pPr>
        <w:pStyle w:val="RAN4proposal"/>
      </w:pPr>
      <w:r>
        <w:lastRenderedPageBreak/>
        <w:t xml:space="preserve">RAN4 use </w:t>
      </w:r>
      <w:r w:rsidR="00631E2E">
        <w:t>the LTE</w:t>
      </w:r>
      <w:r>
        <w:t xml:space="preserve"> approach when defining UE requirements for a UE which has been provided with an IDC solution</w:t>
      </w:r>
      <w:r w:rsidR="00631E2E">
        <w:t xml:space="preserve"> in NR</w:t>
      </w:r>
      <w:r>
        <w:t>.</w:t>
      </w:r>
    </w:p>
    <w:p w14:paraId="76E631A9" w14:textId="77777777" w:rsidR="0060543D" w:rsidRPr="0060543D" w:rsidRDefault="0060543D" w:rsidP="0060543D"/>
    <w:p w14:paraId="16CA844C" w14:textId="36C6F986" w:rsidR="00CD7492" w:rsidRPr="00EF698B" w:rsidRDefault="00CD7492" w:rsidP="00A37002">
      <w:pPr>
        <w:pStyle w:val="RAN4H1"/>
        <w:rPr>
          <w:lang w:val="en-US"/>
        </w:rPr>
      </w:pPr>
      <w:bookmarkStart w:id="5" w:name="_Toc116995848"/>
      <w:r w:rsidRPr="00EF698B">
        <w:rPr>
          <w:lang w:val="en-US"/>
        </w:rPr>
        <w:t>Conclusion</w:t>
      </w:r>
      <w:bookmarkEnd w:id="5"/>
    </w:p>
    <w:p w14:paraId="3975DC0E" w14:textId="78812040" w:rsidR="008B0961" w:rsidRDefault="005B4801" w:rsidP="005C23A4">
      <w:r>
        <w:t xml:space="preserve">A couple of sentences on what was </w:t>
      </w:r>
      <w:proofErr w:type="spellStart"/>
      <w:r>
        <w:t>analyzed</w:t>
      </w:r>
      <w:proofErr w:type="spellEnd"/>
      <w:r>
        <w:t xml:space="preserve"> in the paper.</w:t>
      </w:r>
    </w:p>
    <w:p w14:paraId="0CBF2A7E" w14:textId="2722F8A9" w:rsidR="007C5971" w:rsidRDefault="00631E2E" w:rsidP="005C23A4">
      <w:pPr>
        <w:rPr>
          <w:rFonts w:eastAsia="Yu Mincho"/>
          <w:bCs/>
          <w:szCs w:val="20"/>
          <w:lang w:eastAsia="en-GB"/>
        </w:rPr>
      </w:pPr>
      <w:r>
        <w:t xml:space="preserve">In this paper we discuss the </w:t>
      </w:r>
      <w:r w:rsidRPr="00473D9F">
        <w:rPr>
          <w:rFonts w:eastAsiaTheme="minorEastAsia"/>
          <w:szCs w:val="20"/>
        </w:rPr>
        <w:t xml:space="preserve">RAN2 LS </w:t>
      </w:r>
      <w:r>
        <w:rPr>
          <w:rFonts w:eastAsiaTheme="minorEastAsia"/>
          <w:szCs w:val="20"/>
        </w:rPr>
        <w:t xml:space="preserve">which has been sent </w:t>
      </w:r>
      <w:r w:rsidRPr="00473D9F">
        <w:rPr>
          <w:rFonts w:eastAsiaTheme="minorEastAsia"/>
          <w:szCs w:val="20"/>
        </w:rPr>
        <w:t xml:space="preserve">to RAN4 </w:t>
      </w:r>
      <w:r>
        <w:rPr>
          <w:rFonts w:eastAsiaTheme="minorEastAsia"/>
          <w:szCs w:val="20"/>
        </w:rPr>
        <w:t xml:space="preserve">[1] </w:t>
      </w:r>
      <w:r w:rsidRPr="00473D9F">
        <w:rPr>
          <w:rFonts w:eastAsiaTheme="minorEastAsia"/>
          <w:szCs w:val="20"/>
        </w:rPr>
        <w:t xml:space="preserve">asking RAN4 to </w:t>
      </w:r>
      <w:r w:rsidRPr="00473D9F">
        <w:rPr>
          <w:rFonts w:eastAsia="Yu Mincho"/>
          <w:bCs/>
          <w:szCs w:val="20"/>
          <w:lang w:eastAsia="en-GB"/>
        </w:rPr>
        <w:t>define the corresponding RRM requirements if needed.</w:t>
      </w:r>
      <w:r>
        <w:rPr>
          <w:rFonts w:eastAsia="Yu Mincho"/>
          <w:bCs/>
          <w:szCs w:val="20"/>
          <w:lang w:eastAsia="en-GB"/>
        </w:rPr>
        <w:t xml:space="preserve"> We propose following:</w:t>
      </w:r>
    </w:p>
    <w:p w14:paraId="4A4AA53E" w14:textId="77777777" w:rsidR="00631E2E" w:rsidRDefault="00631E2E" w:rsidP="00631E2E">
      <w:pPr>
        <w:pStyle w:val="RAN4proposal"/>
        <w:numPr>
          <w:ilvl w:val="0"/>
          <w:numId w:val="27"/>
        </w:numPr>
      </w:pPr>
      <w:r>
        <w:t>RAN4 use the LTE approach when defining UE requirements for a UE which has been provided with an IDC solution in NR.</w:t>
      </w:r>
    </w:p>
    <w:p w14:paraId="7C356039" w14:textId="26B95A80" w:rsidR="00631E2E" w:rsidRPr="00631E2E" w:rsidRDefault="00A4355E" w:rsidP="00631E2E">
      <w:pPr>
        <w:pStyle w:val="TOC4"/>
        <w:tabs>
          <w:tab w:val="right" w:leader="dot" w:pos="9617"/>
        </w:tabs>
      </w:pPr>
      <w:r>
        <w:rPr>
          <w:i/>
          <w:iCs/>
          <w:noProof/>
          <w:u w:val="single"/>
          <w:lang w:val="en-US"/>
        </w:rPr>
        <w:fldChar w:fldCharType="begin"/>
      </w:r>
      <w:r>
        <w:rPr>
          <w:i/>
          <w:iCs/>
          <w:noProof/>
          <w:u w:val="single"/>
        </w:rPr>
        <w:instrText xml:space="preserve"> TOC \n \h \z \t "RAN4 proposal,5,RAN4 observation,4" </w:instrText>
      </w:r>
      <w:r>
        <w:rPr>
          <w:i/>
          <w:iCs/>
          <w:noProof/>
          <w:u w:val="single"/>
          <w:lang w:val="en-US"/>
        </w:rPr>
        <w:fldChar w:fldCharType="separate"/>
      </w:r>
    </w:p>
    <w:p w14:paraId="6E61D21D" w14:textId="00613924" w:rsidR="003B659E" w:rsidRPr="0060543D" w:rsidRDefault="00A4355E" w:rsidP="0060543D">
      <w:pPr>
        <w:pStyle w:val="RAN4H1"/>
        <w:numPr>
          <w:ilvl w:val="0"/>
          <w:numId w:val="0"/>
        </w:numPr>
        <w:ind w:left="360" w:hanging="360"/>
      </w:pPr>
      <w:r>
        <w:rPr>
          <w:noProof/>
        </w:rPr>
        <w:fldChar w:fldCharType="end"/>
      </w:r>
      <w:bookmarkStart w:id="6" w:name="_Toc116995849"/>
      <w:r w:rsidR="003B659E" w:rsidRPr="00EF698B">
        <w:t>References</w:t>
      </w:r>
      <w:bookmarkEnd w:id="6"/>
    </w:p>
    <w:p w14:paraId="39C69540" w14:textId="32B74859" w:rsidR="00687FA0" w:rsidRPr="003C4FDE" w:rsidRDefault="00473D9F" w:rsidP="00D66188">
      <w:pPr>
        <w:pStyle w:val="ListParagraph"/>
        <w:numPr>
          <w:ilvl w:val="0"/>
          <w:numId w:val="21"/>
        </w:numPr>
        <w:ind w:right="-22"/>
      </w:pPr>
      <w:bookmarkStart w:id="7" w:name="_Ref114500673"/>
      <w:bookmarkEnd w:id="7"/>
      <w:r w:rsidRPr="00473D9F">
        <w:t>R2-2302074</w:t>
      </w:r>
      <w:r w:rsidR="00D40288" w:rsidRPr="003C4FDE">
        <w:t>,</w:t>
      </w:r>
      <w:r w:rsidR="000040DC" w:rsidRPr="003C4FDE">
        <w:t xml:space="preserve"> </w:t>
      </w:r>
      <w:r w:rsidRPr="00473D9F">
        <w:t>LS to RAN4 on autonomous denial for IDC</w:t>
      </w:r>
      <w:r w:rsidR="000040DC" w:rsidRPr="003C4FDE">
        <w:t xml:space="preserve">, </w:t>
      </w:r>
      <w:r>
        <w:t>RAN2</w:t>
      </w:r>
      <w:r w:rsidR="000040DC" w:rsidRPr="003C4FDE">
        <w:t xml:space="preserve">. </w:t>
      </w:r>
    </w:p>
    <w:p w14:paraId="2379D0E4" w14:textId="7F17DF65" w:rsidR="000040DC" w:rsidRDefault="000040DC" w:rsidP="000040DC">
      <w:pPr>
        <w:ind w:right="-22"/>
        <w:rPr>
          <w:highlight w:val="yellow"/>
        </w:rPr>
      </w:pPr>
    </w:p>
    <w:p w14:paraId="247B1A3A" w14:textId="77777777" w:rsidR="0060543D" w:rsidRPr="0060543D" w:rsidRDefault="0060543D" w:rsidP="0060543D"/>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B42A" w14:textId="77777777" w:rsidR="00904FE4" w:rsidRDefault="00904FE4" w:rsidP="00001C9B">
      <w:pPr>
        <w:spacing w:after="0" w:line="240" w:lineRule="auto"/>
      </w:pPr>
      <w:r>
        <w:separator/>
      </w:r>
    </w:p>
  </w:endnote>
  <w:endnote w:type="continuationSeparator" w:id="0">
    <w:p w14:paraId="3E8D72C8" w14:textId="77777777" w:rsidR="00904FE4" w:rsidRDefault="00904FE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4AE1" w14:textId="77777777" w:rsidR="00904FE4" w:rsidRDefault="00904FE4" w:rsidP="00001C9B">
      <w:pPr>
        <w:spacing w:after="0" w:line="240" w:lineRule="auto"/>
      </w:pPr>
      <w:r>
        <w:separator/>
      </w:r>
    </w:p>
  </w:footnote>
  <w:footnote w:type="continuationSeparator" w:id="0">
    <w:p w14:paraId="74503540" w14:textId="77777777" w:rsidR="00904FE4" w:rsidRDefault="00904FE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88267027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39F5"/>
    <w:rsid w:val="0008612A"/>
    <w:rsid w:val="00090E18"/>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3BDB"/>
    <w:rsid w:val="003E58DF"/>
    <w:rsid w:val="00404C4C"/>
    <w:rsid w:val="0041423F"/>
    <w:rsid w:val="00414F81"/>
    <w:rsid w:val="00436A0F"/>
    <w:rsid w:val="00437150"/>
    <w:rsid w:val="0043750A"/>
    <w:rsid w:val="004732E9"/>
    <w:rsid w:val="00473D9F"/>
    <w:rsid w:val="004854BB"/>
    <w:rsid w:val="00494493"/>
    <w:rsid w:val="00496606"/>
    <w:rsid w:val="004D3C47"/>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1E2E"/>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66B66"/>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826C1"/>
    <w:rsid w:val="00883DFD"/>
    <w:rsid w:val="008A1BF7"/>
    <w:rsid w:val="008A5B0E"/>
    <w:rsid w:val="008B0961"/>
    <w:rsid w:val="0090091A"/>
    <w:rsid w:val="009042BD"/>
    <w:rsid w:val="00904FE4"/>
    <w:rsid w:val="00936159"/>
    <w:rsid w:val="00977E1D"/>
    <w:rsid w:val="009B0573"/>
    <w:rsid w:val="009B7B4B"/>
    <w:rsid w:val="009B7C21"/>
    <w:rsid w:val="00A04992"/>
    <w:rsid w:val="00A147AA"/>
    <w:rsid w:val="00A21D71"/>
    <w:rsid w:val="00A22B78"/>
    <w:rsid w:val="00A25AE5"/>
    <w:rsid w:val="00A30A80"/>
    <w:rsid w:val="00A37002"/>
    <w:rsid w:val="00A4355E"/>
    <w:rsid w:val="00A5353C"/>
    <w:rsid w:val="00A92BCD"/>
    <w:rsid w:val="00AA1B0E"/>
    <w:rsid w:val="00AA47B6"/>
    <w:rsid w:val="00AC163B"/>
    <w:rsid w:val="00AC5CA7"/>
    <w:rsid w:val="00AC6058"/>
    <w:rsid w:val="00AE2BA5"/>
    <w:rsid w:val="00AE56B1"/>
    <w:rsid w:val="00AE6D09"/>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44C5"/>
    <w:rsid w:val="00D9548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A5E66"/>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27CCE8B-A46E-477C-B573-9031144F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L">
    <w:name w:val="PL"/>
    <w:qFormat/>
    <w:rsid w:val="00FA5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ja-JP"/>
    </w:rPr>
  </w:style>
  <w:style w:type="paragraph" w:customStyle="1" w:styleId="Default">
    <w:name w:val="Default"/>
    <w:rsid w:val="00FA5E66"/>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95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https://nokia.sharepoint.com/sites/c5g/5gradio/_layouts/15/DocIdRedir.aspx?ID=5AIRPNAIUNRU-1328258698-19335</Url>
      <Description>5AIRPNAIUNRU-1328258698-19335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cp:lastModifiedBy>
  <cp:revision>2</cp:revision>
  <dcterms:created xsi:type="dcterms:W3CDTF">2023-05-15T18:08:00Z</dcterms:created>
  <dcterms:modified xsi:type="dcterms:W3CDTF">2023-05-15T18:08:00Z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2914e30a-80e9-42be-b05a-c44c25f8fd2e</vt:lpwstr>
  </property>
  <property fmtid="{D5CDD505-2E9C-101B-9397-08002B2CF9AE}" pid="11" name="MediaServiceImageTags">
    <vt:lpwstr/>
  </property>
</Properties>
</file>