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A075D" w14:textId="6811C75D" w:rsidR="00444854" w:rsidRDefault="00444854" w:rsidP="00444854">
      <w:pPr>
        <w:pStyle w:val="CRCoverPage"/>
        <w:tabs>
          <w:tab w:val="right" w:pos="9639"/>
        </w:tabs>
        <w:spacing w:after="0"/>
        <w:rPr>
          <w:b/>
          <w:i/>
          <w:noProof/>
          <w:sz w:val="28"/>
        </w:rPr>
      </w:pPr>
      <w:bookmarkStart w:id="0" w:name="_Hlk135063588"/>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rsidRPr="00F86086">
        <w:rPr>
          <w:b/>
          <w:i/>
          <w:noProof/>
          <w:sz w:val="28"/>
        </w:rPr>
        <w:t>R4-23083</w:t>
      </w:r>
      <w:r>
        <w:rPr>
          <w:b/>
          <w:i/>
          <w:noProof/>
          <w:sz w:val="28"/>
        </w:rPr>
        <w:t>60</w:t>
      </w:r>
    </w:p>
    <w:p w14:paraId="2F593036" w14:textId="77777777" w:rsidR="00444854" w:rsidRDefault="00444854" w:rsidP="0044485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bookmarkEnd w:id="0"/>
    <w:p w14:paraId="512834CE" w14:textId="77777777" w:rsidR="00841BCD" w:rsidRPr="00444854"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0E7EA7C5"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2BF6D761" w14:textId="3610B84A"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3F1671">
        <w:rPr>
          <w:rFonts w:ascii="Arial" w:eastAsia="Calibri" w:hAnsi="Arial" w:cs="Arial"/>
          <w:b/>
          <w:bCs/>
          <w:sz w:val="24"/>
        </w:rPr>
        <w:t>Core Requirements for mobility in IoT/eMTC for NTN</w:t>
      </w:r>
    </w:p>
    <w:p w14:paraId="37B18186" w14:textId="04F53DBE"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3F1671">
        <w:rPr>
          <w:rFonts w:ascii="Arial" w:eastAsia="MS Mincho" w:hAnsi="Arial" w:cs="Arial"/>
          <w:b/>
          <w:bCs/>
          <w:sz w:val="24"/>
          <w:szCs w:val="20"/>
        </w:rPr>
        <w:t>9.8.4</w:t>
      </w:r>
    </w:p>
    <w:p w14:paraId="2FC2D0FD"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5FD8558C" w14:textId="77777777" w:rsidR="00E323E9" w:rsidRPr="008C39F7" w:rsidRDefault="00E323E9" w:rsidP="00841BCD">
      <w:pPr>
        <w:tabs>
          <w:tab w:val="left" w:pos="1985"/>
        </w:tabs>
        <w:rPr>
          <w:rFonts w:ascii="Arial" w:eastAsia="Calibri" w:hAnsi="Arial" w:cs="Arial"/>
          <w:b/>
          <w:bCs/>
          <w:sz w:val="24"/>
        </w:rPr>
      </w:pPr>
    </w:p>
    <w:p w14:paraId="0956BB52" w14:textId="77777777" w:rsidR="00841BCD" w:rsidRPr="008C39F7" w:rsidRDefault="00841BCD" w:rsidP="00A37002">
      <w:pPr>
        <w:pStyle w:val="RAN4H1"/>
      </w:pPr>
      <w:bookmarkStart w:id="1" w:name="_Toc116995841"/>
      <w:r w:rsidRPr="008C39F7">
        <w:t>Intro</w:t>
      </w:r>
      <w:r w:rsidRPr="008C39F7">
        <w:rPr>
          <w:rStyle w:val="RAN4H1Char"/>
          <w:lang w:val="en-US"/>
        </w:rPr>
        <w:t>ductio</w:t>
      </w:r>
      <w:r w:rsidRPr="008C39F7">
        <w:t>n</w:t>
      </w:r>
      <w:bookmarkEnd w:id="1"/>
    </w:p>
    <w:p w14:paraId="6C38C382" w14:textId="4D4A5C1B" w:rsidR="0060543D" w:rsidRPr="008C39F7" w:rsidRDefault="003F1671" w:rsidP="005C23A4">
      <w:r w:rsidRPr="003F1671">
        <w:rPr>
          <w:lang w:val="en-GB"/>
        </w:rPr>
        <w:t>In Rel-17, support for NB-IoT and eMTC over NTN was studied in [1] and defined in RAN1, RAN2, and RAN3 under the Work Item described in [2].  For continuing the work, a WI for enhanced NB-IoT/eMTC operation in NTN was also approved [3]. The discussions on this WI were started in RAN4 #106</w:t>
      </w:r>
      <w:r w:rsidR="00930B49">
        <w:rPr>
          <w:lang w:val="en-GB"/>
        </w:rPr>
        <w:t>-bis</w:t>
      </w:r>
      <w:r w:rsidRPr="003F1671">
        <w:rPr>
          <w:lang w:val="en-GB"/>
        </w:rPr>
        <w:t xml:space="preserve"> and the way forward was captured in [4]. This contribution aims at discussing the requirements for some of the features introduced in this WI.</w:t>
      </w:r>
    </w:p>
    <w:p w14:paraId="58B139B4" w14:textId="77777777" w:rsidR="0060543D" w:rsidRPr="008C39F7" w:rsidRDefault="0060543D" w:rsidP="005C23A4"/>
    <w:p w14:paraId="21FF8263" w14:textId="77777777" w:rsidR="003B659E" w:rsidRDefault="003B659E" w:rsidP="00AE56B1">
      <w:pPr>
        <w:pStyle w:val="RAN4H1"/>
      </w:pPr>
      <w:bookmarkStart w:id="2" w:name="_Toc116995842"/>
      <w:r w:rsidRPr="008C39F7">
        <w:t>Discussion</w:t>
      </w:r>
      <w:bookmarkEnd w:id="2"/>
    </w:p>
    <w:p w14:paraId="4294B7A1" w14:textId="60B81E54" w:rsidR="00930B49" w:rsidRPr="00930B49" w:rsidRDefault="00930B49" w:rsidP="00930B49">
      <w:pPr>
        <w:pStyle w:val="RAN4H2"/>
      </w:pPr>
      <w:r>
        <w:t>Measurements across multiple satellites in NGSO</w:t>
      </w:r>
    </w:p>
    <w:p w14:paraId="609ACEBA" w14:textId="34691014" w:rsidR="0060543D" w:rsidRDefault="003F1671" w:rsidP="00300956">
      <w:r>
        <w:t>Previously, in RAN4, it was agreed to postpone discussion until the group could reach agreements regarding the neighbor cell measurements. Our opinion is that, once agreements were reached in previous meeting for the Release independent work item, we shall continue in this WI the discussion for mobility requirements. RAN4 has also previously agreed that the number of NGSO satellites that the UE must be capable of reading is currently equal to two.</w:t>
      </w:r>
    </w:p>
    <w:p w14:paraId="75DA1831" w14:textId="2385AB1C" w:rsidR="003F1671" w:rsidRDefault="003F1671" w:rsidP="003F1671">
      <w:pPr>
        <w:pStyle w:val="RAN4observation0"/>
      </w:pPr>
      <w:bookmarkStart w:id="3" w:name="_Toc135062611"/>
      <w:r>
        <w:t xml:space="preserve">It has been previously agreed that the “total number of satellites” the UE </w:t>
      </w:r>
      <w:r w:rsidR="00BA5BBE">
        <w:t>shall</w:t>
      </w:r>
      <w:r>
        <w:t xml:space="preserve"> measure is equal to two</w:t>
      </w:r>
      <w:r w:rsidR="00BA5BBE">
        <w:t xml:space="preserve"> for each frequency layer, including the serving satellite</w:t>
      </w:r>
      <w:r>
        <w:t>.</w:t>
      </w:r>
      <w:bookmarkEnd w:id="3"/>
    </w:p>
    <w:p w14:paraId="5A020971" w14:textId="1C8BB35A" w:rsidR="00BA5BBE" w:rsidRDefault="00BA5BBE" w:rsidP="00BA5BBE">
      <w:r>
        <w:t>When the UE is configured to measure more than one inter-frequency layer or intra</w:t>
      </w:r>
      <w:r w:rsidR="000E790D">
        <w:t>-</w:t>
      </w:r>
      <w:r>
        <w:t xml:space="preserve"> and inter</w:t>
      </w:r>
      <w:r w:rsidR="000E790D">
        <w:t>-</w:t>
      </w:r>
      <w:r>
        <w:t xml:space="preserve"> frequency layers, the requirements for “at least” two satellites will apply for each frequency layer. It is unclear from the previous agreement, though, whether the satellites to be measured in each layer are required to be the same. </w:t>
      </w:r>
    </w:p>
    <w:p w14:paraId="11282804" w14:textId="77777777" w:rsidR="00BA5BBE" w:rsidRDefault="00BA5BBE" w:rsidP="00BA5BBE">
      <w:pPr>
        <w:pStyle w:val="RAN4proposal"/>
      </w:pPr>
      <w:bookmarkStart w:id="4" w:name="_Toc135062612"/>
      <w:r>
        <w:t>RAN4 to clarify that the neighbor satellite for inter-frequency measurements that the UE shall be capable to measure in each frequency layer in NGSO scenarios are not necessary the same.</w:t>
      </w:r>
      <w:bookmarkEnd w:id="4"/>
    </w:p>
    <w:p w14:paraId="172CE70A" w14:textId="3BC14632" w:rsidR="003F1671" w:rsidRDefault="003F1671" w:rsidP="003F1671"/>
    <w:p w14:paraId="2DF98CF0" w14:textId="2244E282" w:rsidR="00CB22B2" w:rsidRDefault="004E1823" w:rsidP="00496606">
      <w:pPr>
        <w:pStyle w:val="RAN4H2"/>
      </w:pPr>
      <w:r>
        <w:t>Neighbor cell measurements in Connected mode</w:t>
      </w:r>
    </w:p>
    <w:p w14:paraId="6029B954" w14:textId="7A0ED954" w:rsidR="00D03F82" w:rsidRDefault="004E1823" w:rsidP="004E1823">
      <w:r>
        <w:t xml:space="preserve">In the previous meeting, </w:t>
      </w:r>
      <w:r w:rsidR="00A03076">
        <w:t xml:space="preserve">one of the topics discussed was Neighbor Cell measurements in connected mode. </w:t>
      </w:r>
      <w:r w:rsidR="00D03F82">
        <w:t>In special issue 3-1</w:t>
      </w:r>
      <w:r w:rsidR="005D418E">
        <w:t xml:space="preserve"> in </w:t>
      </w:r>
      <w:r w:rsidR="005D418E">
        <w:fldChar w:fldCharType="begin"/>
      </w:r>
      <w:r w:rsidR="005D418E">
        <w:instrText xml:space="preserve"> REF _Ref127447438 \r \h </w:instrText>
      </w:r>
      <w:r w:rsidR="005D418E">
        <w:fldChar w:fldCharType="separate"/>
      </w:r>
      <w:r w:rsidR="005D418E">
        <w:t>[4]</w:t>
      </w:r>
      <w:r w:rsidR="005D418E">
        <w:fldChar w:fldCharType="end"/>
      </w:r>
      <w:r w:rsidR="005D418E">
        <w:t xml:space="preserve">, which regarded whether to define requirements for t-service triggered neighbor cell measurement before RLF.  </w:t>
      </w:r>
    </w:p>
    <w:p w14:paraId="38C01EBE" w14:textId="77777777" w:rsidR="00715598" w:rsidRPr="004E1823" w:rsidRDefault="004E1823" w:rsidP="004E1823">
      <w:r>
        <w:t xml:space="preserve"> </w:t>
      </w:r>
    </w:p>
    <w:tbl>
      <w:tblPr>
        <w:tblStyle w:val="TableGrid"/>
        <w:tblW w:w="0" w:type="auto"/>
        <w:tblLook w:val="04A0" w:firstRow="1" w:lastRow="0" w:firstColumn="1" w:lastColumn="0" w:noHBand="0" w:noVBand="1"/>
      </w:tblPr>
      <w:tblGrid>
        <w:gridCol w:w="9617"/>
      </w:tblGrid>
      <w:tr w:rsidR="00715598" w14:paraId="348E73D1" w14:textId="77777777" w:rsidTr="00715598">
        <w:tc>
          <w:tcPr>
            <w:tcW w:w="9617" w:type="dxa"/>
          </w:tcPr>
          <w:p w14:paraId="6965D239" w14:textId="77777777" w:rsidR="00EB541D" w:rsidRPr="00A23938" w:rsidRDefault="00EB541D" w:rsidP="00EB541D">
            <w:pPr>
              <w:pStyle w:val="ListParagraph"/>
              <w:numPr>
                <w:ilvl w:val="0"/>
                <w:numId w:val="37"/>
              </w:numPr>
              <w:overflowPunct w:val="0"/>
              <w:autoSpaceDE w:val="0"/>
              <w:autoSpaceDN w:val="0"/>
              <w:adjustRightInd w:val="0"/>
              <w:contextualSpacing w:val="0"/>
              <w:textAlignment w:val="baseline"/>
              <w:rPr>
                <w:szCs w:val="24"/>
                <w:lang w:eastAsia="zh-CN"/>
              </w:rPr>
            </w:pPr>
            <w:r w:rsidRPr="00A23938">
              <w:rPr>
                <w:rFonts w:eastAsia="PMingLiU"/>
                <w:iCs/>
                <w:lang w:eastAsia="zh-TW"/>
              </w:rPr>
              <w:t xml:space="preserve">For </w:t>
            </w:r>
            <w:r w:rsidRPr="00A23938">
              <w:rPr>
                <w:rFonts w:eastAsia="PMingLiU"/>
                <w:iCs/>
                <w:u w:val="single"/>
                <w:lang w:eastAsia="zh-TW"/>
              </w:rPr>
              <w:t>quasi-earth fixed cell for NB-IoT</w:t>
            </w:r>
            <w:r w:rsidRPr="00A23938">
              <w:rPr>
                <w:rFonts w:eastAsia="PMingLiU"/>
                <w:iCs/>
                <w:lang w:eastAsia="zh-TW"/>
              </w:rPr>
              <w:t xml:space="preserve">, RAN4 to discuss whether to define requirements for </w:t>
            </w:r>
            <w:r w:rsidRPr="00A23938">
              <w:rPr>
                <w:rFonts w:eastAsia="PMingLiU"/>
                <w:i/>
                <w:lang w:eastAsia="zh-TW"/>
              </w:rPr>
              <w:t>t-service</w:t>
            </w:r>
            <w:r w:rsidRPr="00A23938">
              <w:rPr>
                <w:rFonts w:eastAsia="PMingLiU"/>
                <w:iCs/>
                <w:lang w:eastAsia="zh-TW"/>
              </w:rPr>
              <w:t xml:space="preserve"> triggered neighbour cell measurement before RLF. FFS the following options:</w:t>
            </w:r>
          </w:p>
          <w:p w14:paraId="023EC7A7" w14:textId="77777777" w:rsidR="00EB541D" w:rsidRPr="00A23938" w:rsidRDefault="00EB541D" w:rsidP="00EB541D">
            <w:pPr>
              <w:pStyle w:val="ListParagraph"/>
              <w:numPr>
                <w:ilvl w:val="1"/>
                <w:numId w:val="37"/>
              </w:numPr>
              <w:overflowPunct w:val="0"/>
              <w:autoSpaceDE w:val="0"/>
              <w:autoSpaceDN w:val="0"/>
              <w:adjustRightInd w:val="0"/>
              <w:contextualSpacing w:val="0"/>
              <w:textAlignment w:val="baseline"/>
              <w:rPr>
                <w:rFonts w:eastAsia="PMingLiU"/>
                <w:iCs/>
                <w:lang w:eastAsia="zh-TW"/>
              </w:rPr>
            </w:pPr>
            <w:r w:rsidRPr="00A23938">
              <w:rPr>
                <w:rFonts w:eastAsia="PMingLiU"/>
                <w:iCs/>
                <w:lang w:eastAsia="zh-TW"/>
              </w:rPr>
              <w:t xml:space="preserve">Option 1: The NB-IoT UE shall start the intra/inter-frequency measurements at least before time T1 before start of t-Service, where T1 is the time required to perform one measurement. </w:t>
            </w:r>
          </w:p>
          <w:p w14:paraId="3D7DF735" w14:textId="77777777" w:rsidR="00EB541D" w:rsidRPr="00A23938" w:rsidRDefault="00EB541D" w:rsidP="00EB541D">
            <w:pPr>
              <w:pStyle w:val="ListParagraph"/>
              <w:numPr>
                <w:ilvl w:val="1"/>
                <w:numId w:val="37"/>
              </w:numPr>
              <w:overflowPunct w:val="0"/>
              <w:autoSpaceDE w:val="0"/>
              <w:autoSpaceDN w:val="0"/>
              <w:adjustRightInd w:val="0"/>
              <w:contextualSpacing w:val="0"/>
              <w:textAlignment w:val="baseline"/>
              <w:rPr>
                <w:rFonts w:eastAsia="PMingLiU"/>
                <w:iCs/>
                <w:lang w:eastAsia="zh-TW"/>
              </w:rPr>
            </w:pPr>
            <w:r w:rsidRPr="00A23938">
              <w:rPr>
                <w:rFonts w:eastAsia="PMingLiU"/>
                <w:iCs/>
                <w:lang w:eastAsia="zh-TW"/>
              </w:rPr>
              <w:t xml:space="preserve">Option 2: RAN4 to define </w:t>
            </w:r>
            <w:r w:rsidRPr="00A23938">
              <w:rPr>
                <w:rFonts w:eastAsia="PMingLiU"/>
                <w:iCs/>
                <w:u w:val="single"/>
                <w:lang w:eastAsia="zh-TW"/>
              </w:rPr>
              <w:t>time</w:t>
            </w:r>
            <w:r w:rsidRPr="00A23938">
              <w:rPr>
                <w:rFonts w:eastAsia="PMingLiU"/>
                <w:iCs/>
                <w:lang w:eastAsia="zh-TW"/>
              </w:rPr>
              <w:t>-based connected mode measurement initiation condition in core spec. The details such as exact measurement starting time should wait further progress of RAN2</w:t>
            </w:r>
            <w:r w:rsidRPr="00A23938">
              <w:rPr>
                <w:rFonts w:eastAsia="PMingLiU" w:hint="eastAsia"/>
                <w:iCs/>
                <w:lang w:eastAsia="zh-TW"/>
              </w:rPr>
              <w:t>.</w:t>
            </w:r>
            <w:r w:rsidRPr="00A23938">
              <w:rPr>
                <w:rFonts w:eastAsia="PMingLiU"/>
                <w:iCs/>
                <w:lang w:eastAsia="zh-TW"/>
              </w:rPr>
              <w:t xml:space="preserve"> </w:t>
            </w:r>
          </w:p>
          <w:p w14:paraId="2481862C" w14:textId="77777777" w:rsidR="00EB541D" w:rsidRPr="00A23938" w:rsidRDefault="00EB541D" w:rsidP="00EB541D">
            <w:pPr>
              <w:pStyle w:val="ListParagraph"/>
              <w:numPr>
                <w:ilvl w:val="1"/>
                <w:numId w:val="37"/>
              </w:numPr>
              <w:overflowPunct w:val="0"/>
              <w:autoSpaceDE w:val="0"/>
              <w:autoSpaceDN w:val="0"/>
              <w:adjustRightInd w:val="0"/>
              <w:contextualSpacing w:val="0"/>
              <w:textAlignment w:val="baseline"/>
              <w:rPr>
                <w:rFonts w:eastAsia="PMingLiU"/>
                <w:iCs/>
                <w:lang w:eastAsia="zh-TW"/>
              </w:rPr>
            </w:pPr>
            <w:r w:rsidRPr="00A23938">
              <w:t>Option 3: not to define.</w:t>
            </w:r>
          </w:p>
          <w:p w14:paraId="18050F44" w14:textId="77777777" w:rsidR="00EB541D" w:rsidRPr="00A23938" w:rsidRDefault="00EB541D" w:rsidP="00EB541D">
            <w:pPr>
              <w:pStyle w:val="ListParagraph"/>
              <w:numPr>
                <w:ilvl w:val="1"/>
                <w:numId w:val="37"/>
              </w:numPr>
              <w:overflowPunct w:val="0"/>
              <w:autoSpaceDE w:val="0"/>
              <w:autoSpaceDN w:val="0"/>
              <w:adjustRightInd w:val="0"/>
              <w:contextualSpacing w:val="0"/>
              <w:textAlignment w:val="baseline"/>
              <w:rPr>
                <w:szCs w:val="24"/>
                <w:lang w:eastAsia="zh-CN"/>
              </w:rPr>
            </w:pPr>
            <w:r w:rsidRPr="00A23938">
              <w:rPr>
                <w:rFonts w:eastAsia="PMingLiU"/>
                <w:iCs/>
                <w:lang w:eastAsia="zh-TW"/>
              </w:rPr>
              <w:lastRenderedPageBreak/>
              <w:t>Other options are not precluded.</w:t>
            </w:r>
          </w:p>
          <w:p w14:paraId="62ECE15C" w14:textId="77777777" w:rsidR="00715598" w:rsidRDefault="00715598" w:rsidP="004E1823"/>
        </w:tc>
      </w:tr>
    </w:tbl>
    <w:p w14:paraId="217E9D52" w14:textId="19E2ED31" w:rsidR="004E1823" w:rsidRDefault="004E1823" w:rsidP="004E1823"/>
    <w:p w14:paraId="13BD5FE3" w14:textId="77777777" w:rsidR="00AE6C84" w:rsidRDefault="00EB541D" w:rsidP="004E1823">
      <w:r>
        <w:t xml:space="preserve">Options 1 and 2 share similarities, as both want to introduce a point in time </w:t>
      </w:r>
      <w:r w:rsidR="00C92122">
        <w:t xml:space="preserve">before t-service to initiate the measurements. The subject is under discussion in RAN2 and </w:t>
      </w:r>
      <w:r w:rsidR="001A22CA">
        <w:t xml:space="preserve">the indication by the serving cell of the “initial point in time” where the neighbor satellite will be present </w:t>
      </w:r>
      <w:r w:rsidR="00342472">
        <w:t xml:space="preserve">has received major support from companies in the last round of </w:t>
      </w:r>
      <w:r w:rsidR="00717615">
        <w:t>email discussion</w:t>
      </w:r>
      <w:r w:rsidR="0076375A">
        <w:t xml:space="preserve">. </w:t>
      </w:r>
    </w:p>
    <w:tbl>
      <w:tblPr>
        <w:tblStyle w:val="TableGrid"/>
        <w:tblW w:w="0" w:type="auto"/>
        <w:tblLook w:val="04A0" w:firstRow="1" w:lastRow="0" w:firstColumn="1" w:lastColumn="0" w:noHBand="0" w:noVBand="1"/>
      </w:tblPr>
      <w:tblGrid>
        <w:gridCol w:w="9617"/>
      </w:tblGrid>
      <w:tr w:rsidR="00AE6C84" w14:paraId="6B5E2B96" w14:textId="77777777" w:rsidTr="00AE6C84">
        <w:tc>
          <w:tcPr>
            <w:tcW w:w="9617" w:type="dxa"/>
          </w:tcPr>
          <w:p w14:paraId="4E111D5C" w14:textId="44604967" w:rsidR="00AE6C84" w:rsidRDefault="00AE6C84" w:rsidP="00AE6C84">
            <w:pPr>
              <w:jc w:val="both"/>
            </w:pPr>
            <w:r>
              <w:t xml:space="preserve">From </w:t>
            </w:r>
            <w:r>
              <w:fldChar w:fldCharType="begin"/>
            </w:r>
            <w:r>
              <w:instrText xml:space="preserve"> REF _Ref134706085 \r \h </w:instrText>
            </w:r>
            <w:r>
              <w:fldChar w:fldCharType="separate"/>
            </w:r>
            <w:r>
              <w:t>[8]</w:t>
            </w:r>
            <w:r>
              <w:fldChar w:fldCharType="end"/>
            </w:r>
            <w:r>
              <w:t>:</w:t>
            </w:r>
          </w:p>
          <w:p w14:paraId="160E2299" w14:textId="77777777" w:rsidR="00AE6C84" w:rsidRDefault="00AE6C84" w:rsidP="00AE6C84">
            <w:pPr>
              <w:jc w:val="both"/>
            </w:pPr>
          </w:p>
          <w:p w14:paraId="63EB8C63" w14:textId="427999E1" w:rsidR="00AE6C84" w:rsidRPr="00895CE0" w:rsidRDefault="00AE6C84" w:rsidP="00AE6C84">
            <w:pPr>
              <w:jc w:val="both"/>
            </w:pPr>
            <w:r w:rsidRPr="00895CE0">
              <w:t>Proposal 3 (10/13): For fixed cell, the cell start time of the neighbor cell is broadcast.</w:t>
            </w:r>
          </w:p>
          <w:p w14:paraId="75D0EE98" w14:textId="77777777" w:rsidR="00AE6C84" w:rsidRDefault="00AE6C84" w:rsidP="004E1823"/>
        </w:tc>
      </w:tr>
    </w:tbl>
    <w:p w14:paraId="6001925D" w14:textId="77777777" w:rsidR="00AE6C84" w:rsidRDefault="00AE6C84" w:rsidP="004E1823"/>
    <w:p w14:paraId="1BAA9802" w14:textId="6805696A" w:rsidR="00EB541D" w:rsidRDefault="0076375A" w:rsidP="004E1823">
      <w:r>
        <w:t>This indication is a much more reliable</w:t>
      </w:r>
      <w:r w:rsidR="00E77BBD">
        <w:t xml:space="preserve"> and optimized than the indication of T1 of option 1</w:t>
      </w:r>
      <w:r>
        <w:t xml:space="preserve"> reference point in time for the UE to initiate neighbor cell measurements. </w:t>
      </w:r>
    </w:p>
    <w:p w14:paraId="43F74A03" w14:textId="0275FC4F" w:rsidR="0076375A" w:rsidRDefault="0076375A" w:rsidP="0076375A">
      <w:pPr>
        <w:pStyle w:val="RAN4proposal"/>
      </w:pPr>
      <w:bookmarkStart w:id="5" w:name="_Toc135062613"/>
      <w:r>
        <w:t xml:space="preserve">Support neighbor cell measurements initiated before t-service </w:t>
      </w:r>
      <w:r w:rsidR="0050046F">
        <w:t xml:space="preserve">before RLF and wait for RAN2 definition on the indication of the “start time” of neighbor satellite to decide the </w:t>
      </w:r>
      <w:r w:rsidR="008456A3">
        <w:t>point in time where the measurements are initiated.</w:t>
      </w:r>
      <w:bookmarkEnd w:id="5"/>
      <w:r w:rsidR="008456A3">
        <w:t xml:space="preserve"> </w:t>
      </w:r>
    </w:p>
    <w:p w14:paraId="2314C5F3" w14:textId="47E8E378" w:rsidR="008456A3" w:rsidRDefault="008456A3" w:rsidP="008456A3">
      <w:r>
        <w:t xml:space="preserve">In the previous RAN2 meeting, some other agreements were made as well under the umbrella of mobility enhancements objective for this WI. Among these agreements </w:t>
      </w:r>
      <w:r w:rsidR="00F82BFD">
        <w:t>we highlight the following:</w:t>
      </w:r>
    </w:p>
    <w:tbl>
      <w:tblPr>
        <w:tblStyle w:val="TableGrid"/>
        <w:tblW w:w="0" w:type="auto"/>
        <w:tblLook w:val="04A0" w:firstRow="1" w:lastRow="0" w:firstColumn="1" w:lastColumn="0" w:noHBand="0" w:noVBand="1"/>
      </w:tblPr>
      <w:tblGrid>
        <w:gridCol w:w="9617"/>
      </w:tblGrid>
      <w:tr w:rsidR="00F82BFD" w14:paraId="5AFE5A67" w14:textId="77777777" w:rsidTr="00F82BFD">
        <w:tc>
          <w:tcPr>
            <w:tcW w:w="9617" w:type="dxa"/>
          </w:tcPr>
          <w:p w14:paraId="1D4CB4C9" w14:textId="77777777" w:rsidR="00F82BFD" w:rsidRPr="00B00B3A" w:rsidRDefault="00F82BFD" w:rsidP="00F82BFD">
            <w:pPr>
              <w:rPr>
                <w:b/>
                <w:bCs/>
                <w:color w:val="00B0F0"/>
              </w:rPr>
            </w:pPr>
            <w:r w:rsidRPr="00B00B3A">
              <w:rPr>
                <w:b/>
                <w:bCs/>
                <w:color w:val="00B0F0"/>
              </w:rPr>
              <w:t>Mobility Enhancements</w:t>
            </w:r>
          </w:p>
          <w:p w14:paraId="22C04EB3" w14:textId="77777777" w:rsidR="00F82BFD" w:rsidRDefault="00F82BFD" w:rsidP="00F82BFD"/>
          <w:p w14:paraId="297DA192" w14:textId="70604F38" w:rsidR="00F82BFD" w:rsidRDefault="00F82BFD" w:rsidP="00083971">
            <w:pPr>
              <w:pStyle w:val="ListParagraph"/>
              <w:numPr>
                <w:ilvl w:val="0"/>
                <w:numId w:val="40"/>
              </w:numPr>
            </w:pPr>
            <w:r>
              <w:t>For moving cell, the UE can derive the trajectory of serving cell with rough accuracy based on serving satellite ephemeris and epochTime, with the assumption that the serving cell reference location broadcast by the network is the one at Epoch time (like in NR-NTN)</w:t>
            </w:r>
          </w:p>
          <w:p w14:paraId="53AC175C" w14:textId="1AF2FBBF" w:rsidR="00F82BFD" w:rsidRDefault="00F82BFD" w:rsidP="00F82BFD">
            <w:pPr>
              <w:pStyle w:val="ListParagraph"/>
              <w:numPr>
                <w:ilvl w:val="0"/>
                <w:numId w:val="38"/>
              </w:numPr>
            </w:pPr>
            <w:r>
              <w:t>For eMTC NTN, for fixed cell, location-based measurement initiation can also be used in RRC_IDLE for cell re-selection purposes (like in NR-NTN)</w:t>
            </w:r>
          </w:p>
          <w:p w14:paraId="0C08FC8B" w14:textId="6DBD276C" w:rsidR="00F82BFD" w:rsidRDefault="00F82BFD" w:rsidP="00F82BFD">
            <w:pPr>
              <w:pStyle w:val="ListParagraph"/>
              <w:numPr>
                <w:ilvl w:val="0"/>
                <w:numId w:val="38"/>
              </w:numPr>
            </w:pPr>
            <w:r>
              <w:t>For eMTC NTN, for moving cell, location-based measurement initiation can also be used in RRC_IDLE for cell re-selection purposes (like in NR-NTN). FFS whether to consider solution that does not require UE to update the GNSS for this same as in connected mode</w:t>
            </w:r>
          </w:p>
          <w:p w14:paraId="4FCD04FC" w14:textId="2EE36BBB" w:rsidR="00F82BFD" w:rsidRDefault="00F82BFD" w:rsidP="00F82BFD">
            <w:pPr>
              <w:pStyle w:val="ListParagraph"/>
              <w:numPr>
                <w:ilvl w:val="0"/>
                <w:numId w:val="38"/>
              </w:numPr>
            </w:pPr>
            <w:r>
              <w:t>SIB3 is extended to include the reference location and distanceThresh</w:t>
            </w:r>
          </w:p>
          <w:p w14:paraId="1A2365A0" w14:textId="77777777" w:rsidR="00F82BFD" w:rsidRDefault="00F82BFD" w:rsidP="008456A3"/>
        </w:tc>
      </w:tr>
    </w:tbl>
    <w:p w14:paraId="4B07D940" w14:textId="77777777" w:rsidR="00C314AD" w:rsidRDefault="00C314AD" w:rsidP="008456A3"/>
    <w:p w14:paraId="3EAAC683" w14:textId="6B881FBE" w:rsidR="00812861" w:rsidRDefault="00F82BFD" w:rsidP="008456A3">
      <w:r>
        <w:t xml:space="preserve">Regarding </w:t>
      </w:r>
      <w:r w:rsidR="00C314AD">
        <w:t xml:space="preserve">the first agreement, </w:t>
      </w:r>
      <w:r w:rsidR="00A7391B">
        <w:t xml:space="preserve">it says </w:t>
      </w:r>
      <w:r w:rsidR="00C314AD">
        <w:t>“the UE can derive the trajectory</w:t>
      </w:r>
      <w:r w:rsidR="00A7391B">
        <w:t xml:space="preserve"> of serving cell with rough accuracy</w:t>
      </w:r>
      <w:r w:rsidR="00812861">
        <w:t xml:space="preserve"> (…) with the assumption that the serving cell reference location broadcast by the network is the one at Epoch time</w:t>
      </w:r>
      <w:r w:rsidR="00C314AD">
        <w:t>”</w:t>
      </w:r>
      <w:r w:rsidR="00A7391B">
        <w:t xml:space="preserve"> </w:t>
      </w:r>
      <w:r w:rsidR="00C314AD">
        <w:t xml:space="preserve"> of serving cell.</w:t>
      </w:r>
      <w:r w:rsidR="00812861">
        <w:t>”</w:t>
      </w:r>
      <w:r w:rsidR="00201E46">
        <w:t xml:space="preserve">. It is also very clear from the set of agreements that RAN2 intends to apply the location-based triggers for cell reselection purpose also for NTN. </w:t>
      </w:r>
    </w:p>
    <w:p w14:paraId="679B419C" w14:textId="520D08A1" w:rsidR="0092423D" w:rsidRDefault="00812861" w:rsidP="008456A3">
      <w:r>
        <w:t xml:space="preserve">This indicates that in the earth-moving cell scenario, the UE </w:t>
      </w:r>
      <w:r w:rsidR="0092423D">
        <w:t>must</w:t>
      </w:r>
      <w:r>
        <w:t xml:space="preserve"> </w:t>
      </w:r>
      <w:r w:rsidR="0092423D">
        <w:t xml:space="preserve">follow distanceThresh requirements that are propagated (moved) over time because of the satellite movement. </w:t>
      </w:r>
    </w:p>
    <w:p w14:paraId="4FFA7A0D" w14:textId="5BBDD536" w:rsidR="00D35095" w:rsidRDefault="00C57429" w:rsidP="00D35095">
      <w:pPr>
        <w:pStyle w:val="RAN4proposal"/>
      </w:pPr>
      <w:bookmarkStart w:id="6" w:name="_Toc135062614"/>
      <w:r>
        <w:t xml:space="preserve">RAN4 to discuss how to define the requirements for the propagation of the </w:t>
      </w:r>
      <w:r w:rsidR="00BB1347">
        <w:t xml:space="preserve">referenceLocationh </w:t>
      </w:r>
      <w:r>
        <w:t>based on the satellite movement.</w:t>
      </w:r>
      <w:bookmarkEnd w:id="6"/>
      <w:r>
        <w:t xml:space="preserve"> </w:t>
      </w:r>
    </w:p>
    <w:p w14:paraId="19D1122B" w14:textId="33484DDD" w:rsidR="00F82BFD" w:rsidRDefault="00F82BFD" w:rsidP="008456A3"/>
    <w:p w14:paraId="09617816" w14:textId="13F652D1" w:rsidR="00A958B4" w:rsidRDefault="00A958B4" w:rsidP="00A958B4">
      <w:pPr>
        <w:pStyle w:val="RAN4H2"/>
      </w:pPr>
      <w:r>
        <w:t>GNSS operation enhancements</w:t>
      </w:r>
    </w:p>
    <w:p w14:paraId="013145CB" w14:textId="24C090EA" w:rsidR="00C36EE6" w:rsidRDefault="00A958B4" w:rsidP="00A958B4">
      <w:r>
        <w:t>RAN2 has also reached further agreements regarding the GNSS operation enhancements.</w:t>
      </w:r>
      <w:r w:rsidR="002221C5">
        <w:t xml:space="preserve"> Some of the agreements are highlighted by us in the box below, as they have impact in RAN4 measurement procedures:</w:t>
      </w:r>
    </w:p>
    <w:tbl>
      <w:tblPr>
        <w:tblStyle w:val="TableGrid"/>
        <w:tblW w:w="0" w:type="auto"/>
        <w:tblLook w:val="04A0" w:firstRow="1" w:lastRow="0" w:firstColumn="1" w:lastColumn="0" w:noHBand="0" w:noVBand="1"/>
      </w:tblPr>
      <w:tblGrid>
        <w:gridCol w:w="9617"/>
      </w:tblGrid>
      <w:tr w:rsidR="00351407" w14:paraId="61C7932E" w14:textId="77777777" w:rsidTr="00351407">
        <w:tc>
          <w:tcPr>
            <w:tcW w:w="9617" w:type="dxa"/>
          </w:tcPr>
          <w:p w14:paraId="40663A61" w14:textId="77777777" w:rsidR="00351407" w:rsidRPr="007570DE" w:rsidRDefault="00351407" w:rsidP="00351407">
            <w:pPr>
              <w:rPr>
                <w:b/>
                <w:bCs/>
                <w:color w:val="00B0F0"/>
              </w:rPr>
            </w:pPr>
            <w:r w:rsidRPr="007570DE">
              <w:rPr>
                <w:b/>
                <w:bCs/>
                <w:color w:val="00B0F0"/>
              </w:rPr>
              <w:t>GNSS operation enhancements</w:t>
            </w:r>
          </w:p>
          <w:p w14:paraId="556B1F2F" w14:textId="1229B197" w:rsidR="00351407" w:rsidRDefault="00351407" w:rsidP="00351407">
            <w:r>
              <w:t>Agreements:</w:t>
            </w:r>
          </w:p>
          <w:p w14:paraId="099837BA" w14:textId="0B1C2156" w:rsidR="00351407" w:rsidRDefault="00351407" w:rsidP="004D1024">
            <w:pPr>
              <w:pStyle w:val="ListParagraph"/>
              <w:numPr>
                <w:ilvl w:val="0"/>
                <w:numId w:val="41"/>
              </w:numPr>
            </w:pPr>
            <w:r>
              <w:t>RLM is suspended during the GNSS measurement gap while the UE is measuring GNSS</w:t>
            </w:r>
          </w:p>
          <w:p w14:paraId="2F9E9265" w14:textId="77777777" w:rsidR="00351407" w:rsidRDefault="00351407" w:rsidP="00351407"/>
          <w:p w14:paraId="2591B488" w14:textId="77777777" w:rsidR="00351407" w:rsidRDefault="00351407" w:rsidP="004D1024"/>
        </w:tc>
      </w:tr>
    </w:tbl>
    <w:p w14:paraId="0AFA8E98" w14:textId="77777777" w:rsidR="005641C2" w:rsidRDefault="005641C2" w:rsidP="005641C2"/>
    <w:p w14:paraId="2E45A212" w14:textId="54B39DA2" w:rsidR="005641C2" w:rsidRDefault="005641C2" w:rsidP="005641C2">
      <w:r>
        <w:t>For complying  with RAN2 agreements, RAN</w:t>
      </w:r>
      <w:r w:rsidR="00A94C99">
        <w:t xml:space="preserve">4 needs to capture in the RLM requirements that when a UE is measuring the GNSS in a GNSS measurement gap, RLM is suspended. </w:t>
      </w:r>
    </w:p>
    <w:p w14:paraId="3D8C0C59" w14:textId="755E8D2C" w:rsidR="00A94C99" w:rsidRDefault="00A94C99" w:rsidP="00A94C99">
      <w:pPr>
        <w:pStyle w:val="RAN4proposal"/>
      </w:pPr>
      <w:bookmarkStart w:id="7" w:name="_Toc135062615"/>
      <w:r>
        <w:t>Capture in specification that when a UE is measuring the GNSS in a GNSS-MG RLM</w:t>
      </w:r>
      <w:r w:rsidR="00DD3D69">
        <w:t xml:space="preserve"> monitoring is suspended. F</w:t>
      </w:r>
      <w:r w:rsidR="000843F7">
        <w:t>FS</w:t>
      </w:r>
      <w:r w:rsidR="00DD3D69">
        <w:t xml:space="preserve"> on the impact on RLM requirements.</w:t>
      </w:r>
      <w:bookmarkEnd w:id="7"/>
      <w:r w:rsidR="00DD3D69">
        <w:t xml:space="preserve"> </w:t>
      </w:r>
    </w:p>
    <w:p w14:paraId="5690BB24" w14:textId="77777777" w:rsidR="00BA7A7F" w:rsidRPr="00BA7A7F" w:rsidRDefault="00BA7A7F" w:rsidP="001E7EE8"/>
    <w:p w14:paraId="0796B493" w14:textId="23BC029C" w:rsidR="005641C2" w:rsidRDefault="005641C2" w:rsidP="004D1024">
      <w:pPr>
        <w:pStyle w:val="RAN4H2"/>
        <w:numPr>
          <w:ilvl w:val="0"/>
          <w:numId w:val="0"/>
        </w:numPr>
      </w:pPr>
    </w:p>
    <w:p w14:paraId="4C0CFC40" w14:textId="77777777" w:rsidR="0060543D" w:rsidRPr="008C39F7" w:rsidRDefault="0060543D" w:rsidP="0060543D"/>
    <w:p w14:paraId="2936076E" w14:textId="77777777" w:rsidR="00CD7492" w:rsidRPr="008C39F7" w:rsidRDefault="00CD7492" w:rsidP="00A37002">
      <w:pPr>
        <w:pStyle w:val="RAN4H1"/>
      </w:pPr>
      <w:bookmarkStart w:id="8" w:name="_Toc116995848"/>
      <w:r w:rsidRPr="008C39F7">
        <w:t>Conclusion</w:t>
      </w:r>
      <w:bookmarkEnd w:id="8"/>
    </w:p>
    <w:p w14:paraId="18C7DB2F" w14:textId="12953822" w:rsidR="008B0961" w:rsidRDefault="006C6F59" w:rsidP="005C23A4">
      <w:r>
        <w:t>The paper has discussed the work item on enhancements of IoT/eMTC NTN deployments in special in what regards mobility aspects. The following observations and proposals are presented as an outcome of the discussions above:</w:t>
      </w:r>
    </w:p>
    <w:p w14:paraId="001B2764" w14:textId="77777777" w:rsidR="006C6F59" w:rsidRPr="008C39F7" w:rsidRDefault="006C6F59" w:rsidP="005C23A4"/>
    <w:p w14:paraId="3DA6E050" w14:textId="5015515A" w:rsidR="006923E8" w:rsidRDefault="006923E8">
      <w:pPr>
        <w:pStyle w:val="TOC1"/>
        <w:rPr>
          <w:rFonts w:asciiTheme="minorHAnsi" w:eastAsiaTheme="minorEastAsia" w:hAnsiTheme="minorHAnsi"/>
          <w:b w:val="0"/>
          <w:iCs w:val="0"/>
          <w:sz w:val="22"/>
          <w:lang w:val="en-GB" w:eastAsia="en-GB"/>
        </w:rPr>
      </w:pPr>
      <w:r>
        <w:rPr>
          <w:i/>
          <w:iCs w:val="0"/>
          <w:u w:val="single"/>
        </w:rPr>
        <w:fldChar w:fldCharType="begin"/>
      </w:r>
      <w:r>
        <w:rPr>
          <w:i/>
          <w:iCs w:val="0"/>
          <w:u w:val="single"/>
        </w:rPr>
        <w:instrText xml:space="preserve"> TOC \n \h \z \t "RAN4 proposal;1;RAN4 observation;1" </w:instrText>
      </w:r>
      <w:r>
        <w:rPr>
          <w:i/>
          <w:iCs w:val="0"/>
          <w:u w:val="single"/>
        </w:rPr>
        <w:fldChar w:fldCharType="separate"/>
      </w:r>
      <w:hyperlink w:anchor="_Toc135062611" w:history="1">
        <w:r w:rsidRPr="00A947CB">
          <w:rPr>
            <w:rStyle w:val="Hyperlink"/>
          </w:rPr>
          <w:t>Observation 1: It has been previously agreed that the “total number of satellites” the UE shall measure is equal to two for each frequency layer, including the serving satellite.</w:t>
        </w:r>
      </w:hyperlink>
    </w:p>
    <w:p w14:paraId="45F82358" w14:textId="6839D95D" w:rsidR="006923E8" w:rsidRDefault="00444854">
      <w:pPr>
        <w:pStyle w:val="TOC1"/>
        <w:rPr>
          <w:rFonts w:asciiTheme="minorHAnsi" w:eastAsiaTheme="minorEastAsia" w:hAnsiTheme="minorHAnsi"/>
          <w:b w:val="0"/>
          <w:iCs w:val="0"/>
          <w:sz w:val="22"/>
          <w:lang w:val="en-GB" w:eastAsia="en-GB"/>
        </w:rPr>
      </w:pPr>
      <w:hyperlink w:anchor="_Toc135062612" w:history="1">
        <w:r w:rsidR="006923E8" w:rsidRPr="00A947CB">
          <w:rPr>
            <w:rStyle w:val="Hyperlink"/>
          </w:rPr>
          <w:t>Proposal 1: RAN4 to clarify that the neighbor satellite for inter-frequency measurements that the UE shall be capable to measure in each frequency layer in NGSO scenarios are not necessary the same.</w:t>
        </w:r>
      </w:hyperlink>
    </w:p>
    <w:p w14:paraId="5B70CF58" w14:textId="61A37749" w:rsidR="006923E8" w:rsidRDefault="00444854">
      <w:pPr>
        <w:pStyle w:val="TOC1"/>
        <w:rPr>
          <w:rFonts w:asciiTheme="minorHAnsi" w:eastAsiaTheme="minorEastAsia" w:hAnsiTheme="minorHAnsi"/>
          <w:b w:val="0"/>
          <w:iCs w:val="0"/>
          <w:sz w:val="22"/>
          <w:lang w:val="en-GB" w:eastAsia="en-GB"/>
        </w:rPr>
      </w:pPr>
      <w:hyperlink w:anchor="_Toc135062613" w:history="1">
        <w:r w:rsidR="006923E8" w:rsidRPr="00A947CB">
          <w:rPr>
            <w:rStyle w:val="Hyperlink"/>
          </w:rPr>
          <w:t>Proposal 2: Support neighbor cell measurements initiated before t-service before RLF and wait for RAN2 definition on the indication of the “start time” of neighbor satellite to decide the point in time where the measurements are initiated.</w:t>
        </w:r>
      </w:hyperlink>
    </w:p>
    <w:p w14:paraId="11CF3DC9" w14:textId="1BBD8E4B" w:rsidR="006923E8" w:rsidRDefault="00444854">
      <w:pPr>
        <w:pStyle w:val="TOC1"/>
        <w:rPr>
          <w:rFonts w:asciiTheme="minorHAnsi" w:eastAsiaTheme="minorEastAsia" w:hAnsiTheme="minorHAnsi"/>
          <w:b w:val="0"/>
          <w:iCs w:val="0"/>
          <w:sz w:val="22"/>
          <w:lang w:val="en-GB" w:eastAsia="en-GB"/>
        </w:rPr>
      </w:pPr>
      <w:hyperlink w:anchor="_Toc135062614" w:history="1">
        <w:r w:rsidR="006923E8" w:rsidRPr="00A947CB">
          <w:rPr>
            <w:rStyle w:val="Hyperlink"/>
          </w:rPr>
          <w:t>Proposal 3: RAN4 to discuss how to define the requirements for the propagation of the referenceLocationh based on the satellite movement.</w:t>
        </w:r>
      </w:hyperlink>
    </w:p>
    <w:p w14:paraId="56820130" w14:textId="30D3E2F4" w:rsidR="006923E8" w:rsidRDefault="00444854">
      <w:pPr>
        <w:pStyle w:val="TOC1"/>
        <w:rPr>
          <w:rFonts w:asciiTheme="minorHAnsi" w:eastAsiaTheme="minorEastAsia" w:hAnsiTheme="minorHAnsi"/>
          <w:b w:val="0"/>
          <w:iCs w:val="0"/>
          <w:sz w:val="22"/>
          <w:lang w:val="en-GB" w:eastAsia="en-GB"/>
        </w:rPr>
      </w:pPr>
      <w:hyperlink w:anchor="_Toc135062615" w:history="1">
        <w:r w:rsidR="006923E8" w:rsidRPr="00A947CB">
          <w:rPr>
            <w:rStyle w:val="Hyperlink"/>
          </w:rPr>
          <w:t>Proposal 4: Capture in specification that when a UE is measuring the GNSS in a GNSS-MG RLM monitoring is suspended. FFS on the impact on RLM requirements.</w:t>
        </w:r>
      </w:hyperlink>
    </w:p>
    <w:p w14:paraId="5B5AE91E" w14:textId="5B5252E0" w:rsidR="008C39F7" w:rsidRPr="008C39F7" w:rsidRDefault="006923E8" w:rsidP="008C39F7">
      <w:r>
        <w:rPr>
          <w:i/>
          <w:iCs/>
          <w:u w:val="single"/>
        </w:rPr>
        <w:fldChar w:fldCharType="end"/>
      </w:r>
      <w:bookmarkStart w:id="9" w:name="_Toc116995849"/>
    </w:p>
    <w:p w14:paraId="49AE0275" w14:textId="77777777" w:rsidR="003B659E" w:rsidRPr="008C39F7" w:rsidRDefault="003B659E" w:rsidP="0060543D">
      <w:pPr>
        <w:pStyle w:val="RAN4H1"/>
        <w:numPr>
          <w:ilvl w:val="0"/>
          <w:numId w:val="0"/>
        </w:numPr>
        <w:ind w:left="360" w:hanging="360"/>
      </w:pPr>
      <w:r w:rsidRPr="008C39F7">
        <w:t>References</w:t>
      </w:r>
      <w:bookmarkEnd w:id="9"/>
    </w:p>
    <w:p w14:paraId="273A5A38" w14:textId="77777777" w:rsidR="003F1671" w:rsidRPr="00A37792" w:rsidRDefault="003F1671" w:rsidP="003F1671">
      <w:pPr>
        <w:pStyle w:val="ListParagraph"/>
        <w:numPr>
          <w:ilvl w:val="0"/>
          <w:numId w:val="36"/>
        </w:numPr>
        <w:ind w:right="-22"/>
      </w:pPr>
      <w:bookmarkStart w:id="10" w:name="_Ref114500673"/>
      <w:bookmarkStart w:id="11" w:name="_Ref115097759"/>
      <w:bookmarkStart w:id="12" w:name="_Ref115097774"/>
      <w:bookmarkEnd w:id="10"/>
      <w:r w:rsidRPr="00A37792">
        <w:t>TR 36.763, “Study on Narrow-Band Internet of Things (NB-IoT) / enhanced Machine Type Communication (eMTC) support for Non-Terrestrial Networks (NTN)”</w:t>
      </w:r>
      <w:bookmarkEnd w:id="11"/>
      <w:r w:rsidRPr="00A37792">
        <w:t xml:space="preserve">  </w:t>
      </w:r>
    </w:p>
    <w:p w14:paraId="04A3E9D1" w14:textId="77777777" w:rsidR="003F1671" w:rsidRPr="00A37792" w:rsidRDefault="003F1671" w:rsidP="003F1671">
      <w:pPr>
        <w:pStyle w:val="ListParagraph"/>
        <w:numPr>
          <w:ilvl w:val="0"/>
          <w:numId w:val="36"/>
        </w:numPr>
        <w:ind w:right="-22"/>
      </w:pPr>
      <w:bookmarkStart w:id="13" w:name="_Ref115097767"/>
      <w:r w:rsidRPr="00A37792">
        <w:t>RP-211601 – NB-IoT/eMTC support for Non-Terrestrial Networks</w:t>
      </w:r>
      <w:bookmarkEnd w:id="13"/>
      <w:r w:rsidRPr="00A37792">
        <w:t xml:space="preserve"> </w:t>
      </w:r>
    </w:p>
    <w:p w14:paraId="1F4DB7BE" w14:textId="77777777" w:rsidR="003F1671" w:rsidRPr="00A37792" w:rsidRDefault="003F1671" w:rsidP="003F1671">
      <w:pPr>
        <w:pStyle w:val="ListParagraph"/>
        <w:numPr>
          <w:ilvl w:val="0"/>
          <w:numId w:val="36"/>
        </w:numPr>
        <w:spacing w:after="0" w:line="256" w:lineRule="auto"/>
        <w:ind w:right="-22"/>
        <w:rPr>
          <w:i/>
          <w:iCs/>
        </w:rPr>
      </w:pPr>
      <w:bookmarkStart w:id="14" w:name="_Ref130395430"/>
      <w:bookmarkStart w:id="15" w:name="_Ref131892878"/>
      <w:r w:rsidRPr="00A37792">
        <w:t xml:space="preserve">RP-220979– </w:t>
      </w:r>
      <w:bookmarkEnd w:id="12"/>
      <w:bookmarkEnd w:id="14"/>
      <w:r w:rsidRPr="00A37792">
        <w:rPr>
          <w:i/>
          <w:iCs/>
        </w:rPr>
        <w:t xml:space="preserve">Revised WID on IoT NTN enhancements, </w:t>
      </w:r>
      <w:r w:rsidRPr="00A37792">
        <w:t>Mediatek, RAN 95, Electronic Meeting, March 17 - 23, 2022</w:t>
      </w:r>
      <w:bookmarkEnd w:id="15"/>
    </w:p>
    <w:p w14:paraId="038EAC13" w14:textId="3F628AE8" w:rsidR="003F1671" w:rsidRPr="00A37792" w:rsidRDefault="005932E6" w:rsidP="003F1671">
      <w:pPr>
        <w:pStyle w:val="ListParagraph"/>
        <w:numPr>
          <w:ilvl w:val="0"/>
          <w:numId w:val="36"/>
        </w:numPr>
        <w:spacing w:after="0" w:line="256" w:lineRule="auto"/>
        <w:ind w:right="-22"/>
      </w:pPr>
      <w:bookmarkStart w:id="16" w:name="_Ref118189778"/>
      <w:bookmarkStart w:id="17" w:name="_Ref127447438"/>
      <w:r w:rsidRPr="005932E6">
        <w:t>R4-2306387</w:t>
      </w:r>
      <w:r w:rsidR="003F1671" w:rsidRPr="00A37792">
        <w:t xml:space="preserve">, </w:t>
      </w:r>
      <w:r w:rsidR="003F1671" w:rsidRPr="00A37792">
        <w:rPr>
          <w:i/>
          <w:iCs/>
        </w:rPr>
        <w:t>WF on RRM requirements for R18 IOT NTN enhancements</w:t>
      </w:r>
      <w:r w:rsidR="003F1671" w:rsidRPr="00A37792">
        <w:t xml:space="preserve">, </w:t>
      </w:r>
      <w:bookmarkEnd w:id="16"/>
      <w:r w:rsidR="003F1671" w:rsidRPr="00A37792">
        <w:t>Mediatek, RAN WG4 #106</w:t>
      </w:r>
      <w:r>
        <w:t>-bis-e</w:t>
      </w:r>
      <w:r w:rsidR="003F1671" w:rsidRPr="00A37792">
        <w:t xml:space="preserve">, </w:t>
      </w:r>
      <w:r>
        <w:t>electronic meeting</w:t>
      </w:r>
      <w:r w:rsidR="003F1671" w:rsidRPr="00A37792">
        <w:t>.</w:t>
      </w:r>
      <w:bookmarkEnd w:id="17"/>
      <w:r w:rsidR="003F1671" w:rsidRPr="00A37792">
        <w:t xml:space="preserve"> </w:t>
      </w:r>
    </w:p>
    <w:p w14:paraId="136C0349" w14:textId="77777777" w:rsidR="003F1671" w:rsidRPr="00A37792" w:rsidRDefault="003F1671" w:rsidP="003F1671">
      <w:pPr>
        <w:pStyle w:val="ListParagraph"/>
        <w:numPr>
          <w:ilvl w:val="0"/>
          <w:numId w:val="36"/>
        </w:numPr>
        <w:spacing w:after="0" w:line="256" w:lineRule="auto"/>
        <w:ind w:right="-22"/>
      </w:pPr>
      <w:bookmarkStart w:id="18" w:name="_Ref127447283"/>
      <w:r w:rsidRPr="00A37792">
        <w:t xml:space="preserve">R2-2213018, </w:t>
      </w:r>
      <w:r w:rsidRPr="00A37792">
        <w:rPr>
          <w:i/>
          <w:iCs/>
        </w:rPr>
        <w:t>“Reply LS on information for neighbor/target cell in IoT NTN”,</w:t>
      </w:r>
      <w:r w:rsidRPr="00A37792">
        <w:t xml:space="preserve"> Huawei, 3GPP WG2 #120, Toulouse France, November 2022.</w:t>
      </w:r>
      <w:bookmarkEnd w:id="18"/>
      <w:r w:rsidRPr="00A37792">
        <w:t xml:space="preserve"> </w:t>
      </w:r>
    </w:p>
    <w:p w14:paraId="31C6CBB5" w14:textId="77777777" w:rsidR="003F1671" w:rsidRPr="00A37792" w:rsidRDefault="003F1671" w:rsidP="003F1671">
      <w:pPr>
        <w:pStyle w:val="ListParagraph"/>
        <w:numPr>
          <w:ilvl w:val="0"/>
          <w:numId w:val="36"/>
        </w:numPr>
        <w:spacing w:after="0"/>
        <w:ind w:right="-22"/>
      </w:pPr>
      <w:bookmarkStart w:id="19" w:name="_Ref131893184"/>
      <w:r w:rsidRPr="00A37792">
        <w:t xml:space="preserve">R4-2220362, </w:t>
      </w:r>
      <w:r w:rsidRPr="00A37792">
        <w:rPr>
          <w:i/>
          <w:iCs/>
        </w:rPr>
        <w:t>WF on NTN NB-IoT/eMTC RRM requirements</w:t>
      </w:r>
      <w:r w:rsidRPr="00A37792">
        <w:t>, Mediatek, RAN WG4 #105, Toulouse, France.</w:t>
      </w:r>
      <w:bookmarkEnd w:id="19"/>
      <w:r w:rsidRPr="00A37792">
        <w:t xml:space="preserve"> </w:t>
      </w:r>
    </w:p>
    <w:p w14:paraId="32819D78" w14:textId="77777777" w:rsidR="003F1671" w:rsidRPr="00CF44F0" w:rsidRDefault="003F1671" w:rsidP="003F1671">
      <w:pPr>
        <w:pStyle w:val="ListParagraph"/>
        <w:numPr>
          <w:ilvl w:val="0"/>
          <w:numId w:val="36"/>
        </w:numPr>
        <w:spacing w:after="0" w:line="256" w:lineRule="auto"/>
        <w:ind w:right="-22"/>
      </w:pPr>
      <w:bookmarkStart w:id="20" w:name="_Ref127447652"/>
      <w:r w:rsidRPr="00A37792">
        <w:t xml:space="preserve">TS 36.133, </w:t>
      </w:r>
      <w:r w:rsidRPr="00A37792">
        <w:rPr>
          <w:i/>
          <w:iCs/>
        </w:rPr>
        <w:t>“</w:t>
      </w:r>
      <w:r w:rsidRPr="00A37792">
        <w:rPr>
          <w:rFonts w:ascii="Arial" w:hAnsi="Arial" w:cs="Arial"/>
          <w:i/>
          <w:iCs/>
          <w:color w:val="000000"/>
          <w:sz w:val="18"/>
          <w:szCs w:val="18"/>
        </w:rPr>
        <w:t xml:space="preserve">Evolved Universal Terrestrial Radio Access (E-UTRA); Requirements for support of radio resource management”, </w:t>
      </w:r>
      <w:r w:rsidRPr="00A37792">
        <w:rPr>
          <w:rFonts w:ascii="Arial" w:hAnsi="Arial" w:cs="Arial"/>
          <w:color w:val="000000"/>
          <w:sz w:val="18"/>
          <w:szCs w:val="18"/>
        </w:rPr>
        <w:t>3GPP, Release 18.0.0</w:t>
      </w:r>
      <w:bookmarkEnd w:id="20"/>
    </w:p>
    <w:p w14:paraId="69826C23" w14:textId="469CC9FD" w:rsidR="00AE6C84" w:rsidRPr="00A37792" w:rsidRDefault="00AE6C84" w:rsidP="003F1671">
      <w:pPr>
        <w:pStyle w:val="ListParagraph"/>
        <w:numPr>
          <w:ilvl w:val="0"/>
          <w:numId w:val="36"/>
        </w:numPr>
        <w:spacing w:after="0" w:line="256" w:lineRule="auto"/>
        <w:ind w:right="-22"/>
      </w:pPr>
      <w:bookmarkStart w:id="21" w:name="_Ref134706085"/>
      <w:r w:rsidRPr="00BD4779">
        <w:rPr>
          <w:bCs/>
        </w:rPr>
        <w:t>R2-2304257, “Report of [AT121bis-e][114][IoT NTN Enh] Neighbour cell measurements (Qualcomm)” 3GPP TSG RAN2 Meeting #121bis-e Meeting, April 17th-26th 2023.</w:t>
      </w:r>
      <w:bookmarkEnd w:id="21"/>
    </w:p>
    <w:p w14:paraId="0FF59E42" w14:textId="77777777" w:rsidR="0060543D" w:rsidRPr="008C39F7" w:rsidRDefault="0060543D" w:rsidP="00CF44F0">
      <w:pPr>
        <w:ind w:right="-22"/>
      </w:pPr>
    </w:p>
    <w:sectPr w:rsidR="0060543D" w:rsidRPr="008C39F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FCF2A" w14:textId="77777777" w:rsidR="0044372B" w:rsidRDefault="0044372B" w:rsidP="00001C9B">
      <w:pPr>
        <w:spacing w:after="0" w:line="240" w:lineRule="auto"/>
      </w:pPr>
      <w:r>
        <w:separator/>
      </w:r>
    </w:p>
  </w:endnote>
  <w:endnote w:type="continuationSeparator" w:id="0">
    <w:p w14:paraId="0D9A9C6A" w14:textId="77777777" w:rsidR="0044372B" w:rsidRDefault="0044372B" w:rsidP="00001C9B">
      <w:pPr>
        <w:spacing w:after="0" w:line="240" w:lineRule="auto"/>
      </w:pPr>
      <w:r>
        <w:continuationSeparator/>
      </w:r>
    </w:p>
  </w:endnote>
  <w:endnote w:type="continuationNotice" w:id="1">
    <w:p w14:paraId="6C14DD44" w14:textId="77777777" w:rsidR="0044372B" w:rsidRDefault="004437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2EDB0" w14:textId="77777777" w:rsidR="0044372B" w:rsidRDefault="0044372B" w:rsidP="00001C9B">
      <w:pPr>
        <w:spacing w:after="0" w:line="240" w:lineRule="auto"/>
      </w:pPr>
      <w:r>
        <w:separator/>
      </w:r>
    </w:p>
  </w:footnote>
  <w:footnote w:type="continuationSeparator" w:id="0">
    <w:p w14:paraId="0CF2F5AC" w14:textId="77777777" w:rsidR="0044372B" w:rsidRDefault="0044372B" w:rsidP="00001C9B">
      <w:pPr>
        <w:spacing w:after="0" w:line="240" w:lineRule="auto"/>
      </w:pPr>
      <w:r>
        <w:continuationSeparator/>
      </w:r>
    </w:p>
  </w:footnote>
  <w:footnote w:type="continuationNotice" w:id="1">
    <w:p w14:paraId="0297031D" w14:textId="77777777" w:rsidR="0044372B" w:rsidRDefault="0044372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84E6F"/>
    <w:multiLevelType w:val="multilevel"/>
    <w:tmpl w:val="903A8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942925"/>
    <w:multiLevelType w:val="multilevel"/>
    <w:tmpl w:val="661E1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EBD7C84"/>
    <w:multiLevelType w:val="multilevel"/>
    <w:tmpl w:val="44DE4F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DC4634"/>
    <w:multiLevelType w:val="hybridMultilevel"/>
    <w:tmpl w:val="1DEC4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791ECA"/>
    <w:multiLevelType w:val="multilevel"/>
    <w:tmpl w:val="A76C5A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31345C"/>
    <w:multiLevelType w:val="multilevel"/>
    <w:tmpl w:val="BB3C7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38765A7"/>
    <w:multiLevelType w:val="hybridMultilevel"/>
    <w:tmpl w:val="177AF5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9B724EE"/>
    <w:multiLevelType w:val="hybridMultilevel"/>
    <w:tmpl w:val="EE8CF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4647FB"/>
    <w:multiLevelType w:val="hybridMultilevel"/>
    <w:tmpl w:val="00A0697A"/>
    <w:lvl w:ilvl="0" w:tplc="F18E6FD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8F57959"/>
    <w:multiLevelType w:val="multilevel"/>
    <w:tmpl w:val="4112BE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275AC5"/>
    <w:multiLevelType w:val="multilevel"/>
    <w:tmpl w:val="22009C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7917ADE"/>
    <w:multiLevelType w:val="hybridMultilevel"/>
    <w:tmpl w:val="EEC22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7C23A12"/>
    <w:multiLevelType w:val="multilevel"/>
    <w:tmpl w:val="FFA279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B421CB0"/>
    <w:multiLevelType w:val="multilevel"/>
    <w:tmpl w:val="9656EE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3"/>
  </w:num>
  <w:num w:numId="2" w16cid:durableId="1469392472">
    <w:abstractNumId w:val="9"/>
  </w:num>
  <w:num w:numId="3" w16cid:durableId="1792749823">
    <w:abstractNumId w:val="18"/>
  </w:num>
  <w:num w:numId="4" w16cid:durableId="517735681">
    <w:abstractNumId w:val="8"/>
  </w:num>
  <w:num w:numId="5" w16cid:durableId="1142041724">
    <w:abstractNumId w:val="26"/>
  </w:num>
  <w:num w:numId="6" w16cid:durableId="80681869">
    <w:abstractNumId w:val="15"/>
  </w:num>
  <w:num w:numId="7" w16cid:durableId="1566528953">
    <w:abstractNumId w:val="17"/>
  </w:num>
  <w:num w:numId="8" w16cid:durableId="809788981">
    <w:abstractNumId w:val="17"/>
    <w:lvlOverride w:ilvl="0">
      <w:startOverride w:val="1"/>
    </w:lvlOverride>
  </w:num>
  <w:num w:numId="9" w16cid:durableId="1398822153">
    <w:abstractNumId w:val="17"/>
    <w:lvlOverride w:ilvl="0">
      <w:startOverride w:val="1"/>
    </w:lvlOverride>
  </w:num>
  <w:num w:numId="10" w16cid:durableId="1825466284">
    <w:abstractNumId w:val="17"/>
    <w:lvlOverride w:ilvl="0">
      <w:startOverride w:val="1"/>
    </w:lvlOverride>
  </w:num>
  <w:num w:numId="11" w16cid:durableId="1446922321">
    <w:abstractNumId w:val="15"/>
    <w:lvlOverride w:ilvl="0">
      <w:startOverride w:val="1"/>
    </w:lvlOverride>
  </w:num>
  <w:num w:numId="12" w16cid:durableId="122584543">
    <w:abstractNumId w:val="17"/>
    <w:lvlOverride w:ilvl="0">
      <w:startOverride w:val="1"/>
    </w:lvlOverride>
  </w:num>
  <w:num w:numId="13" w16cid:durableId="818807267">
    <w:abstractNumId w:val="15"/>
    <w:lvlOverride w:ilvl="0">
      <w:startOverride w:val="1"/>
    </w:lvlOverride>
  </w:num>
  <w:num w:numId="14" w16cid:durableId="883829348">
    <w:abstractNumId w:val="17"/>
    <w:lvlOverride w:ilvl="0">
      <w:startOverride w:val="1"/>
    </w:lvlOverride>
  </w:num>
  <w:num w:numId="15" w16cid:durableId="438372887">
    <w:abstractNumId w:val="28"/>
  </w:num>
  <w:num w:numId="16" w16cid:durableId="516113510">
    <w:abstractNumId w:val="5"/>
  </w:num>
  <w:num w:numId="17" w16cid:durableId="1456096507">
    <w:abstractNumId w:val="23"/>
  </w:num>
  <w:num w:numId="18" w16cid:durableId="1397970374">
    <w:abstractNumId w:val="2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4"/>
  </w:num>
  <w:num w:numId="21" w16cid:durableId="1659071369">
    <w:abstractNumId w:val="21"/>
  </w:num>
  <w:num w:numId="22" w16cid:durableId="1938362445">
    <w:abstractNumId w:val="15"/>
    <w:lvlOverride w:ilvl="0">
      <w:startOverride w:val="1"/>
    </w:lvlOverride>
  </w:num>
  <w:num w:numId="23" w16cid:durableId="913515990">
    <w:abstractNumId w:val="17"/>
    <w:lvlOverride w:ilvl="0">
      <w:startOverride w:val="1"/>
    </w:lvlOverride>
  </w:num>
  <w:num w:numId="24" w16cid:durableId="978418003">
    <w:abstractNumId w:val="4"/>
  </w:num>
  <w:num w:numId="25" w16cid:durableId="143009612">
    <w:abstractNumId w:val="2"/>
  </w:num>
  <w:num w:numId="26" w16cid:durableId="212620654">
    <w:abstractNumId w:val="2"/>
    <w:lvlOverride w:ilvl="0">
      <w:startOverride w:val="1"/>
    </w:lvlOverride>
  </w:num>
  <w:num w:numId="27" w16cid:durableId="2077163691">
    <w:abstractNumId w:val="12"/>
    <w:lvlOverride w:ilvl="0">
      <w:startOverride w:val="1"/>
    </w:lvlOverride>
  </w:num>
  <w:num w:numId="28" w16cid:durableId="29233144">
    <w:abstractNumId w:val="11"/>
  </w:num>
  <w:num w:numId="29" w16cid:durableId="1498300659">
    <w:abstractNumId w:val="1"/>
  </w:num>
  <w:num w:numId="30" w16cid:durableId="1815290027">
    <w:abstractNumId w:val="22"/>
  </w:num>
  <w:num w:numId="31" w16cid:durableId="147720103">
    <w:abstractNumId w:val="25"/>
  </w:num>
  <w:num w:numId="32" w16cid:durableId="805925957">
    <w:abstractNumId w:val="20"/>
  </w:num>
  <w:num w:numId="33" w16cid:durableId="1352535266">
    <w:abstractNumId w:val="0"/>
  </w:num>
  <w:num w:numId="34" w16cid:durableId="1749226117">
    <w:abstractNumId w:val="27"/>
  </w:num>
  <w:num w:numId="35" w16cid:durableId="484706522">
    <w:abstractNumId w:val="6"/>
  </w:num>
  <w:num w:numId="36" w16cid:durableId="15531540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12087322">
    <w:abstractNumId w:val="10"/>
  </w:num>
  <w:num w:numId="38" w16cid:durableId="2131390956">
    <w:abstractNumId w:val="13"/>
  </w:num>
  <w:num w:numId="39" w16cid:durableId="1939480961">
    <w:abstractNumId w:val="19"/>
  </w:num>
  <w:num w:numId="40" w16cid:durableId="759714619">
    <w:abstractNumId w:val="16"/>
  </w:num>
  <w:num w:numId="41" w16cid:durableId="1229001064">
    <w:abstractNumId w:val="24"/>
  </w:num>
  <w:num w:numId="42" w16cid:durableId="178384520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36014E"/>
    <w:rsid w:val="00001C9B"/>
    <w:rsid w:val="000040DC"/>
    <w:rsid w:val="00011784"/>
    <w:rsid w:val="00014537"/>
    <w:rsid w:val="000151EF"/>
    <w:rsid w:val="000239F5"/>
    <w:rsid w:val="000272D3"/>
    <w:rsid w:val="00083971"/>
    <w:rsid w:val="000843F7"/>
    <w:rsid w:val="0008612A"/>
    <w:rsid w:val="00090E18"/>
    <w:rsid w:val="000A10BC"/>
    <w:rsid w:val="000B0056"/>
    <w:rsid w:val="000B7D89"/>
    <w:rsid w:val="000C3C7B"/>
    <w:rsid w:val="000D0F93"/>
    <w:rsid w:val="000E790D"/>
    <w:rsid w:val="00106416"/>
    <w:rsid w:val="00110481"/>
    <w:rsid w:val="00110D5F"/>
    <w:rsid w:val="001127C9"/>
    <w:rsid w:val="00115B88"/>
    <w:rsid w:val="00125A6C"/>
    <w:rsid w:val="0013232B"/>
    <w:rsid w:val="00132F6A"/>
    <w:rsid w:val="00133913"/>
    <w:rsid w:val="00140221"/>
    <w:rsid w:val="001642FC"/>
    <w:rsid w:val="0016496B"/>
    <w:rsid w:val="00170464"/>
    <w:rsid w:val="001743E2"/>
    <w:rsid w:val="001745F8"/>
    <w:rsid w:val="001838CF"/>
    <w:rsid w:val="001868EE"/>
    <w:rsid w:val="001A22CA"/>
    <w:rsid w:val="001A3BA4"/>
    <w:rsid w:val="001A6D1F"/>
    <w:rsid w:val="001E30F6"/>
    <w:rsid w:val="001E3A3C"/>
    <w:rsid w:val="001E3F98"/>
    <w:rsid w:val="001E7EE8"/>
    <w:rsid w:val="00201E46"/>
    <w:rsid w:val="002105EA"/>
    <w:rsid w:val="00210EA9"/>
    <w:rsid w:val="00217EE5"/>
    <w:rsid w:val="002221C5"/>
    <w:rsid w:val="00235F5C"/>
    <w:rsid w:val="00257FA3"/>
    <w:rsid w:val="00275E24"/>
    <w:rsid w:val="00277B56"/>
    <w:rsid w:val="002A19F5"/>
    <w:rsid w:val="002B4922"/>
    <w:rsid w:val="002C22C3"/>
    <w:rsid w:val="002C2D19"/>
    <w:rsid w:val="002C6DBA"/>
    <w:rsid w:val="002D10FA"/>
    <w:rsid w:val="002D4C55"/>
    <w:rsid w:val="002E6DED"/>
    <w:rsid w:val="00300956"/>
    <w:rsid w:val="00317187"/>
    <w:rsid w:val="0032499A"/>
    <w:rsid w:val="003341F7"/>
    <w:rsid w:val="00342472"/>
    <w:rsid w:val="00347FEC"/>
    <w:rsid w:val="00351407"/>
    <w:rsid w:val="00356F45"/>
    <w:rsid w:val="0036014E"/>
    <w:rsid w:val="00366B74"/>
    <w:rsid w:val="003A4C05"/>
    <w:rsid w:val="003A710A"/>
    <w:rsid w:val="003B659E"/>
    <w:rsid w:val="003C275E"/>
    <w:rsid w:val="003C4FDE"/>
    <w:rsid w:val="003E58DF"/>
    <w:rsid w:val="003F1671"/>
    <w:rsid w:val="00404C4C"/>
    <w:rsid w:val="0041423F"/>
    <w:rsid w:val="00414F81"/>
    <w:rsid w:val="00436A0F"/>
    <w:rsid w:val="00437150"/>
    <w:rsid w:val="0043750A"/>
    <w:rsid w:val="004400D3"/>
    <w:rsid w:val="0044372B"/>
    <w:rsid w:val="00444854"/>
    <w:rsid w:val="004639D4"/>
    <w:rsid w:val="004732E9"/>
    <w:rsid w:val="004854BB"/>
    <w:rsid w:val="00494493"/>
    <w:rsid w:val="00496606"/>
    <w:rsid w:val="004D1024"/>
    <w:rsid w:val="004E1823"/>
    <w:rsid w:val="004E5E66"/>
    <w:rsid w:val="004E7ADB"/>
    <w:rsid w:val="0050046F"/>
    <w:rsid w:val="00503B4D"/>
    <w:rsid w:val="00504EE9"/>
    <w:rsid w:val="00521576"/>
    <w:rsid w:val="005250E6"/>
    <w:rsid w:val="00542D23"/>
    <w:rsid w:val="0054442C"/>
    <w:rsid w:val="00550285"/>
    <w:rsid w:val="00551EE8"/>
    <w:rsid w:val="00562492"/>
    <w:rsid w:val="005641C2"/>
    <w:rsid w:val="00572A20"/>
    <w:rsid w:val="005836F8"/>
    <w:rsid w:val="005918FA"/>
    <w:rsid w:val="00592A86"/>
    <w:rsid w:val="005932E6"/>
    <w:rsid w:val="005B2395"/>
    <w:rsid w:val="005B4801"/>
    <w:rsid w:val="005C23A4"/>
    <w:rsid w:val="005C4FC3"/>
    <w:rsid w:val="005D1CDF"/>
    <w:rsid w:val="005D2BB7"/>
    <w:rsid w:val="005D418E"/>
    <w:rsid w:val="005E61A8"/>
    <w:rsid w:val="005F2470"/>
    <w:rsid w:val="005F6419"/>
    <w:rsid w:val="0060543D"/>
    <w:rsid w:val="006104DD"/>
    <w:rsid w:val="006130B5"/>
    <w:rsid w:val="00617400"/>
    <w:rsid w:val="00632D29"/>
    <w:rsid w:val="00652212"/>
    <w:rsid w:val="00664950"/>
    <w:rsid w:val="0066625A"/>
    <w:rsid w:val="00666E6C"/>
    <w:rsid w:val="00683220"/>
    <w:rsid w:val="00687FA0"/>
    <w:rsid w:val="006923E8"/>
    <w:rsid w:val="006A3C11"/>
    <w:rsid w:val="006B7010"/>
    <w:rsid w:val="006C3095"/>
    <w:rsid w:val="006C6F59"/>
    <w:rsid w:val="006D4457"/>
    <w:rsid w:val="006E1151"/>
    <w:rsid w:val="006E6311"/>
    <w:rsid w:val="007145FF"/>
    <w:rsid w:val="00715598"/>
    <w:rsid w:val="00715B2A"/>
    <w:rsid w:val="00717615"/>
    <w:rsid w:val="007450F1"/>
    <w:rsid w:val="00751515"/>
    <w:rsid w:val="007626B7"/>
    <w:rsid w:val="0076375A"/>
    <w:rsid w:val="0078212B"/>
    <w:rsid w:val="0078303E"/>
    <w:rsid w:val="00784DF6"/>
    <w:rsid w:val="00785232"/>
    <w:rsid w:val="007B186C"/>
    <w:rsid w:val="007C1696"/>
    <w:rsid w:val="007C3ED0"/>
    <w:rsid w:val="007C5971"/>
    <w:rsid w:val="007F54B9"/>
    <w:rsid w:val="00806A76"/>
    <w:rsid w:val="00811C9D"/>
    <w:rsid w:val="00812861"/>
    <w:rsid w:val="00816C80"/>
    <w:rsid w:val="00841BCD"/>
    <w:rsid w:val="008456A3"/>
    <w:rsid w:val="00851A8E"/>
    <w:rsid w:val="0085365B"/>
    <w:rsid w:val="008826C1"/>
    <w:rsid w:val="00883DFD"/>
    <w:rsid w:val="008A1BF7"/>
    <w:rsid w:val="008A5B0E"/>
    <w:rsid w:val="008B0961"/>
    <w:rsid w:val="008B4D30"/>
    <w:rsid w:val="008C39F7"/>
    <w:rsid w:val="008C6838"/>
    <w:rsid w:val="0090091A"/>
    <w:rsid w:val="009042BD"/>
    <w:rsid w:val="00904FE4"/>
    <w:rsid w:val="00906CE3"/>
    <w:rsid w:val="009131E5"/>
    <w:rsid w:val="0092423D"/>
    <w:rsid w:val="00930B49"/>
    <w:rsid w:val="00936159"/>
    <w:rsid w:val="0094373D"/>
    <w:rsid w:val="009508D5"/>
    <w:rsid w:val="00977E1D"/>
    <w:rsid w:val="009B0573"/>
    <w:rsid w:val="009B7B4B"/>
    <w:rsid w:val="009B7C21"/>
    <w:rsid w:val="00A03076"/>
    <w:rsid w:val="00A04992"/>
    <w:rsid w:val="00A147AA"/>
    <w:rsid w:val="00A21D71"/>
    <w:rsid w:val="00A22B78"/>
    <w:rsid w:val="00A25AE5"/>
    <w:rsid w:val="00A37002"/>
    <w:rsid w:val="00A4355E"/>
    <w:rsid w:val="00A7391B"/>
    <w:rsid w:val="00A92BCD"/>
    <w:rsid w:val="00A94C99"/>
    <w:rsid w:val="00A958B4"/>
    <w:rsid w:val="00AA1B0E"/>
    <w:rsid w:val="00AA2EE2"/>
    <w:rsid w:val="00AA47B6"/>
    <w:rsid w:val="00AC163B"/>
    <w:rsid w:val="00AC5CA7"/>
    <w:rsid w:val="00AC6058"/>
    <w:rsid w:val="00AD36CE"/>
    <w:rsid w:val="00AE2BA5"/>
    <w:rsid w:val="00AE56B1"/>
    <w:rsid w:val="00AE6C84"/>
    <w:rsid w:val="00AE6D09"/>
    <w:rsid w:val="00AF7A7C"/>
    <w:rsid w:val="00B02070"/>
    <w:rsid w:val="00B040EE"/>
    <w:rsid w:val="00B22731"/>
    <w:rsid w:val="00B322B9"/>
    <w:rsid w:val="00B408B6"/>
    <w:rsid w:val="00B542DA"/>
    <w:rsid w:val="00B73862"/>
    <w:rsid w:val="00B73F43"/>
    <w:rsid w:val="00BA5BBE"/>
    <w:rsid w:val="00BA6B66"/>
    <w:rsid w:val="00BA6E48"/>
    <w:rsid w:val="00BA7A7F"/>
    <w:rsid w:val="00BB1347"/>
    <w:rsid w:val="00BD1219"/>
    <w:rsid w:val="00BE0AF6"/>
    <w:rsid w:val="00BE1F03"/>
    <w:rsid w:val="00BE58A7"/>
    <w:rsid w:val="00BF2218"/>
    <w:rsid w:val="00C0426B"/>
    <w:rsid w:val="00C045DF"/>
    <w:rsid w:val="00C26D43"/>
    <w:rsid w:val="00C271A8"/>
    <w:rsid w:val="00C314AD"/>
    <w:rsid w:val="00C36EE6"/>
    <w:rsid w:val="00C46548"/>
    <w:rsid w:val="00C57429"/>
    <w:rsid w:val="00C574D5"/>
    <w:rsid w:val="00C73F32"/>
    <w:rsid w:val="00C87462"/>
    <w:rsid w:val="00C8782D"/>
    <w:rsid w:val="00C92122"/>
    <w:rsid w:val="00CA180C"/>
    <w:rsid w:val="00CB22B2"/>
    <w:rsid w:val="00CC3EE2"/>
    <w:rsid w:val="00CD7492"/>
    <w:rsid w:val="00CE3A6B"/>
    <w:rsid w:val="00CF44F0"/>
    <w:rsid w:val="00D00211"/>
    <w:rsid w:val="00D03F82"/>
    <w:rsid w:val="00D06309"/>
    <w:rsid w:val="00D35095"/>
    <w:rsid w:val="00D351EA"/>
    <w:rsid w:val="00D40288"/>
    <w:rsid w:val="00D43403"/>
    <w:rsid w:val="00D5270B"/>
    <w:rsid w:val="00D62E71"/>
    <w:rsid w:val="00D6430D"/>
    <w:rsid w:val="00D66188"/>
    <w:rsid w:val="00D731F6"/>
    <w:rsid w:val="00D740CA"/>
    <w:rsid w:val="00D80BFF"/>
    <w:rsid w:val="00D85728"/>
    <w:rsid w:val="00D95481"/>
    <w:rsid w:val="00DC7A13"/>
    <w:rsid w:val="00DD3D69"/>
    <w:rsid w:val="00DE4FF7"/>
    <w:rsid w:val="00DF2997"/>
    <w:rsid w:val="00E10BC4"/>
    <w:rsid w:val="00E1415D"/>
    <w:rsid w:val="00E323E9"/>
    <w:rsid w:val="00E34018"/>
    <w:rsid w:val="00E437D2"/>
    <w:rsid w:val="00E55751"/>
    <w:rsid w:val="00E77BBD"/>
    <w:rsid w:val="00EA2311"/>
    <w:rsid w:val="00EB541D"/>
    <w:rsid w:val="00EC7BC3"/>
    <w:rsid w:val="00ED28A0"/>
    <w:rsid w:val="00ED7600"/>
    <w:rsid w:val="00EE5E3B"/>
    <w:rsid w:val="00EF10F8"/>
    <w:rsid w:val="00EF6073"/>
    <w:rsid w:val="00EF698B"/>
    <w:rsid w:val="00F1362C"/>
    <w:rsid w:val="00F400A2"/>
    <w:rsid w:val="00F414F1"/>
    <w:rsid w:val="00F508B8"/>
    <w:rsid w:val="00F567F6"/>
    <w:rsid w:val="00F72CB1"/>
    <w:rsid w:val="00F77829"/>
    <w:rsid w:val="00F8215E"/>
    <w:rsid w:val="00F824F5"/>
    <w:rsid w:val="00F82BFD"/>
    <w:rsid w:val="00F90FAB"/>
    <w:rsid w:val="00F9374D"/>
    <w:rsid w:val="00FA16CC"/>
    <w:rsid w:val="00FB33A3"/>
    <w:rsid w:val="00FC29B9"/>
    <w:rsid w:val="00FC6FD3"/>
    <w:rsid w:val="00FE305C"/>
    <w:rsid w:val="00FF0301"/>
    <w:rsid w:val="3C833734"/>
    <w:rsid w:val="5BBA8BA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01AD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41C2"/>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6923E8"/>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BD1219"/>
    <w:pPr>
      <w:spacing w:before="100" w:beforeAutospacing="1" w:after="100" w:afterAutospacing="1" w:line="240" w:lineRule="auto"/>
    </w:pPr>
    <w:rPr>
      <w:rFonts w:eastAsia="Times New Roman" w:cs="Times New Roman"/>
      <w:sz w:val="24"/>
      <w:szCs w:val="24"/>
    </w:rPr>
  </w:style>
  <w:style w:type="character" w:styleId="Mention">
    <w:name w:val="Mention"/>
    <w:basedOn w:val="DefaultParagraphFont"/>
    <w:uiPriority w:val="99"/>
    <w:unhideWhenUsed/>
    <w:rsid w:val="00FA16CC"/>
    <w:rPr>
      <w:color w:val="2B579A"/>
      <w:shd w:val="clear" w:color="auto" w:fill="E1DFDD"/>
    </w:rPr>
  </w:style>
  <w:style w:type="paragraph" w:styleId="Revision">
    <w:name w:val="Revision"/>
    <w:hidden/>
    <w:uiPriority w:val="99"/>
    <w:semiHidden/>
    <w:rsid w:val="000E790D"/>
    <w:pPr>
      <w:spacing w:after="0" w:line="240" w:lineRule="auto"/>
    </w:pPr>
    <w:rPr>
      <w:rFonts w:ascii="Times New Roman" w:hAnsi="Times New Roman"/>
      <w:sz w:val="20"/>
    </w:rPr>
  </w:style>
  <w:style w:type="paragraph" w:styleId="Header">
    <w:name w:val="header"/>
    <w:basedOn w:val="Normal"/>
    <w:link w:val="HeaderChar"/>
    <w:uiPriority w:val="99"/>
    <w:unhideWhenUsed/>
    <w:rsid w:val="001E3A3C"/>
    <w:pPr>
      <w:tabs>
        <w:tab w:val="center" w:pos="4819"/>
        <w:tab w:val="right" w:pos="9638"/>
      </w:tabs>
      <w:spacing w:after="0" w:line="240" w:lineRule="auto"/>
    </w:pPr>
  </w:style>
  <w:style w:type="character" w:customStyle="1" w:styleId="HeaderChar">
    <w:name w:val="Header Char"/>
    <w:basedOn w:val="DefaultParagraphFont"/>
    <w:link w:val="Header"/>
    <w:uiPriority w:val="99"/>
    <w:rsid w:val="001E3A3C"/>
    <w:rPr>
      <w:rFonts w:ascii="Times New Roman" w:hAnsi="Times New Roman"/>
      <w:sz w:val="20"/>
    </w:rPr>
  </w:style>
  <w:style w:type="paragraph" w:styleId="Footer">
    <w:name w:val="footer"/>
    <w:basedOn w:val="Normal"/>
    <w:link w:val="FooterChar"/>
    <w:uiPriority w:val="99"/>
    <w:unhideWhenUsed/>
    <w:rsid w:val="001E3A3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E3A3C"/>
    <w:rPr>
      <w:rFonts w:ascii="Times New Roman" w:hAnsi="Times New Roman"/>
      <w:sz w:val="20"/>
    </w:rPr>
  </w:style>
  <w:style w:type="paragraph" w:customStyle="1" w:styleId="CRCoverPage">
    <w:name w:val="CR Cover Page"/>
    <w:link w:val="CRCoverPageChar"/>
    <w:rsid w:val="00444854"/>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locked/>
    <w:rsid w:val="00444854"/>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740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1291</Words>
  <Characters>7359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2023-05-15T15:04:00Z</dcterms:created>
  <dcterms:modified xsi:type="dcterms:W3CDTF">2023-05-15T15:25:00Z</dcterms:modified>
</cp:coreProperties>
</file>