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F203B" w14:textId="17FB2D6A" w:rsidR="00F86086" w:rsidRDefault="00F86086" w:rsidP="00F86086">
      <w:pPr>
        <w:pStyle w:val="CRCoverPage"/>
        <w:tabs>
          <w:tab w:val="right" w:pos="9639"/>
        </w:tabs>
        <w:spacing w:after="0"/>
        <w:rPr>
          <w:b/>
          <w:i/>
          <w:noProof/>
          <w:sz w:val="28"/>
        </w:rPr>
      </w:pPr>
      <w:bookmarkStart w:id="0" w:name="_Hlk135063588"/>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sidRPr="00F86086">
        <w:rPr>
          <w:b/>
          <w:i/>
          <w:noProof/>
          <w:sz w:val="28"/>
        </w:rPr>
        <w:t>R4-2308349</w:t>
      </w:r>
    </w:p>
    <w:p w14:paraId="37C456F8" w14:textId="77777777" w:rsidR="00F86086" w:rsidRDefault="00F86086" w:rsidP="00F8608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bookmarkEnd w:id="0"/>
    <w:p w14:paraId="6D3EA67C" w14:textId="77777777" w:rsidR="00841BCD" w:rsidRPr="00F86086"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785E5E0"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06D07B8D" w14:textId="581435DF"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ED6B84">
        <w:rPr>
          <w:rFonts w:ascii="Arial" w:eastAsia="Calibri" w:hAnsi="Arial" w:cs="Arial"/>
          <w:b/>
          <w:bCs/>
          <w:sz w:val="24"/>
        </w:rPr>
        <w:t>Discussion on identification of aerial UEs</w:t>
      </w:r>
    </w:p>
    <w:p w14:paraId="0720740B" w14:textId="34524E6A" w:rsidR="00841BCD" w:rsidRPr="00843E94" w:rsidRDefault="00841BCD" w:rsidP="00841BCD">
      <w:pPr>
        <w:tabs>
          <w:tab w:val="left" w:pos="1985"/>
        </w:tabs>
        <w:spacing w:after="120" w:line="240" w:lineRule="auto"/>
        <w:rPr>
          <w:rFonts w:ascii="Arial" w:eastAsia="MS Mincho" w:hAnsi="Arial" w:cs="Arial"/>
          <w:b/>
          <w:bCs/>
          <w:sz w:val="24"/>
          <w:szCs w:val="20"/>
          <w:lang w:val="en-GB"/>
        </w:rPr>
      </w:pPr>
      <w:r w:rsidRPr="00843E94">
        <w:rPr>
          <w:rFonts w:ascii="Arial" w:eastAsia="MS Mincho" w:hAnsi="Arial" w:cs="Arial"/>
          <w:b/>
          <w:bCs/>
          <w:sz w:val="24"/>
          <w:szCs w:val="20"/>
          <w:lang w:val="en-GB"/>
        </w:rPr>
        <w:t>Agenda item:</w:t>
      </w:r>
      <w:r w:rsidRPr="00843E94">
        <w:rPr>
          <w:rFonts w:ascii="Arial" w:eastAsia="MS Mincho" w:hAnsi="Arial" w:cs="Arial"/>
          <w:b/>
          <w:bCs/>
          <w:sz w:val="24"/>
          <w:szCs w:val="20"/>
          <w:lang w:val="en-GB"/>
        </w:rPr>
        <w:tab/>
      </w:r>
      <w:r w:rsidR="004D511E" w:rsidRPr="00843E94">
        <w:rPr>
          <w:rFonts w:ascii="Arial" w:eastAsia="MS Mincho" w:hAnsi="Arial" w:cs="Arial"/>
          <w:b/>
          <w:bCs/>
          <w:sz w:val="24"/>
          <w:szCs w:val="20"/>
          <w:lang w:val="en-GB"/>
        </w:rPr>
        <w:t>8</w:t>
      </w:r>
      <w:r w:rsidR="00ED6B84" w:rsidRPr="00843E94">
        <w:rPr>
          <w:rFonts w:ascii="Arial" w:eastAsia="MS Mincho" w:hAnsi="Arial" w:cs="Arial"/>
          <w:b/>
          <w:bCs/>
          <w:sz w:val="24"/>
          <w:szCs w:val="20"/>
          <w:lang w:val="en-GB"/>
        </w:rPr>
        <w:t>.36.</w:t>
      </w:r>
      <w:r w:rsidR="004D511E" w:rsidRPr="00843E94">
        <w:rPr>
          <w:rFonts w:ascii="Arial" w:eastAsia="MS Mincho" w:hAnsi="Arial" w:cs="Arial"/>
          <w:b/>
          <w:bCs/>
          <w:sz w:val="24"/>
          <w:szCs w:val="20"/>
          <w:lang w:val="en-GB"/>
        </w:rPr>
        <w:t>2</w:t>
      </w:r>
    </w:p>
    <w:p w14:paraId="031076BB" w14:textId="029506D6"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29A7A845" w14:textId="77777777" w:rsidR="00E323E9" w:rsidRPr="008C39F7" w:rsidRDefault="00E323E9" w:rsidP="00841BCD">
      <w:pPr>
        <w:tabs>
          <w:tab w:val="left" w:pos="1985"/>
        </w:tabs>
        <w:rPr>
          <w:rFonts w:ascii="Arial" w:eastAsia="Calibri" w:hAnsi="Arial" w:cs="Arial"/>
          <w:b/>
          <w:bCs/>
          <w:sz w:val="24"/>
        </w:rPr>
      </w:pPr>
    </w:p>
    <w:p w14:paraId="1FEF2BB9" w14:textId="77777777" w:rsidR="00841BCD" w:rsidRPr="008C39F7" w:rsidRDefault="00841BCD" w:rsidP="00A37002">
      <w:pPr>
        <w:pStyle w:val="RAN4H1"/>
      </w:pPr>
      <w:bookmarkStart w:id="1" w:name="_Toc116995841"/>
      <w:r w:rsidRPr="008C39F7">
        <w:t>Intro</w:t>
      </w:r>
      <w:r w:rsidRPr="008C39F7">
        <w:rPr>
          <w:rStyle w:val="RAN4H1Char"/>
          <w:lang w:val="en-US"/>
        </w:rPr>
        <w:t>ductio</w:t>
      </w:r>
      <w:r w:rsidRPr="008C39F7">
        <w:t>n</w:t>
      </w:r>
      <w:bookmarkEnd w:id="1"/>
    </w:p>
    <w:p w14:paraId="38E673FE" w14:textId="77777777" w:rsidR="00ED6B84" w:rsidRPr="00C75CEB" w:rsidRDefault="00ED6B84" w:rsidP="00ED6B84">
      <w:r w:rsidRPr="00C75CEB">
        <w:t xml:space="preserve">The </w:t>
      </w:r>
      <w:r>
        <w:t>UAV</w:t>
      </w:r>
      <w:r w:rsidRPr="00C75CEB">
        <w:t xml:space="preserve"> WI</w:t>
      </w:r>
      <w:r>
        <w:t>,</w:t>
      </w:r>
      <w:r w:rsidRPr="00C75CEB">
        <w:t xml:space="preserve"> </w:t>
      </w:r>
      <w:r>
        <w:t>as</w:t>
      </w:r>
      <w:r w:rsidRPr="00C75CEB">
        <w:t xml:space="preserve"> presented in [1], </w:t>
      </w:r>
      <w:r>
        <w:t>includes the following o</w:t>
      </w:r>
      <w:r w:rsidRPr="00C75CEB">
        <w:t xml:space="preserve">bjectives </w:t>
      </w:r>
      <w:r>
        <w:t>with RAN4 impact highlighted</w:t>
      </w:r>
      <w:r w:rsidRPr="00C75CEB">
        <w:t>:</w:t>
      </w:r>
    </w:p>
    <w:tbl>
      <w:tblPr>
        <w:tblStyle w:val="TableGrid"/>
        <w:tblW w:w="0" w:type="auto"/>
        <w:tblLook w:val="04A0" w:firstRow="1" w:lastRow="0" w:firstColumn="1" w:lastColumn="0" w:noHBand="0" w:noVBand="1"/>
      </w:tblPr>
      <w:tblGrid>
        <w:gridCol w:w="9617"/>
      </w:tblGrid>
      <w:tr w:rsidR="00ED6B84" w:rsidRPr="00FF6B64" w14:paraId="2CEDEB15" w14:textId="77777777" w:rsidTr="004E6003">
        <w:tc>
          <w:tcPr>
            <w:tcW w:w="9617" w:type="dxa"/>
          </w:tcPr>
          <w:p w14:paraId="7BFCA738" w14:textId="77777777" w:rsidR="00ED6B84" w:rsidRPr="00134B7D" w:rsidRDefault="00ED6B84" w:rsidP="004E6003">
            <w:pPr>
              <w:rPr>
                <w:bCs/>
              </w:rPr>
            </w:pPr>
          </w:p>
          <w:p w14:paraId="26A80848" w14:textId="77777777" w:rsidR="00ED6B84" w:rsidRPr="00782F71" w:rsidRDefault="00ED6B84" w:rsidP="004E6003">
            <w:pPr>
              <w:rPr>
                <w:rStyle w:val="Emphasis"/>
                <w:i w:val="0"/>
              </w:rPr>
            </w:pPr>
            <w:r w:rsidRPr="00782F71">
              <w:rPr>
                <w:rStyle w:val="Emphasis"/>
                <w:i w:val="0"/>
              </w:rPr>
              <w:t>1. Specify the following enhancements on measurement reports [RAN2]:</w:t>
            </w:r>
          </w:p>
          <w:p w14:paraId="17526C3A" w14:textId="77777777" w:rsidR="00ED6B84" w:rsidRPr="00782F71" w:rsidRDefault="00ED6B84" w:rsidP="00ED6B84">
            <w:pPr>
              <w:numPr>
                <w:ilvl w:val="0"/>
                <w:numId w:val="36"/>
              </w:numPr>
              <w:overflowPunct w:val="0"/>
              <w:autoSpaceDE w:val="0"/>
              <w:autoSpaceDN w:val="0"/>
              <w:adjustRightInd w:val="0"/>
              <w:spacing w:after="180"/>
              <w:textAlignment w:val="baseline"/>
              <w:rPr>
                <w:rStyle w:val="Emphasis"/>
                <w:i w:val="0"/>
              </w:rPr>
            </w:pPr>
            <w:r w:rsidRPr="00782F71">
              <w:rPr>
                <w:rStyle w:val="Emphasis"/>
                <w:i w:val="0"/>
              </w:rPr>
              <w:t>UE-triggered measurement report based on configured height thresholds</w:t>
            </w:r>
          </w:p>
          <w:p w14:paraId="500EBE24" w14:textId="77777777" w:rsidR="00ED6B84" w:rsidRPr="00782F71" w:rsidRDefault="00ED6B84" w:rsidP="00ED6B84">
            <w:pPr>
              <w:numPr>
                <w:ilvl w:val="0"/>
                <w:numId w:val="36"/>
              </w:numPr>
              <w:overflowPunct w:val="0"/>
              <w:autoSpaceDE w:val="0"/>
              <w:autoSpaceDN w:val="0"/>
              <w:adjustRightInd w:val="0"/>
              <w:spacing w:after="180"/>
              <w:textAlignment w:val="baseline"/>
              <w:rPr>
                <w:rStyle w:val="Emphasis"/>
                <w:i w:val="0"/>
              </w:rPr>
            </w:pPr>
            <w:r w:rsidRPr="00782F71">
              <w:rPr>
                <w:rStyle w:val="Emphasis"/>
                <w:i w:val="0"/>
              </w:rPr>
              <w:t xml:space="preserve">Reporting of height, </w:t>
            </w:r>
            <w:proofErr w:type="gramStart"/>
            <w:r w:rsidRPr="00782F71">
              <w:rPr>
                <w:rStyle w:val="Emphasis"/>
                <w:i w:val="0"/>
              </w:rPr>
              <w:t>location</w:t>
            </w:r>
            <w:proofErr w:type="gramEnd"/>
            <w:r w:rsidRPr="00782F71">
              <w:rPr>
                <w:rStyle w:val="Emphasis"/>
                <w:i w:val="0"/>
              </w:rPr>
              <w:t xml:space="preserve"> and speed in measurement report</w:t>
            </w:r>
          </w:p>
          <w:p w14:paraId="60A15972" w14:textId="77777777" w:rsidR="00ED6B84" w:rsidRPr="00782F71" w:rsidRDefault="00ED6B84" w:rsidP="00ED6B84">
            <w:pPr>
              <w:numPr>
                <w:ilvl w:val="0"/>
                <w:numId w:val="36"/>
              </w:numPr>
              <w:overflowPunct w:val="0"/>
              <w:autoSpaceDE w:val="0"/>
              <w:autoSpaceDN w:val="0"/>
              <w:adjustRightInd w:val="0"/>
              <w:spacing w:after="180"/>
              <w:textAlignment w:val="baseline"/>
              <w:rPr>
                <w:rStyle w:val="Emphasis"/>
                <w:i w:val="0"/>
              </w:rPr>
            </w:pPr>
            <w:r w:rsidRPr="00782F71">
              <w:rPr>
                <w:rStyle w:val="Emphasis"/>
                <w:i w:val="0"/>
              </w:rPr>
              <w:t>Flight path reporting</w:t>
            </w:r>
          </w:p>
          <w:p w14:paraId="28F1599C" w14:textId="77777777" w:rsidR="00ED6B84" w:rsidRPr="00782F71" w:rsidRDefault="00ED6B84" w:rsidP="00ED6B84">
            <w:pPr>
              <w:numPr>
                <w:ilvl w:val="0"/>
                <w:numId w:val="36"/>
              </w:numPr>
              <w:overflowPunct w:val="0"/>
              <w:autoSpaceDE w:val="0"/>
              <w:autoSpaceDN w:val="0"/>
              <w:adjustRightInd w:val="0"/>
              <w:spacing w:after="180"/>
              <w:textAlignment w:val="baseline"/>
              <w:rPr>
                <w:rStyle w:val="Emphasis"/>
                <w:i w:val="0"/>
              </w:rPr>
            </w:pPr>
            <w:r w:rsidRPr="00782F71">
              <w:rPr>
                <w:rStyle w:val="Emphasis"/>
                <w:i w:val="0"/>
              </w:rPr>
              <w:t>Measurement reporting based on a configured number of cells (</w:t>
            </w:r>
            <w:proofErr w:type="gramStart"/>
            <w:r w:rsidRPr="00782F71">
              <w:rPr>
                <w:rStyle w:val="Emphasis"/>
                <w:i w:val="0"/>
              </w:rPr>
              <w:t>i.e.</w:t>
            </w:r>
            <w:proofErr w:type="gramEnd"/>
            <w:r w:rsidRPr="00782F71">
              <w:rPr>
                <w:rStyle w:val="Emphasis"/>
                <w:i w:val="0"/>
              </w:rPr>
              <w:t xml:space="preserve"> larger than one) fulfilling the triggering criteria simultaneously</w:t>
            </w:r>
          </w:p>
          <w:p w14:paraId="4E077E6D" w14:textId="77777777" w:rsidR="00ED6B84" w:rsidRPr="00782F71" w:rsidRDefault="00ED6B84" w:rsidP="004E6003">
            <w:pPr>
              <w:rPr>
                <w:iCs/>
              </w:rPr>
            </w:pPr>
            <w:r w:rsidRPr="00782F71">
              <w:rPr>
                <w:iCs/>
              </w:rPr>
              <w:t>Note: Work done in LTE is a starting point for this objective. NR-specific enhancements can be considered, if needed, while overall the LTE and NR solutions should be harmonized as much as possible.</w:t>
            </w:r>
          </w:p>
          <w:p w14:paraId="108A03C0" w14:textId="77777777" w:rsidR="00ED6B84" w:rsidRPr="00782F71" w:rsidRDefault="00ED6B84" w:rsidP="004E6003">
            <w:pPr>
              <w:rPr>
                <w:rStyle w:val="Emphasis"/>
                <w:i w:val="0"/>
              </w:rPr>
            </w:pPr>
          </w:p>
          <w:p w14:paraId="19BEA2A9" w14:textId="77777777" w:rsidR="00ED6B84" w:rsidRPr="00782F71" w:rsidRDefault="00ED6B84" w:rsidP="004E6003">
            <w:pPr>
              <w:rPr>
                <w:rStyle w:val="Emphasis"/>
                <w:i w:val="0"/>
              </w:rPr>
            </w:pPr>
            <w:r w:rsidRPr="00782F71">
              <w:rPr>
                <w:rStyle w:val="Emphasis"/>
                <w:i w:val="0"/>
              </w:rPr>
              <w:t xml:space="preserve">2. </w:t>
            </w:r>
            <w:bookmarkStart w:id="2" w:name="_Hlk130294153"/>
            <w:r w:rsidRPr="00782F71">
              <w:rPr>
                <w:rStyle w:val="Emphasis"/>
                <w:i w:val="0"/>
              </w:rPr>
              <w:t>Specify the signaling to support subscription-based aerial-UE identification [RAN3/SA2 interaction/RAN2]</w:t>
            </w:r>
            <w:bookmarkEnd w:id="2"/>
          </w:p>
          <w:p w14:paraId="4172F2EE" w14:textId="77777777" w:rsidR="00ED6B84" w:rsidRPr="00782F71" w:rsidRDefault="00ED6B84" w:rsidP="004E6003">
            <w:pPr>
              <w:rPr>
                <w:iCs/>
              </w:rPr>
            </w:pPr>
            <w:r w:rsidRPr="00782F71">
              <w:rPr>
                <w:iCs/>
              </w:rPr>
              <w:t>Note: Work done in LTE is a starting point for this objective. NR-specific enhancements can be considered, if needed, while overall the LTE and NR solutions should be harmonized as much as possible.</w:t>
            </w:r>
          </w:p>
          <w:p w14:paraId="71DE5D83" w14:textId="77777777" w:rsidR="00ED6B84" w:rsidRPr="00782F71" w:rsidRDefault="00ED6B84" w:rsidP="004E6003">
            <w:pPr>
              <w:rPr>
                <w:rStyle w:val="Emphasis"/>
                <w:i w:val="0"/>
              </w:rPr>
            </w:pPr>
          </w:p>
          <w:p w14:paraId="7AB66E9C" w14:textId="77777777" w:rsidR="00ED6B84" w:rsidRPr="00560246" w:rsidRDefault="00ED6B84" w:rsidP="004E6003">
            <w:pPr>
              <w:rPr>
                <w:sz w:val="24"/>
                <w:szCs w:val="24"/>
                <w:lang w:eastAsia="fi-FI"/>
              </w:rPr>
            </w:pPr>
            <w:r w:rsidRPr="00782F71">
              <w:rPr>
                <w:rStyle w:val="Emphasis"/>
                <w:i w:val="0"/>
              </w:rPr>
              <w:t xml:space="preserve">3. </w:t>
            </w:r>
            <w:bookmarkStart w:id="3" w:name="_Hlk129273301"/>
            <w:r w:rsidRPr="00782F71">
              <w:rPr>
                <w:rStyle w:val="Emphasis"/>
                <w:i w:val="0"/>
              </w:rPr>
              <w:t>Specify</w:t>
            </w:r>
            <w:r w:rsidRPr="00560246">
              <w:rPr>
                <w:lang w:eastAsia="fi-FI"/>
              </w:rPr>
              <w:t xml:space="preserve"> </w:t>
            </w:r>
            <w:r>
              <w:rPr>
                <w:lang w:eastAsia="fi-FI"/>
              </w:rPr>
              <w:t>the</w:t>
            </w:r>
            <w:r w:rsidRPr="00560246">
              <w:rPr>
                <w:lang w:eastAsia="fi-FI"/>
              </w:rPr>
              <w:t xml:space="preserve"> support</w:t>
            </w:r>
            <w:r>
              <w:rPr>
                <w:lang w:eastAsia="fi-FI"/>
              </w:rPr>
              <w:t xml:space="preserve"> for</w:t>
            </w:r>
            <w:r w:rsidRPr="00560246">
              <w:rPr>
                <w:lang w:eastAsia="fi-FI"/>
              </w:rPr>
              <w:t xml:space="preserve"> UAV identification broadcast</w:t>
            </w:r>
            <w:r>
              <w:rPr>
                <w:lang w:eastAsia="fi-FI"/>
              </w:rPr>
              <w:t xml:space="preserve"> (BRID) in NR PC5. Support of DAA using the same framework as BRID without DAA specific enhancements can be considered</w:t>
            </w:r>
            <w:r w:rsidRPr="00560246">
              <w:rPr>
                <w:lang w:eastAsia="fi-FI"/>
              </w:rPr>
              <w:t xml:space="preserve"> [RAN2]. </w:t>
            </w:r>
            <w:proofErr w:type="gramStart"/>
            <w:r w:rsidRPr="00560246">
              <w:rPr>
                <w:lang w:eastAsia="fi-FI"/>
              </w:rPr>
              <w:t>Note:.</w:t>
            </w:r>
            <w:proofErr w:type="gramEnd"/>
            <w:r>
              <w:rPr>
                <w:lang w:eastAsia="fi-FI"/>
              </w:rPr>
              <w:t xml:space="preserve"> UAV use of NR PC5 is to be used only in </w:t>
            </w:r>
            <w:bookmarkStart w:id="4" w:name="_Hlk130294308"/>
            <w:r>
              <w:rPr>
                <w:lang w:eastAsia="fi-FI"/>
              </w:rPr>
              <w:t>designated bands as defined in regulation</w:t>
            </w:r>
            <w:bookmarkEnd w:id="4"/>
            <w:r>
              <w:rPr>
                <w:lang w:eastAsia="fi-FI"/>
              </w:rPr>
              <w:t xml:space="preserve"> for BRID/DAA use.</w:t>
            </w:r>
            <w:bookmarkEnd w:id="3"/>
            <w:r>
              <w:rPr>
                <w:lang w:eastAsia="fi-FI"/>
              </w:rPr>
              <w:t xml:space="preserve"> </w:t>
            </w:r>
          </w:p>
          <w:p w14:paraId="43BE58F9" w14:textId="77777777" w:rsidR="00ED6B84" w:rsidRPr="00782F71" w:rsidRDefault="00ED6B84" w:rsidP="004E6003">
            <w:pPr>
              <w:rPr>
                <w:rStyle w:val="Emphasis"/>
                <w:i w:val="0"/>
              </w:rPr>
            </w:pPr>
          </w:p>
          <w:p w14:paraId="78681D7F" w14:textId="77777777" w:rsidR="00ED6B84" w:rsidRPr="00782F71" w:rsidRDefault="00ED6B84" w:rsidP="004E6003">
            <w:pPr>
              <w:rPr>
                <w:iCs/>
              </w:rPr>
            </w:pPr>
            <w:r w:rsidRPr="00782F71">
              <w:rPr>
                <w:iCs/>
              </w:rPr>
              <w:t>4. Study UE capability signaling to indicate UAV beamforming capabilities and, if necessary, RRC signaling [RAN1, RAN2]:</w:t>
            </w:r>
            <w:r w:rsidRPr="00782F71" w:rsidDel="00D41AD8">
              <w:rPr>
                <w:iCs/>
              </w:rPr>
              <w:t xml:space="preserve"> </w:t>
            </w:r>
          </w:p>
          <w:p w14:paraId="4D40978F" w14:textId="77777777" w:rsidR="00ED6B84" w:rsidRPr="00782F71" w:rsidRDefault="00ED6B84" w:rsidP="004E6003">
            <w:pPr>
              <w:rPr>
                <w:rStyle w:val="Emphasis"/>
                <w:i w:val="0"/>
              </w:rPr>
            </w:pPr>
          </w:p>
          <w:p w14:paraId="42031DB1" w14:textId="77777777" w:rsidR="00ED6B84" w:rsidRPr="00782F71" w:rsidRDefault="00ED6B84" w:rsidP="00ED6B84">
            <w:pPr>
              <w:numPr>
                <w:ilvl w:val="0"/>
                <w:numId w:val="37"/>
              </w:numPr>
              <w:overflowPunct w:val="0"/>
              <w:autoSpaceDE w:val="0"/>
              <w:autoSpaceDN w:val="0"/>
              <w:adjustRightInd w:val="0"/>
              <w:spacing w:after="180"/>
              <w:textAlignment w:val="baseline"/>
              <w:rPr>
                <w:rStyle w:val="Emphasis"/>
                <w:i w:val="0"/>
              </w:rPr>
            </w:pPr>
            <w:r w:rsidRPr="00782F71">
              <w:rPr>
                <w:rStyle w:val="Emphasis"/>
                <w:i w:val="0"/>
              </w:rPr>
              <w:t>FR1 with directional antenna at UE side</w:t>
            </w:r>
          </w:p>
          <w:p w14:paraId="0C96F9DA" w14:textId="77777777" w:rsidR="00ED6B84" w:rsidRDefault="00ED6B84" w:rsidP="004E6003">
            <w:pPr>
              <w:rPr>
                <w:rStyle w:val="Emphasis"/>
                <w:i w:val="0"/>
              </w:rPr>
            </w:pPr>
            <w:r w:rsidRPr="00FD4857">
              <w:rPr>
                <w:rStyle w:val="Emphasis"/>
                <w:i w:val="0"/>
                <w:highlight w:val="yellow"/>
              </w:rPr>
              <w:t xml:space="preserve">5. Based on the technical conditions defined for aerial UE usage in ECC Decision (22)07, study and specify the necessary UE types and additional OOBE requirements for aerial UEs in 1710-1785 MHz, 2500-2570 </w:t>
            </w:r>
            <w:proofErr w:type="gramStart"/>
            <w:r w:rsidRPr="00FD4857">
              <w:rPr>
                <w:rStyle w:val="Emphasis"/>
                <w:i w:val="0"/>
                <w:highlight w:val="yellow"/>
              </w:rPr>
              <w:t>MHz</w:t>
            </w:r>
            <w:proofErr w:type="gramEnd"/>
            <w:r w:rsidRPr="00FD4857">
              <w:rPr>
                <w:rStyle w:val="Emphasis"/>
                <w:i w:val="0"/>
                <w:highlight w:val="yellow"/>
              </w:rPr>
              <w:t xml:space="preserve"> and 2570-2620 MHz. [RAN4].</w:t>
            </w:r>
          </w:p>
          <w:p w14:paraId="16FBDEEA" w14:textId="77777777" w:rsidR="00ED6B84" w:rsidRDefault="00ED6B84" w:rsidP="004E6003">
            <w:pPr>
              <w:rPr>
                <w:rStyle w:val="Emphasis"/>
                <w:i w:val="0"/>
              </w:rPr>
            </w:pPr>
          </w:p>
          <w:p w14:paraId="57A36BC2" w14:textId="77777777" w:rsidR="00ED6B84" w:rsidRDefault="00ED6B84" w:rsidP="004E6003">
            <w:pPr>
              <w:rPr>
                <w:rStyle w:val="Emphasis"/>
                <w:i w:val="0"/>
              </w:rPr>
            </w:pPr>
            <w:r>
              <w:rPr>
                <w:rStyle w:val="Emphasis"/>
                <w:i w:val="0"/>
              </w:rPr>
              <w:t xml:space="preserve">Note: </w:t>
            </w:r>
            <w:r w:rsidRPr="006A4934">
              <w:rPr>
                <w:rStyle w:val="Emphasis"/>
                <w:i w:val="0"/>
              </w:rPr>
              <w:t>In other frequency bands, OOBE limits applicable to terrestrial UE remain unchanged for aerial UE</w:t>
            </w:r>
          </w:p>
          <w:p w14:paraId="3369C685" w14:textId="77777777" w:rsidR="00ED6B84" w:rsidRDefault="00ED6B84" w:rsidP="004E6003">
            <w:pPr>
              <w:rPr>
                <w:rStyle w:val="Emphasis"/>
                <w:i w:val="0"/>
              </w:rPr>
            </w:pPr>
            <w:r w:rsidRPr="00FD4857">
              <w:rPr>
                <w:rStyle w:val="Emphasis"/>
                <w:i w:val="0"/>
                <w:highlight w:val="yellow"/>
              </w:rPr>
              <w:t>Note2: Applicability of power classes for aerial UE may need to be addressed in RAN4</w:t>
            </w:r>
          </w:p>
          <w:p w14:paraId="7BF1BC5F" w14:textId="77777777" w:rsidR="00ED6B84" w:rsidRPr="00965551" w:rsidRDefault="00ED6B84" w:rsidP="004E6003">
            <w:pPr>
              <w:pStyle w:val="NormalWeb"/>
              <w:shd w:val="clear" w:color="auto" w:fill="FFFFFF"/>
              <w:spacing w:before="0" w:beforeAutospacing="0" w:after="0" w:afterAutospacing="0"/>
              <w:rPr>
                <w:sz w:val="20"/>
                <w:szCs w:val="20"/>
              </w:rPr>
            </w:pPr>
            <w:bookmarkStart w:id="5" w:name="_Hlk130393847"/>
            <w:r>
              <w:rPr>
                <w:rStyle w:val="Emphasis"/>
                <w:i w:val="0"/>
                <w:sz w:val="20"/>
                <w:szCs w:val="20"/>
              </w:rPr>
              <w:t>N</w:t>
            </w:r>
            <w:r w:rsidRPr="00965551">
              <w:rPr>
                <w:rStyle w:val="Emphasis"/>
                <w:i w:val="0"/>
                <w:sz w:val="20"/>
                <w:szCs w:val="20"/>
              </w:rPr>
              <w:t xml:space="preserve">ote3: </w:t>
            </w:r>
            <w:r w:rsidRPr="00965551">
              <w:rPr>
                <w:sz w:val="20"/>
                <w:szCs w:val="20"/>
              </w:rPr>
              <w:t>RAN4 to identify the supported bands for aerial UE impacted by above information</w:t>
            </w:r>
            <w:bookmarkEnd w:id="5"/>
            <w:r w:rsidRPr="00965551">
              <w:rPr>
                <w:sz w:val="20"/>
                <w:szCs w:val="20"/>
              </w:rPr>
              <w:t>.</w:t>
            </w:r>
          </w:p>
          <w:p w14:paraId="03D48379" w14:textId="77777777" w:rsidR="00ED6B84" w:rsidRDefault="00ED6B84" w:rsidP="004E6003">
            <w:pPr>
              <w:rPr>
                <w:i/>
                <w:iCs/>
              </w:rPr>
            </w:pPr>
          </w:p>
          <w:p w14:paraId="0AC46F49" w14:textId="77777777" w:rsidR="00ED6B84" w:rsidRPr="00F43845" w:rsidRDefault="00ED6B84" w:rsidP="004E6003">
            <w:pPr>
              <w:rPr>
                <w:i/>
                <w:iCs/>
              </w:rPr>
            </w:pPr>
          </w:p>
        </w:tc>
      </w:tr>
    </w:tbl>
    <w:p w14:paraId="3E605ADF" w14:textId="77777777" w:rsidR="00ED6B84" w:rsidRDefault="00ED6B84" w:rsidP="00ED6B84">
      <w:pPr>
        <w:rPr>
          <w:highlight w:val="yellow"/>
        </w:rPr>
      </w:pPr>
    </w:p>
    <w:p w14:paraId="118AF97A" w14:textId="77777777" w:rsidR="00ED6B84" w:rsidRPr="00C75CEB" w:rsidRDefault="00ED6B84" w:rsidP="00ED6B84">
      <w:r w:rsidRPr="00C75CEB">
        <w:t xml:space="preserve">In this contribution we present further considerations for </w:t>
      </w:r>
      <w:r>
        <w:t xml:space="preserve">support of UAVs by the RAN4 specification. </w:t>
      </w:r>
    </w:p>
    <w:p w14:paraId="29773969" w14:textId="77777777" w:rsidR="0060543D" w:rsidRPr="008C39F7" w:rsidRDefault="0060543D" w:rsidP="005C23A4"/>
    <w:p w14:paraId="5DE24A88" w14:textId="77777777" w:rsidR="0060543D" w:rsidRPr="008C39F7" w:rsidRDefault="0060543D" w:rsidP="005C23A4"/>
    <w:p w14:paraId="4D5237FF" w14:textId="1699A60F" w:rsidR="003B659E" w:rsidRDefault="003B659E" w:rsidP="00AE56B1">
      <w:pPr>
        <w:pStyle w:val="RAN4H1"/>
      </w:pPr>
      <w:bookmarkStart w:id="6" w:name="_Toc116995842"/>
      <w:r w:rsidRPr="008C39F7">
        <w:lastRenderedPageBreak/>
        <w:t>Discussion</w:t>
      </w:r>
      <w:bookmarkEnd w:id="6"/>
    </w:p>
    <w:p w14:paraId="315F42E4" w14:textId="641CD6A6" w:rsidR="00ED6B84" w:rsidRDefault="00ED6B84" w:rsidP="00ED6B84">
      <w:r>
        <w:t>During RAN99, an objective with RAN4 impact was added to the UAV WID [1]. RAN4 is requested to specify necessary UE types for additional OOBE requirements for a</w:t>
      </w:r>
      <w:r w:rsidR="00001486">
        <w:t>e</w:t>
      </w:r>
      <w:r>
        <w:t>r</w:t>
      </w:r>
      <w:r w:rsidR="00001486">
        <w:t>i</w:t>
      </w:r>
      <w:r>
        <w:t xml:space="preserve">al UE operating the frequency ranges; </w:t>
      </w:r>
      <w:r w:rsidRPr="00015233">
        <w:t xml:space="preserve">1710-1785 MHz, 2500-2570 </w:t>
      </w:r>
      <w:proofErr w:type="gramStart"/>
      <w:r w:rsidRPr="00015233">
        <w:t>MHz</w:t>
      </w:r>
      <w:proofErr w:type="gramEnd"/>
      <w:r w:rsidRPr="00015233">
        <w:t xml:space="preserve"> and 2570-2620 MHz</w:t>
      </w:r>
      <w:r>
        <w:t xml:space="preserve"> according to </w:t>
      </w:r>
      <w:r w:rsidRPr="00C9528B">
        <w:t>ECC Decision (22)07</w:t>
      </w:r>
      <w:r>
        <w:t>.</w:t>
      </w:r>
    </w:p>
    <w:p w14:paraId="2E95E3FE" w14:textId="77777777" w:rsidR="00ED6B84" w:rsidRDefault="00ED6B84" w:rsidP="00ED6B84">
      <w:r>
        <w:t>The LS sent by ECC includes 4 requests to ETSI</w:t>
      </w:r>
      <w:r>
        <w:fldChar w:fldCharType="begin"/>
      </w:r>
      <w:r>
        <w:instrText xml:space="preserve"> REF _Ref131587119 \r \h </w:instrText>
      </w:r>
      <w:r>
        <w:fldChar w:fldCharType="separate"/>
      </w:r>
      <w:r>
        <w:t>[2]</w:t>
      </w:r>
      <w:r>
        <w:fldChar w:fldCharType="end"/>
      </w:r>
      <w:r>
        <w:t>:</w:t>
      </w:r>
    </w:p>
    <w:tbl>
      <w:tblPr>
        <w:tblStyle w:val="TableGrid"/>
        <w:tblW w:w="0" w:type="auto"/>
        <w:tblLook w:val="04A0" w:firstRow="1" w:lastRow="0" w:firstColumn="1" w:lastColumn="0" w:noHBand="0" w:noVBand="1"/>
      </w:tblPr>
      <w:tblGrid>
        <w:gridCol w:w="9617"/>
      </w:tblGrid>
      <w:tr w:rsidR="00ED6B84" w14:paraId="03135999" w14:textId="77777777" w:rsidTr="004E6003">
        <w:tc>
          <w:tcPr>
            <w:tcW w:w="9617" w:type="dxa"/>
          </w:tcPr>
          <w:p w14:paraId="475865D5" w14:textId="77777777" w:rsidR="00ED6B84" w:rsidRDefault="00ED6B84" w:rsidP="004E6003">
            <w:r w:rsidRPr="009D4DFE">
              <w:t>Based on the ECC Decision (22)07, ECC invites ETSI to include the following requirements in future ETSI harmonised standard on aerial UE to ensure a coherence with this ECC framework:</w:t>
            </w:r>
          </w:p>
          <w:p w14:paraId="25477F10" w14:textId="77777777" w:rsidR="00ED6B84" w:rsidRPr="009D4DFE" w:rsidRDefault="00ED6B84" w:rsidP="004E6003"/>
          <w:p w14:paraId="42E244C1" w14:textId="77777777" w:rsidR="00ED6B84" w:rsidRDefault="00ED6B84" w:rsidP="00ED6B84">
            <w:pPr>
              <w:pStyle w:val="ListParagraph"/>
              <w:numPr>
                <w:ilvl w:val="0"/>
                <w:numId w:val="38"/>
              </w:numPr>
              <w:spacing w:after="160" w:line="259" w:lineRule="auto"/>
            </w:pPr>
            <w:r w:rsidRPr="009D4DFE">
              <w:t xml:space="preserve">Additional OOBE requirements applicable to aerial UEs in the following frequency bands 1710-1785 MHz, 2500-2570 MHz, 2570-2620 MHz, as defined by ECC Decision 22(07). In other frequency bands, OOBE limits applicable to terrestrial UE remain unchanged for aerial UE. </w:t>
            </w:r>
          </w:p>
          <w:p w14:paraId="7D7485F0" w14:textId="77777777" w:rsidR="00ED6B84" w:rsidRDefault="00ED6B84" w:rsidP="00ED6B84">
            <w:pPr>
              <w:pStyle w:val="ListParagraph"/>
              <w:numPr>
                <w:ilvl w:val="0"/>
                <w:numId w:val="38"/>
              </w:numPr>
              <w:spacing w:after="160" w:line="259" w:lineRule="auto"/>
            </w:pPr>
            <w:r w:rsidRPr="009D4DFE">
              <w:t xml:space="preserve"> a mechanism/feature coherent with the above aerial UE definition </w:t>
            </w:r>
            <w:proofErr w:type="gramStart"/>
            <w:r w:rsidRPr="009D4DFE">
              <w:t>in order to</w:t>
            </w:r>
            <w:proofErr w:type="gramEnd"/>
            <w:r w:rsidRPr="009D4DFE">
              <w:t xml:space="preserve"> differentiate aerial UE, as defined by ECC Decision 22(07) from terrestrial UE operating under LTE/NR 5G networks </w:t>
            </w:r>
          </w:p>
          <w:p w14:paraId="7A43429E" w14:textId="77777777" w:rsidR="00ED6B84" w:rsidRDefault="00ED6B84" w:rsidP="00ED6B84">
            <w:pPr>
              <w:pStyle w:val="ListParagraph"/>
              <w:numPr>
                <w:ilvl w:val="0"/>
                <w:numId w:val="38"/>
              </w:numPr>
              <w:spacing w:after="160" w:line="259" w:lineRule="auto"/>
            </w:pPr>
            <w:r w:rsidRPr="009D4DFE">
              <w:t xml:space="preserve">differentiation of aerial UE from other terrestrial UE shall not be changed by the end-user </w:t>
            </w:r>
          </w:p>
          <w:p w14:paraId="015FA01D" w14:textId="77777777" w:rsidR="00ED6B84" w:rsidRPr="009D4DFE" w:rsidRDefault="00ED6B84" w:rsidP="00ED6B84">
            <w:pPr>
              <w:pStyle w:val="ListParagraph"/>
              <w:numPr>
                <w:ilvl w:val="0"/>
                <w:numId w:val="38"/>
              </w:numPr>
              <w:spacing w:after="160" w:line="259" w:lineRule="auto"/>
            </w:pPr>
            <w:r w:rsidRPr="009D4DFE">
              <w:t>d) the aerial UE shall not be capable to connect to LTE/NR 5G networks without aerial subscription</w:t>
            </w:r>
          </w:p>
          <w:p w14:paraId="4C8E1DA0" w14:textId="77777777" w:rsidR="00ED6B84" w:rsidRDefault="00ED6B84" w:rsidP="004E6003"/>
        </w:tc>
      </w:tr>
    </w:tbl>
    <w:p w14:paraId="1860F2B0" w14:textId="77777777" w:rsidR="00ED6B84" w:rsidRDefault="00ED6B84" w:rsidP="00ED6B84"/>
    <w:p w14:paraId="1F844BDE" w14:textId="77777777" w:rsidR="00ED6B84" w:rsidRPr="00ED6B84" w:rsidRDefault="00ED6B84" w:rsidP="00ED6B84"/>
    <w:p w14:paraId="318B6809" w14:textId="4D0CE441" w:rsidR="00ED6B84" w:rsidRDefault="00ED6B84" w:rsidP="00ED6B84">
      <w:pPr>
        <w:pStyle w:val="RAN4H2"/>
      </w:pPr>
      <w:r>
        <w:t>Defining aerial UE</w:t>
      </w:r>
    </w:p>
    <w:p w14:paraId="04D2E71D" w14:textId="09E76C54" w:rsidR="00ED6B84" w:rsidRDefault="00ED6B84" w:rsidP="00ED6B84">
      <w:r>
        <w:t>The objective added to the WID for addressing the LS from ECC clearly states that it is necessary “study and specify the necessary UE types and additional OOBE requirements for aerial UEs…”</w:t>
      </w:r>
    </w:p>
    <w:p w14:paraId="0E3387B8" w14:textId="51F33991" w:rsidR="00ED6B84" w:rsidRDefault="00ED6B84" w:rsidP="00ED6B84">
      <w:pPr>
        <w:pStyle w:val="RAN4observation0"/>
      </w:pPr>
      <w:bookmarkStart w:id="7" w:name="_Toc135058787"/>
      <w:r>
        <w:t>It is part of the WID to specify the necessary UE types that are further restricted in emission by the ECC decision.</w:t>
      </w:r>
      <w:bookmarkEnd w:id="7"/>
      <w:r>
        <w:t xml:space="preserve"> </w:t>
      </w:r>
    </w:p>
    <w:p w14:paraId="7AF450C8" w14:textId="7B964F8A" w:rsidR="00ED6B84" w:rsidRPr="00ED6B84" w:rsidRDefault="00ED6B84" w:rsidP="00ED6B84">
      <w:r>
        <w:t>The LS sent by ECC present</w:t>
      </w:r>
      <w:r w:rsidR="00E10532">
        <w:t>s</w:t>
      </w:r>
      <w:r>
        <w:t xml:space="preserve"> a list of requests to 3GPP, </w:t>
      </w:r>
      <w:r w:rsidR="004360B6">
        <w:t>as previously mentioned in the discussion. The requests identified by b) and c) concern the discussion of the aerial UE types and the applicability of the respective further restrictions on emissions:</w:t>
      </w:r>
      <w:r>
        <w:t xml:space="preserve">  </w:t>
      </w:r>
    </w:p>
    <w:p w14:paraId="7767F914" w14:textId="77777777" w:rsidR="00ED6B84" w:rsidRPr="004360B6" w:rsidRDefault="00ED6B84" w:rsidP="00ED6B84">
      <w:pPr>
        <w:pStyle w:val="ListParagraph"/>
        <w:numPr>
          <w:ilvl w:val="0"/>
          <w:numId w:val="40"/>
        </w:numPr>
        <w:rPr>
          <w:i/>
          <w:iCs/>
        </w:rPr>
      </w:pPr>
      <w:r w:rsidRPr="004360B6">
        <w:rPr>
          <w:i/>
          <w:iCs/>
        </w:rPr>
        <w:t xml:space="preserve">a mechanism/feature coherent with the above aerial UE definition </w:t>
      </w:r>
      <w:proofErr w:type="gramStart"/>
      <w:r w:rsidRPr="004360B6">
        <w:rPr>
          <w:i/>
          <w:iCs/>
        </w:rPr>
        <w:t>in order to</w:t>
      </w:r>
      <w:proofErr w:type="gramEnd"/>
      <w:r w:rsidRPr="004360B6">
        <w:rPr>
          <w:i/>
          <w:iCs/>
        </w:rPr>
        <w:t xml:space="preserve"> differentiate aerial UE, as defined by ECC Decision 22(07) from terrestrial UE operating under LTE/NR 5G networks </w:t>
      </w:r>
    </w:p>
    <w:p w14:paraId="6ACB5C00" w14:textId="415F2C7C" w:rsidR="00ED6B84" w:rsidRDefault="00ED6B84" w:rsidP="00ED6B84">
      <w:pPr>
        <w:pStyle w:val="ListParagraph"/>
        <w:numPr>
          <w:ilvl w:val="0"/>
          <w:numId w:val="40"/>
        </w:numPr>
        <w:rPr>
          <w:i/>
          <w:iCs/>
        </w:rPr>
      </w:pPr>
      <w:r w:rsidRPr="004360B6">
        <w:rPr>
          <w:i/>
          <w:iCs/>
        </w:rPr>
        <w:t xml:space="preserve">differentiation of aerial UE from other terrestrial UE shall not be changed by the end-user </w:t>
      </w:r>
    </w:p>
    <w:p w14:paraId="7B3A6ABC" w14:textId="77777777" w:rsidR="004360B6" w:rsidRPr="004360B6" w:rsidRDefault="004360B6" w:rsidP="004360B6">
      <w:pPr>
        <w:pStyle w:val="ListParagraph"/>
        <w:rPr>
          <w:i/>
          <w:iCs/>
        </w:rPr>
      </w:pPr>
    </w:p>
    <w:p w14:paraId="35C511F4" w14:textId="0E4F9ECE" w:rsidR="004360B6" w:rsidRDefault="004360B6" w:rsidP="00ED6B84">
      <w:r>
        <w:t>In this document we will first address the request in b). ECC has requested that 3GPP introduces:</w:t>
      </w:r>
    </w:p>
    <w:p w14:paraId="1F8BFAB6" w14:textId="48BAC2D2" w:rsidR="004360B6" w:rsidRPr="004360B6" w:rsidRDefault="004360B6" w:rsidP="004360B6">
      <w:pPr>
        <w:pStyle w:val="ListParagraph"/>
        <w:numPr>
          <w:ilvl w:val="0"/>
          <w:numId w:val="42"/>
        </w:numPr>
        <w:rPr>
          <w:b/>
          <w:bCs/>
          <w:u w:val="single"/>
        </w:rPr>
      </w:pPr>
      <w:r>
        <w:t xml:space="preserve">A mechanism coherent with </w:t>
      </w:r>
      <w:r w:rsidRPr="004360B6">
        <w:rPr>
          <w:b/>
          <w:bCs/>
          <w:u w:val="single"/>
        </w:rPr>
        <w:t xml:space="preserve">the above aerial UE definition. </w:t>
      </w:r>
    </w:p>
    <w:p w14:paraId="3FD0E06F" w14:textId="4DF8F8A9" w:rsidR="004360B6" w:rsidRDefault="004360B6" w:rsidP="004360B6">
      <w:pPr>
        <w:pStyle w:val="ListParagraph"/>
        <w:numPr>
          <w:ilvl w:val="0"/>
          <w:numId w:val="42"/>
        </w:numPr>
      </w:pPr>
      <w:r>
        <w:t xml:space="preserve">That differentiate an aerial UE type from the terrestrial UEs. </w:t>
      </w:r>
    </w:p>
    <w:p w14:paraId="16956B9B" w14:textId="48DA67E8" w:rsidR="00ED6B84" w:rsidRDefault="004360B6" w:rsidP="00ED6B84">
      <w:r>
        <w:t xml:space="preserve">The mention to the “above aerial UE definition” corresponds to the description provided by ECC in their LS </w:t>
      </w:r>
      <w:r w:rsidR="00ED6B84">
        <w:t>[2]</w:t>
      </w:r>
      <w:r>
        <w:t xml:space="preserve"> (</w:t>
      </w:r>
      <w:proofErr w:type="gramStart"/>
      <w:r>
        <w:t>highlights</w:t>
      </w:r>
      <w:proofErr w:type="gramEnd"/>
      <w:r>
        <w:t xml:space="preserve"> are our own)</w:t>
      </w:r>
      <w:r w:rsidR="00ED6B84" w:rsidRPr="002B73E7">
        <w:t xml:space="preserve">: </w:t>
      </w:r>
    </w:p>
    <w:p w14:paraId="7D4DD9AB" w14:textId="77777777" w:rsidR="00ED6B84" w:rsidRPr="00F52245" w:rsidRDefault="00ED6B84" w:rsidP="00ED6B84">
      <w:pPr>
        <w:rPr>
          <w:i/>
          <w:iCs/>
        </w:rPr>
      </w:pPr>
      <w:r w:rsidRPr="00F52245">
        <w:rPr>
          <w:i/>
          <w:iCs/>
        </w:rPr>
        <w:t xml:space="preserve">“According to this ECC Decision, an aerial UE refers to a </w:t>
      </w:r>
      <w:r w:rsidRPr="004360B6">
        <w:rPr>
          <w:i/>
          <w:iCs/>
          <w:highlight w:val="yellow"/>
        </w:rPr>
        <w:t>UE supporting UAS features and services</w:t>
      </w:r>
      <w:r w:rsidRPr="00F52245">
        <w:rPr>
          <w:i/>
          <w:iCs/>
        </w:rPr>
        <w:t xml:space="preserve"> and </w:t>
      </w:r>
      <w:r w:rsidRPr="004360B6">
        <w:rPr>
          <w:i/>
          <w:iCs/>
          <w:highlight w:val="yellow"/>
        </w:rPr>
        <w:t>requiring an aerial subscription.</w:t>
      </w:r>
      <w:r w:rsidRPr="00F52245">
        <w:rPr>
          <w:i/>
          <w:iCs/>
        </w:rPr>
        <w:t xml:space="preserve"> An aerial UE is installed either on-board an Unmanned Aircraft (</w:t>
      </w:r>
      <w:proofErr w:type="gramStart"/>
      <w:r w:rsidRPr="00F52245">
        <w:rPr>
          <w:i/>
          <w:iCs/>
        </w:rPr>
        <w:t>e.g.</w:t>
      </w:r>
      <w:proofErr w:type="gramEnd"/>
      <w:r w:rsidRPr="00F52245">
        <w:rPr>
          <w:i/>
          <w:iCs/>
        </w:rPr>
        <w:t xml:space="preserve"> drones) or on-board manned aircraft (e.g. helicopter). </w:t>
      </w:r>
      <w:r w:rsidRPr="004360B6">
        <w:rPr>
          <w:i/>
          <w:iCs/>
          <w:highlight w:val="yellow"/>
        </w:rPr>
        <w:t>It identifies itself to the mobile network as being in this class.”</w:t>
      </w:r>
    </w:p>
    <w:p w14:paraId="2EA47673" w14:textId="470B073B" w:rsidR="00ED6B84" w:rsidRDefault="00ED6B84" w:rsidP="00ED6B84">
      <w:r>
        <w:t>Therefore, ECC operational conditions states that a</w:t>
      </w:r>
      <w:r w:rsidR="00F626BB">
        <w:t>n</w:t>
      </w:r>
      <w:r>
        <w:t xml:space="preserve"> aerial UE refers to a UE that:</w:t>
      </w:r>
    </w:p>
    <w:p w14:paraId="7660E108" w14:textId="77777777" w:rsidR="00ED6B84" w:rsidRDefault="00ED6B84" w:rsidP="00ED6B84">
      <w:pPr>
        <w:pStyle w:val="ListParagraph"/>
        <w:numPr>
          <w:ilvl w:val="0"/>
          <w:numId w:val="39"/>
        </w:numPr>
      </w:pPr>
      <w:r>
        <w:t>UE supports UAS features</w:t>
      </w:r>
    </w:p>
    <w:p w14:paraId="7DA5E624" w14:textId="67E643E5" w:rsidR="00ED6B84" w:rsidRDefault="00ED6B84" w:rsidP="00ED6B84">
      <w:pPr>
        <w:pStyle w:val="ListParagraph"/>
        <w:numPr>
          <w:ilvl w:val="0"/>
          <w:numId w:val="39"/>
        </w:numPr>
      </w:pPr>
      <w:r>
        <w:t>Requires an aerial subscription</w:t>
      </w:r>
      <w:r w:rsidR="000926A0">
        <w:t xml:space="preserve"> type</w:t>
      </w:r>
    </w:p>
    <w:p w14:paraId="4AA59913" w14:textId="3EB44189" w:rsidR="004360B6" w:rsidRDefault="004360B6" w:rsidP="00ED6B84">
      <w:pPr>
        <w:pStyle w:val="ListParagraph"/>
        <w:numPr>
          <w:ilvl w:val="0"/>
          <w:numId w:val="39"/>
        </w:numPr>
      </w:pPr>
      <w:r>
        <w:t>It identifies itself to the network as being in this class</w:t>
      </w:r>
    </w:p>
    <w:p w14:paraId="2442E8E2" w14:textId="77777777" w:rsidR="004360B6" w:rsidRDefault="004360B6" w:rsidP="004360B6">
      <w:pPr>
        <w:pStyle w:val="ListParagraph"/>
      </w:pPr>
    </w:p>
    <w:p w14:paraId="2498D7C7" w14:textId="0C62D828" w:rsidR="006C2AEF" w:rsidRDefault="004360B6" w:rsidP="00ED6B84">
      <w:r>
        <w:lastRenderedPageBreak/>
        <w:t>In RAN4 #106-bis</w:t>
      </w:r>
      <w:r w:rsidR="006C2AEF">
        <w:t>, companies have reached an agreement to address the aerial requirements by adding additional requirements under clauses marked by an identifier suffix (</w:t>
      </w:r>
      <w:proofErr w:type="gramStart"/>
      <w:r w:rsidR="006C2AEF">
        <w:t>e.g.</w:t>
      </w:r>
      <w:proofErr w:type="gramEnd"/>
      <w:r w:rsidR="006C2AEF">
        <w:t xml:space="preserve"> “J”) for aerial UEs </w:t>
      </w:r>
      <w:r w:rsidR="006C2AEF">
        <w:fldChar w:fldCharType="begin"/>
      </w:r>
      <w:r w:rsidR="006C2AEF">
        <w:instrText xml:space="preserve"> REF _Ref134524212 \r \h </w:instrText>
      </w:r>
      <w:r w:rsidR="006C2AEF">
        <w:fldChar w:fldCharType="separate"/>
      </w:r>
      <w:r w:rsidR="006C2AEF">
        <w:t>[6]</w:t>
      </w:r>
      <w:r w:rsidR="006C2AEF">
        <w:fldChar w:fldCharType="end"/>
      </w:r>
      <w:r w:rsidR="006C2AEF">
        <w:t xml:space="preserve">: </w:t>
      </w:r>
    </w:p>
    <w:tbl>
      <w:tblPr>
        <w:tblStyle w:val="TableGrid"/>
        <w:tblW w:w="0" w:type="auto"/>
        <w:tblLook w:val="04A0" w:firstRow="1" w:lastRow="0" w:firstColumn="1" w:lastColumn="0" w:noHBand="0" w:noVBand="1"/>
      </w:tblPr>
      <w:tblGrid>
        <w:gridCol w:w="9617"/>
      </w:tblGrid>
      <w:tr w:rsidR="006C2AEF" w14:paraId="06DCB90C" w14:textId="77777777" w:rsidTr="006C2AEF">
        <w:tc>
          <w:tcPr>
            <w:tcW w:w="9617" w:type="dxa"/>
          </w:tcPr>
          <w:p w14:paraId="35B1E4C6" w14:textId="77777777" w:rsidR="006C2AEF" w:rsidRDefault="006C2AEF" w:rsidP="006C2AEF">
            <w:pPr>
              <w:rPr>
                <w:lang w:eastAsia="zh-CN"/>
              </w:rPr>
            </w:pPr>
            <w:r>
              <w:rPr>
                <w:b/>
                <w:lang w:eastAsia="zh-CN"/>
              </w:rPr>
              <w:t>&lt;Agreement &gt;</w:t>
            </w:r>
            <w:r>
              <w:rPr>
                <w:lang w:eastAsia="zh-CN"/>
              </w:rPr>
              <w:t xml:space="preserve">:  </w:t>
            </w:r>
          </w:p>
          <w:p w14:paraId="55FDDB8E" w14:textId="54EA85A3" w:rsidR="006C2AEF" w:rsidRDefault="006C2AEF" w:rsidP="006C2AEF">
            <w:pPr>
              <w:pStyle w:val="ListParagraph"/>
              <w:numPr>
                <w:ilvl w:val="0"/>
                <w:numId w:val="44"/>
              </w:numPr>
              <w:overflowPunct w:val="0"/>
              <w:autoSpaceDE w:val="0"/>
              <w:autoSpaceDN w:val="0"/>
              <w:adjustRightInd w:val="0"/>
              <w:spacing w:after="180"/>
              <w:contextualSpacing w:val="0"/>
              <w:textAlignment w:val="baseline"/>
              <w:rPr>
                <w:lang w:eastAsia="zh-CN"/>
              </w:rPr>
            </w:pPr>
            <w:r>
              <w:rPr>
                <w:lang w:eastAsia="zh-CN"/>
              </w:rPr>
              <w:t>Adding related requirements under a suffix (</w:t>
            </w:r>
            <w:proofErr w:type="gramStart"/>
            <w:r>
              <w:rPr>
                <w:lang w:eastAsia="zh-CN"/>
              </w:rPr>
              <w:t>e.g.</w:t>
            </w:r>
            <w:proofErr w:type="gramEnd"/>
            <w:r>
              <w:rPr>
                <w:lang w:eastAsia="zh-CN"/>
              </w:rPr>
              <w:t xml:space="preserve"> J), similar to what have been done for NR-U and V2X, can be done for both NR and LTE, i.e. in both TS 38.101-1 ad TS 36.101</w:t>
            </w:r>
          </w:p>
        </w:tc>
      </w:tr>
    </w:tbl>
    <w:p w14:paraId="58312C78" w14:textId="470B30E6" w:rsidR="004360B6" w:rsidRDefault="004360B6" w:rsidP="00ED6B84">
      <w:r>
        <w:t xml:space="preserve"> </w:t>
      </w:r>
    </w:p>
    <w:p w14:paraId="135FD481" w14:textId="16BA4D1A" w:rsidR="006C2AEF" w:rsidRDefault="006C2AEF" w:rsidP="00ED6B84">
      <w:r>
        <w:t xml:space="preserve">However,  it is important that the applicability rule for the clauses marked by the new suffix is clear and reaches the ECC intent to separate terrestrial and aerial UEs. </w:t>
      </w:r>
    </w:p>
    <w:p w14:paraId="37CBD12C" w14:textId="3E29B47E" w:rsidR="006C2AEF" w:rsidRDefault="006C2AEF" w:rsidP="006C2AEF">
      <w:pPr>
        <w:pStyle w:val="RAN4observation0"/>
      </w:pPr>
      <w:bookmarkStart w:id="8" w:name="_Toc135058788"/>
      <w:r>
        <w:t xml:space="preserve">RAN4 </w:t>
      </w:r>
      <w:proofErr w:type="gramStart"/>
      <w:r>
        <w:t>has to</w:t>
      </w:r>
      <w:proofErr w:type="gramEnd"/>
      <w:r>
        <w:t xml:space="preserve"> clearly indicate to what kinds of UEs the aerial requirements must apply.</w:t>
      </w:r>
      <w:bookmarkEnd w:id="8"/>
      <w:r>
        <w:t xml:space="preserve"> </w:t>
      </w:r>
    </w:p>
    <w:p w14:paraId="307CF659" w14:textId="77777777" w:rsidR="0092425B" w:rsidRDefault="006C2AEF" w:rsidP="006C2AEF">
      <w:r>
        <w:t xml:space="preserve">RAN4 has discussed different options to identify the aerial UE, but </w:t>
      </w:r>
      <w:r w:rsidR="008D5C52">
        <w:t>from 3GPP and specially from RAN point of view, the definition of an aerial UE still needs further clarification.</w:t>
      </w:r>
    </w:p>
    <w:p w14:paraId="60FE0C5B" w14:textId="44163623" w:rsidR="006C2AEF" w:rsidRDefault="0092425B" w:rsidP="0092425B">
      <w:pPr>
        <w:pStyle w:val="ListParagraph"/>
        <w:numPr>
          <w:ilvl w:val="0"/>
          <w:numId w:val="45"/>
        </w:numPr>
      </w:pPr>
      <w:r>
        <w:t xml:space="preserve">From SA point of view: </w:t>
      </w:r>
      <w:r w:rsidR="008D5C52">
        <w:t>In TS 24.501, SA has indicated that a UE that supports UAS (uncrewed aerial services) is defined as “</w:t>
      </w:r>
      <w:r w:rsidR="008D5C52" w:rsidRPr="0092425B">
        <w:rPr>
          <w:bCs/>
          <w:i/>
          <w:iCs/>
        </w:rPr>
        <w:t xml:space="preserve">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 </w:t>
      </w:r>
      <w:r w:rsidR="008D5C52" w:rsidRPr="0092425B">
        <w:rPr>
          <w:bCs/>
        </w:rPr>
        <w:t>Another condition for this UE to access UAS services, is that</w:t>
      </w:r>
      <w:r w:rsidRPr="0092425B">
        <w:rPr>
          <w:bCs/>
        </w:rPr>
        <w:t xml:space="preserve"> before initiating UAS access, the UE is assigned a CAA(civial </w:t>
      </w:r>
      <w:r w:rsidR="00A82090">
        <w:rPr>
          <w:bCs/>
        </w:rPr>
        <w:t>a</w:t>
      </w:r>
      <w:r w:rsidRPr="0092425B">
        <w:rPr>
          <w:bCs/>
        </w:rPr>
        <w:t xml:space="preserve">viation authority)-level ID. </w:t>
      </w:r>
      <w:r w:rsidR="008D5C52" w:rsidRPr="0092425B">
        <w:rPr>
          <w:bCs/>
        </w:rPr>
        <w:t xml:space="preserve"> </w:t>
      </w:r>
      <w:r w:rsidR="008D5C52" w:rsidRPr="0092425B">
        <w:t xml:space="preserve"> </w:t>
      </w:r>
    </w:p>
    <w:p w14:paraId="305844FB" w14:textId="77777777" w:rsidR="00875472" w:rsidRDefault="00875472" w:rsidP="00875472">
      <w:pPr>
        <w:pStyle w:val="ListParagraph"/>
        <w:ind w:left="765"/>
      </w:pPr>
    </w:p>
    <w:p w14:paraId="63BF375D" w14:textId="38D0D77E" w:rsidR="0092425B" w:rsidRDefault="0092425B" w:rsidP="0092425B">
      <w:pPr>
        <w:pStyle w:val="ListParagraph"/>
        <w:numPr>
          <w:ilvl w:val="0"/>
          <w:numId w:val="45"/>
        </w:numPr>
      </w:pPr>
      <w:r>
        <w:t xml:space="preserve">From RAN point of view, in TS 36.306 </w:t>
      </w:r>
      <w:r>
        <w:fldChar w:fldCharType="begin"/>
      </w:r>
      <w:r>
        <w:instrText xml:space="preserve"> REF _Ref134525461 \r \h </w:instrText>
      </w:r>
      <w:r>
        <w:fldChar w:fldCharType="separate"/>
      </w:r>
      <w:r>
        <w:t>[5]</w:t>
      </w:r>
      <w:r>
        <w:fldChar w:fldCharType="end"/>
      </w:r>
      <w:r>
        <w:t xml:space="preserve"> (LTE specifications, which are the baseline for the Rel-18 NR specifications which are not ready for UAVs yet), a UE that has aerial subscription must support two UE c</w:t>
      </w:r>
      <w:r w:rsidR="00BB1F07">
        <w:t>a</w:t>
      </w:r>
      <w:r>
        <w:t>pabilities (clauses 4.3.6.34 and 4.3.6.35</w:t>
      </w:r>
      <w:r w:rsidR="007A4689">
        <w:t xml:space="preserve"> in TS 36.306 </w:t>
      </w:r>
      <w:r w:rsidR="007A4689">
        <w:fldChar w:fldCharType="begin"/>
      </w:r>
      <w:r w:rsidR="007A4689">
        <w:instrText xml:space="preserve"> REF _Ref134525461 \r \h </w:instrText>
      </w:r>
      <w:r w:rsidR="007A4689">
        <w:fldChar w:fldCharType="separate"/>
      </w:r>
      <w:r w:rsidR="007A4689">
        <w:t>[5]</w:t>
      </w:r>
      <w:r w:rsidR="007A4689">
        <w:fldChar w:fldCharType="end"/>
      </w:r>
      <w:r>
        <w:t xml:space="preserve">). </w:t>
      </w:r>
    </w:p>
    <w:p w14:paraId="11B408DE" w14:textId="77777777" w:rsidR="00875472" w:rsidRDefault="00875472" w:rsidP="00875472">
      <w:pPr>
        <w:pStyle w:val="ListParagraph"/>
      </w:pPr>
    </w:p>
    <w:p w14:paraId="6839EFDE" w14:textId="77777777" w:rsidR="00875472" w:rsidRDefault="00875472" w:rsidP="00875472">
      <w:pPr>
        <w:pStyle w:val="ListParagraph"/>
        <w:ind w:left="765"/>
      </w:pPr>
    </w:p>
    <w:p w14:paraId="55017D30" w14:textId="7F003B45" w:rsidR="00875472" w:rsidRDefault="00875472" w:rsidP="0092425B">
      <w:r>
        <w:t xml:space="preserve">From the NW point of view, the aerial UE type is identified therefore after the authentication and authorization procedure is performed, and NW has validated the UE capabilities; this addresses the ECC concern. On the other hand, the UE knows its own capabilities, and depends on the validation of the authentication and authorization towards the </w:t>
      </w:r>
      <w:r w:rsidR="002D175F">
        <w:t>network</w:t>
      </w:r>
      <w:r>
        <w:t xml:space="preserve"> to confirm whether the subscription is from aerial type. </w:t>
      </w:r>
      <w:r w:rsidR="002D175F">
        <w:t>It is worth noting</w:t>
      </w:r>
      <w:r w:rsidR="00AF1D25">
        <w:t xml:space="preserve"> that this UE may still utilize other services before performing this procedure</w:t>
      </w:r>
      <w:r w:rsidR="002D175F">
        <w:t>.</w:t>
      </w:r>
    </w:p>
    <w:p w14:paraId="6C4591CF" w14:textId="6E631755" w:rsidR="00611035" w:rsidRPr="00611035" w:rsidRDefault="00611035" w:rsidP="00611035">
      <w:pPr>
        <w:pStyle w:val="RAN4proposal"/>
      </w:pPr>
      <w:bookmarkStart w:id="9" w:name="_Toc135058789"/>
      <w:r>
        <w:t>Define an aerial UE as a UE support</w:t>
      </w:r>
      <w:r w:rsidR="003B1BB7">
        <w:t>ing</w:t>
      </w:r>
      <w:r>
        <w:t xml:space="preserve"> aerial capabilities </w:t>
      </w:r>
      <w:r w:rsidRPr="00611035">
        <w:rPr>
          <w:u w:val="single"/>
        </w:rPr>
        <w:t>AND</w:t>
      </w:r>
      <w:r>
        <w:t xml:space="preserve"> that has performed authentication and authorization of the aerial subscription as described in TS 25.401.</w:t>
      </w:r>
      <w:bookmarkEnd w:id="9"/>
    </w:p>
    <w:p w14:paraId="7E6B21E1" w14:textId="596D848E" w:rsidR="0012224A" w:rsidRDefault="0012224A" w:rsidP="0012224A">
      <w:pPr>
        <w:pStyle w:val="RAN4H2"/>
      </w:pPr>
      <w:r>
        <w:t>Defining regional requirements for aerial UEs</w:t>
      </w:r>
    </w:p>
    <w:p w14:paraId="750FE904" w14:textId="77777777" w:rsidR="0012224A" w:rsidRDefault="0012224A" w:rsidP="00E24AF9">
      <w:pPr>
        <w:pStyle w:val="RAN4observation0"/>
        <w:numPr>
          <w:ilvl w:val="0"/>
          <w:numId w:val="0"/>
        </w:numPr>
      </w:pPr>
    </w:p>
    <w:p w14:paraId="7802F313" w14:textId="41638183" w:rsidR="00611035" w:rsidRDefault="0012224A" w:rsidP="007E0273">
      <w:r>
        <w:t xml:space="preserve">Another discussion </w:t>
      </w:r>
      <w:r w:rsidR="00611035">
        <w:t xml:space="preserve">taking place on RAN4 #106-bis was how to make the requirements apply only in the regions affected by the ECC decision. Among the options agreed in the previous meeting was the adoption of NS </w:t>
      </w:r>
      <w:r w:rsidR="00701BAB">
        <w:t>signalin</w:t>
      </w:r>
      <w:r w:rsidR="00551BD3">
        <w:t xml:space="preserve">g. This is the preferred option, as it makes easier for gNBs within the authority region of ECC to broadcast the signal and it is future proof for additional requirements that might come for UAVs from other regions, as they are also likely to impact other ground systems by their flying nature. </w:t>
      </w:r>
    </w:p>
    <w:p w14:paraId="10D8A3B7" w14:textId="781D0EE3" w:rsidR="00551BD3" w:rsidRDefault="00551BD3" w:rsidP="00551BD3">
      <w:r>
        <w:t xml:space="preserve">The NS framework must be such that: </w:t>
      </w:r>
    </w:p>
    <w:p w14:paraId="0DD11A12" w14:textId="4C5301AA" w:rsidR="00551BD3" w:rsidRDefault="00551BD3" w:rsidP="00551BD3">
      <w:pPr>
        <w:pStyle w:val="ListParagraph"/>
        <w:numPr>
          <w:ilvl w:val="0"/>
          <w:numId w:val="46"/>
        </w:numPr>
      </w:pPr>
      <w:r>
        <w:t>It is only applied for aerial UEs</w:t>
      </w:r>
      <w:r w:rsidR="004F7629">
        <w:t xml:space="preserve"> and do</w:t>
      </w:r>
      <w:r w:rsidR="00C738E7">
        <w:t>es</w:t>
      </w:r>
      <w:r w:rsidR="004F7629">
        <w:t xml:space="preserve"> not impact any other types of UEs</w:t>
      </w:r>
      <w:r w:rsidR="00C02BCD">
        <w:t xml:space="preserve">; even though the UL configuration for any given band is conveyed in SIB and can be read by all UEs. </w:t>
      </w:r>
      <w:r w:rsidR="004F7629">
        <w:t xml:space="preserve"> </w:t>
      </w:r>
    </w:p>
    <w:p w14:paraId="1CE0B060" w14:textId="0AB786BE" w:rsidR="004F7629" w:rsidRDefault="004F7629" w:rsidP="00551BD3">
      <w:pPr>
        <w:pStyle w:val="ListParagraph"/>
        <w:numPr>
          <w:ilvl w:val="0"/>
          <w:numId w:val="46"/>
        </w:numPr>
      </w:pPr>
      <w:r>
        <w:t xml:space="preserve">It is in harmony with other NS signaling already in use for the same bands. </w:t>
      </w:r>
    </w:p>
    <w:p w14:paraId="4D3E6797" w14:textId="54479ED5" w:rsidR="004F7629" w:rsidRDefault="004F7629" w:rsidP="004F7629">
      <w:r>
        <w:t xml:space="preserve">The second point is very important, as there already other NS </w:t>
      </w:r>
      <w:r w:rsidR="00A276A6">
        <w:t xml:space="preserve">values </w:t>
      </w:r>
      <w:r>
        <w:t xml:space="preserve">defined for the same bands. Creating a new mapping table to apply only to aerial UEs would create replicas of the existing signalling in two parts of the specification, which would make the maintenance much more difficult. </w:t>
      </w:r>
      <w:r w:rsidR="003B5D7E">
        <w:t xml:space="preserve">In our draftCR </w:t>
      </w:r>
      <w:r w:rsidR="009F4ED2" w:rsidRPr="00913337">
        <w:t>R4-2308350</w:t>
      </w:r>
      <w:r w:rsidR="003B5D7E">
        <w:t xml:space="preserve">, we propose a WF to fulfill both premises above. </w:t>
      </w:r>
    </w:p>
    <w:p w14:paraId="4EAED2A0" w14:textId="2EF8D84B" w:rsidR="004F7629" w:rsidRDefault="004F7629" w:rsidP="004F7629">
      <w:pPr>
        <w:pStyle w:val="RAN4proposal"/>
      </w:pPr>
      <w:bookmarkStart w:id="10" w:name="_Toc135058790"/>
      <w:r>
        <w:t xml:space="preserve">Use NS signalling to </w:t>
      </w:r>
      <w:r w:rsidR="003B5D7E">
        <w:t>support the restrictions on UAV transmissions according to the ECC decision.</w:t>
      </w:r>
      <w:bookmarkEnd w:id="10"/>
      <w:r w:rsidR="003B5D7E">
        <w:t xml:space="preserve"> </w:t>
      </w:r>
    </w:p>
    <w:p w14:paraId="5D80A6B2" w14:textId="0FB3C938" w:rsidR="003B5D7E" w:rsidRDefault="003B5D7E" w:rsidP="003B5D7E">
      <w:pPr>
        <w:pStyle w:val="RAN4proposal"/>
      </w:pPr>
      <w:bookmarkStart w:id="11" w:name="_Toc135058791"/>
      <w:r>
        <w:lastRenderedPageBreak/>
        <w:t xml:space="preserve">Endorse the DraftCR </w:t>
      </w:r>
      <w:r w:rsidR="00913337" w:rsidRPr="00913337">
        <w:t>R4-2308350</w:t>
      </w:r>
      <w:bookmarkEnd w:id="11"/>
    </w:p>
    <w:p w14:paraId="18653C21" w14:textId="3FB56394" w:rsidR="0092425B" w:rsidRDefault="0092425B" w:rsidP="00E24AF9">
      <w:pPr>
        <w:pStyle w:val="RAN4observation0"/>
        <w:numPr>
          <w:ilvl w:val="0"/>
          <w:numId w:val="0"/>
        </w:numPr>
      </w:pPr>
    </w:p>
    <w:p w14:paraId="208E53DB" w14:textId="0A1262FC" w:rsidR="0092425B" w:rsidRDefault="0092425B" w:rsidP="0092425B"/>
    <w:p w14:paraId="475C26D1" w14:textId="6F720FBC" w:rsidR="00ED6B84" w:rsidRDefault="003B5D7E" w:rsidP="00ED6B84">
      <w:pPr>
        <w:pStyle w:val="RAN4H2"/>
      </w:pPr>
      <w:r>
        <w:t xml:space="preserve">Impact on V2X. </w:t>
      </w:r>
    </w:p>
    <w:p w14:paraId="7F63B82C" w14:textId="2CEE8825" w:rsidR="00C02BCD" w:rsidRDefault="003B5D7E" w:rsidP="00701BAB">
      <w:r>
        <w:t xml:space="preserve">One of the bands impacted by the ECC definition is the band n38, which may </w:t>
      </w:r>
      <w:r w:rsidR="009D1901">
        <w:t xml:space="preserve">be </w:t>
      </w:r>
      <w:r>
        <w:t xml:space="preserve">also utilized for sidelink (V2X) deployments. </w:t>
      </w:r>
      <w:r w:rsidR="00C02BCD">
        <w:t>The utilization of sidelink transmission is not a corner case of UAV deployments, as due to local regulations and policies, UAVs will be required to broadcast their remote identification (BRID) continuously, and this operation is performed in 3GPP</w:t>
      </w:r>
      <w:r w:rsidR="000D2087">
        <w:t xml:space="preserve">-compliant </w:t>
      </w:r>
      <w:r w:rsidR="00C02BCD">
        <w:t xml:space="preserve"> access via the PC5 interface (sidelink). </w:t>
      </w:r>
    </w:p>
    <w:p w14:paraId="3C50DE7A" w14:textId="2CBA0799" w:rsidR="006B293C" w:rsidRDefault="00C02BCD" w:rsidP="00701BAB">
      <w:r>
        <w:t xml:space="preserve">The goal of ECC decision is to protect other systems from transmissions coming from UAVs, </w:t>
      </w:r>
      <w:r w:rsidR="007639A2">
        <w:t>and th</w:t>
      </w:r>
      <w:r w:rsidR="004037AA">
        <w:t>is is</w:t>
      </w:r>
      <w:r w:rsidR="007639A2">
        <w:t xml:space="preserve"> justified by the fact UEs are flying above </w:t>
      </w:r>
      <w:r w:rsidR="00D91AE2">
        <w:t>the receiving</w:t>
      </w:r>
      <w:r w:rsidR="00DF71AE">
        <w:t xml:space="preserve"> antennas of these systems. This situation does not change </w:t>
      </w:r>
      <w:proofErr w:type="gramStart"/>
      <w:r w:rsidR="00DF71AE">
        <w:t>regardless</w:t>
      </w:r>
      <w:proofErr w:type="gramEnd"/>
      <w:r w:rsidR="00DF71AE">
        <w:t xml:space="preserve"> whether the transmission is performed over Uu or PC5. </w:t>
      </w:r>
    </w:p>
    <w:p w14:paraId="3BF35FA9" w14:textId="582DACE9" w:rsidR="006B293C" w:rsidRDefault="007639A2" w:rsidP="006B293C">
      <w:pPr>
        <w:pStyle w:val="RAN4proposal"/>
      </w:pPr>
      <w:r>
        <w:t xml:space="preserve"> </w:t>
      </w:r>
      <w:r w:rsidR="00C02BCD">
        <w:t xml:space="preserve"> </w:t>
      </w:r>
      <w:bookmarkStart w:id="12" w:name="_Toc135058792"/>
      <w:r w:rsidR="006B293C">
        <w:t xml:space="preserve">The OOBE restrictions on the ECC decision also apply for </w:t>
      </w:r>
      <w:r w:rsidR="007319A8">
        <w:t>sidelink transmissions</w:t>
      </w:r>
      <w:bookmarkEnd w:id="12"/>
      <w:r w:rsidR="006B293C">
        <w:t xml:space="preserve">  </w:t>
      </w:r>
    </w:p>
    <w:p w14:paraId="307B508B" w14:textId="754202BC" w:rsidR="00701BAB" w:rsidRDefault="00C210CB" w:rsidP="00D16159">
      <w:pPr>
        <w:rPr>
          <w:lang w:eastAsia="zh-CN"/>
        </w:rPr>
      </w:pPr>
      <w:r>
        <w:t xml:space="preserve">In TS 38.101-1, the V2X (sidelink) </w:t>
      </w:r>
      <w:r w:rsidR="00282276">
        <w:t xml:space="preserve">additional </w:t>
      </w:r>
      <w:r>
        <w:t xml:space="preserve">requirements are covered under the clauses </w:t>
      </w:r>
      <w:r w:rsidR="00282276">
        <w:t xml:space="preserve">provided with the suffix E. </w:t>
      </w:r>
      <w:r w:rsidR="0036309E">
        <w:t>One important aspect is that the mapping of the NS signalling to be used by V2X</w:t>
      </w:r>
      <w:r w:rsidR="00B80AA2">
        <w:t xml:space="preserve"> (</w:t>
      </w:r>
      <w:r w:rsidR="004C1891">
        <w:t xml:space="preserve">Table </w:t>
      </w:r>
      <w:r w:rsidR="004C1891">
        <w:rPr>
          <w:lang w:eastAsia="zh-CN"/>
        </w:rPr>
        <w:t>6.2E.3.1-2)</w:t>
      </w:r>
      <w:r w:rsidR="0036309E">
        <w:t xml:space="preserve"> is different from the </w:t>
      </w:r>
      <w:r w:rsidR="00B80AA2">
        <w:t>“common” mapping</w:t>
      </w:r>
      <w:r w:rsidR="004C1891">
        <w:t xml:space="preserve"> </w:t>
      </w:r>
      <w:r w:rsidR="00901D1C">
        <w:t>Table 6.2.3.1-1A</w:t>
      </w:r>
      <w:r w:rsidR="00661DC2">
        <w:t>. Therefore,</w:t>
      </w:r>
      <w:r w:rsidR="00D16159">
        <w:t xml:space="preserve"> it is important that the SL requirements are captured in Table </w:t>
      </w:r>
      <w:r w:rsidR="00D16159">
        <w:rPr>
          <w:lang w:eastAsia="zh-CN"/>
        </w:rPr>
        <w:t xml:space="preserve">6.2E.3.1-2 for n38 as well. </w:t>
      </w:r>
    </w:p>
    <w:p w14:paraId="5EAE5C79" w14:textId="2D58FCC6" w:rsidR="00D16159" w:rsidRPr="00701BAB" w:rsidRDefault="00D16159" w:rsidP="00D16159">
      <w:pPr>
        <w:pStyle w:val="RAN4proposal"/>
      </w:pPr>
      <w:bookmarkStart w:id="13" w:name="_Toc135058793"/>
      <w:r>
        <w:t>Capture the NS mapping also for</w:t>
      </w:r>
      <w:r w:rsidR="003A68FD">
        <w:t xml:space="preserve"> n38 under V2X operation for UAVs in Table </w:t>
      </w:r>
      <w:r w:rsidR="003A68FD">
        <w:rPr>
          <w:lang w:eastAsia="zh-CN"/>
        </w:rPr>
        <w:t>6.2E.3.1-2.</w:t>
      </w:r>
      <w:bookmarkEnd w:id="13"/>
    </w:p>
    <w:p w14:paraId="79169265" w14:textId="52131017" w:rsidR="00BC6ACB" w:rsidRPr="008C39F7" w:rsidRDefault="00BC6ACB" w:rsidP="0060543D"/>
    <w:p w14:paraId="178D1CC7" w14:textId="77777777" w:rsidR="0060543D" w:rsidRPr="008C39F7" w:rsidRDefault="0060543D" w:rsidP="0060543D"/>
    <w:p w14:paraId="1B95CDA5" w14:textId="77777777" w:rsidR="00CD7492" w:rsidRPr="008C39F7" w:rsidRDefault="00CD7492" w:rsidP="00A37002">
      <w:pPr>
        <w:pStyle w:val="RAN4H1"/>
      </w:pPr>
      <w:bookmarkStart w:id="14" w:name="_Toc116995848"/>
      <w:r w:rsidRPr="008C39F7">
        <w:t>Conclusion</w:t>
      </w:r>
      <w:bookmarkEnd w:id="14"/>
    </w:p>
    <w:p w14:paraId="5CFEF421" w14:textId="5617FD6C" w:rsidR="008B0961" w:rsidRDefault="00AE1B88" w:rsidP="005C23A4">
      <w:r>
        <w:t xml:space="preserve">In this paper we discussed the definition of aerial UE types </w:t>
      </w:r>
      <w:proofErr w:type="gramStart"/>
      <w:r>
        <w:t>in regards to</w:t>
      </w:r>
      <w:proofErr w:type="gramEnd"/>
      <w:r>
        <w:t xml:space="preserve"> the applicability rules for OOBE additional restrictions within ECC region of authority:</w:t>
      </w:r>
    </w:p>
    <w:bookmarkStart w:id="15" w:name="_Toc116995849"/>
    <w:p w14:paraId="62F1828A" w14:textId="77385E02" w:rsidR="007E0273" w:rsidRDefault="00AE1B88" w:rsidP="007E0273">
      <w:pPr>
        <w:pStyle w:val="TOC1"/>
        <w:rPr>
          <w:rFonts w:asciiTheme="minorHAnsi" w:eastAsiaTheme="minorEastAsia" w:hAnsiTheme="minorHAnsi"/>
          <w:sz w:val="22"/>
          <w:lang w:val="en-GB" w:eastAsia="en-GB"/>
        </w:rPr>
      </w:pPr>
      <w:r>
        <w:rPr>
          <w:i/>
        </w:rPr>
        <w:fldChar w:fldCharType="begin"/>
      </w:r>
      <w:r>
        <w:rPr>
          <w:i/>
        </w:rPr>
        <w:instrText xml:space="preserve"> TOC \n \h \z \t "RAN4 proposal;1;RAN4 observation;1" </w:instrText>
      </w:r>
      <w:r>
        <w:rPr>
          <w:i/>
        </w:rPr>
        <w:fldChar w:fldCharType="separate"/>
      </w:r>
      <w:hyperlink w:anchor="_Toc135058787" w:history="1">
        <w:r w:rsidR="007E0273" w:rsidRPr="007A57D5">
          <w:rPr>
            <w:rStyle w:val="Hyperlink"/>
          </w:rPr>
          <w:t>Observation 1: It is part of the WID to specify the necessary UE types that are further restricted in emission by the ECC decision.</w:t>
        </w:r>
      </w:hyperlink>
    </w:p>
    <w:p w14:paraId="6629D082" w14:textId="43E93B24" w:rsidR="007E0273" w:rsidRDefault="00F86086" w:rsidP="007E0273">
      <w:pPr>
        <w:pStyle w:val="TOC1"/>
        <w:rPr>
          <w:rFonts w:asciiTheme="minorHAnsi" w:eastAsiaTheme="minorEastAsia" w:hAnsiTheme="minorHAnsi"/>
          <w:sz w:val="22"/>
          <w:lang w:val="en-GB" w:eastAsia="en-GB"/>
        </w:rPr>
      </w:pPr>
      <w:hyperlink w:anchor="_Toc135058788" w:history="1">
        <w:r w:rsidR="007E0273" w:rsidRPr="007A57D5">
          <w:rPr>
            <w:rStyle w:val="Hyperlink"/>
          </w:rPr>
          <w:t>Observation 2: RAN4 has to clearly indicate to what kinds of UEs the aerial requirements must apply.</w:t>
        </w:r>
      </w:hyperlink>
    </w:p>
    <w:p w14:paraId="6D30E60A" w14:textId="2CE10B7C" w:rsidR="007E0273" w:rsidRDefault="00F86086" w:rsidP="007E0273">
      <w:pPr>
        <w:pStyle w:val="TOC1"/>
        <w:rPr>
          <w:rFonts w:asciiTheme="minorHAnsi" w:eastAsiaTheme="minorEastAsia" w:hAnsiTheme="minorHAnsi"/>
          <w:sz w:val="22"/>
          <w:lang w:val="en-GB" w:eastAsia="en-GB"/>
        </w:rPr>
      </w:pPr>
      <w:hyperlink w:anchor="_Toc135058789" w:history="1">
        <w:r w:rsidR="007E0273" w:rsidRPr="007A57D5">
          <w:rPr>
            <w:rStyle w:val="Hyperlink"/>
          </w:rPr>
          <w:t>Proposal 1: Define an aerial UE as a UE supporting aerial capabilities AND that has performed authentication and authorization of the aerial subscription as described in TS 25.401.</w:t>
        </w:r>
      </w:hyperlink>
    </w:p>
    <w:p w14:paraId="07F5ED2C" w14:textId="35C45A64" w:rsidR="007E0273" w:rsidRDefault="00F86086" w:rsidP="007E0273">
      <w:pPr>
        <w:pStyle w:val="TOC1"/>
        <w:rPr>
          <w:rFonts w:asciiTheme="minorHAnsi" w:eastAsiaTheme="minorEastAsia" w:hAnsiTheme="minorHAnsi"/>
          <w:sz w:val="22"/>
          <w:lang w:val="en-GB" w:eastAsia="en-GB"/>
        </w:rPr>
      </w:pPr>
      <w:hyperlink w:anchor="_Toc135058790" w:history="1">
        <w:r w:rsidR="007E0273" w:rsidRPr="007A57D5">
          <w:rPr>
            <w:rStyle w:val="Hyperlink"/>
          </w:rPr>
          <w:t>Proposal 2: Use NS signalling to support the restrictions on UAV transmissions according to the ECC decision.</w:t>
        </w:r>
      </w:hyperlink>
    </w:p>
    <w:p w14:paraId="009854E1" w14:textId="65BC7764" w:rsidR="007E0273" w:rsidRDefault="00F86086" w:rsidP="007E0273">
      <w:pPr>
        <w:pStyle w:val="TOC1"/>
        <w:rPr>
          <w:rFonts w:asciiTheme="minorHAnsi" w:eastAsiaTheme="minorEastAsia" w:hAnsiTheme="minorHAnsi"/>
          <w:sz w:val="22"/>
          <w:lang w:val="en-GB" w:eastAsia="en-GB"/>
        </w:rPr>
      </w:pPr>
      <w:hyperlink w:anchor="_Toc135058791" w:history="1">
        <w:r w:rsidR="007E0273" w:rsidRPr="007A57D5">
          <w:rPr>
            <w:rStyle w:val="Hyperlink"/>
          </w:rPr>
          <w:t>Proposal 3: Endorse the DraftCR R4-2308350</w:t>
        </w:r>
      </w:hyperlink>
    </w:p>
    <w:p w14:paraId="6EFCEF70" w14:textId="6757A74B" w:rsidR="007E0273" w:rsidRDefault="00F86086" w:rsidP="007E0273">
      <w:pPr>
        <w:pStyle w:val="TOC1"/>
        <w:rPr>
          <w:rFonts w:asciiTheme="minorHAnsi" w:eastAsiaTheme="minorEastAsia" w:hAnsiTheme="minorHAnsi"/>
          <w:sz w:val="22"/>
          <w:lang w:val="en-GB" w:eastAsia="en-GB"/>
        </w:rPr>
      </w:pPr>
      <w:hyperlink w:anchor="_Toc135058792" w:history="1">
        <w:r w:rsidR="007E0273" w:rsidRPr="007A57D5">
          <w:rPr>
            <w:rStyle w:val="Hyperlink"/>
          </w:rPr>
          <w:t>Proposal 4: The OOBE restrictions on the ECC decision also apply for sidelink transmissions</w:t>
        </w:r>
      </w:hyperlink>
    </w:p>
    <w:p w14:paraId="787A8243" w14:textId="7EB879B7" w:rsidR="007E0273" w:rsidRDefault="00F86086" w:rsidP="007E0273">
      <w:pPr>
        <w:pStyle w:val="TOC1"/>
        <w:rPr>
          <w:rFonts w:asciiTheme="minorHAnsi" w:eastAsiaTheme="minorEastAsia" w:hAnsiTheme="minorHAnsi"/>
          <w:sz w:val="22"/>
          <w:lang w:val="en-GB" w:eastAsia="en-GB"/>
        </w:rPr>
      </w:pPr>
      <w:hyperlink w:anchor="_Toc135058793" w:history="1">
        <w:r w:rsidR="007E0273" w:rsidRPr="007A57D5">
          <w:rPr>
            <w:rStyle w:val="Hyperlink"/>
          </w:rPr>
          <w:t xml:space="preserve">Proposal 5: Capture the NS mapping also for n38 under V2X operation for UAVs in Table </w:t>
        </w:r>
        <w:r w:rsidR="007E0273" w:rsidRPr="007A57D5">
          <w:rPr>
            <w:rStyle w:val="Hyperlink"/>
            <w:lang w:eastAsia="zh-CN"/>
          </w:rPr>
          <w:t>6.2E.3.1-2.</w:t>
        </w:r>
      </w:hyperlink>
    </w:p>
    <w:p w14:paraId="1B5C89ED" w14:textId="0EE44359" w:rsidR="008C39F7" w:rsidRPr="008C39F7" w:rsidRDefault="00AE1B88" w:rsidP="008C39F7">
      <w:r>
        <w:rPr>
          <w:i/>
          <w:iCs/>
          <w:u w:val="single"/>
        </w:rPr>
        <w:fldChar w:fldCharType="end"/>
      </w:r>
    </w:p>
    <w:p w14:paraId="4823FDEC" w14:textId="77777777" w:rsidR="003B659E" w:rsidRPr="008C39F7" w:rsidRDefault="003B659E" w:rsidP="0060543D">
      <w:pPr>
        <w:pStyle w:val="RAN4H1"/>
        <w:numPr>
          <w:ilvl w:val="0"/>
          <w:numId w:val="0"/>
        </w:numPr>
        <w:ind w:left="360" w:hanging="360"/>
      </w:pPr>
      <w:r w:rsidRPr="008C39F7">
        <w:t>References</w:t>
      </w:r>
      <w:bookmarkEnd w:id="15"/>
    </w:p>
    <w:p w14:paraId="34396795" w14:textId="77777777" w:rsidR="006C2AEF" w:rsidRDefault="006C2AEF" w:rsidP="006C2AEF">
      <w:pPr>
        <w:numPr>
          <w:ilvl w:val="0"/>
          <w:numId w:val="21"/>
        </w:numPr>
        <w:overflowPunct w:val="0"/>
        <w:autoSpaceDE w:val="0"/>
        <w:autoSpaceDN w:val="0"/>
        <w:adjustRightInd w:val="0"/>
        <w:spacing w:after="0" w:line="240" w:lineRule="auto"/>
        <w:jc w:val="both"/>
        <w:textAlignment w:val="baseline"/>
      </w:pPr>
      <w:bookmarkStart w:id="16" w:name="_Ref114500673"/>
      <w:bookmarkStart w:id="17" w:name="_Ref131588678"/>
      <w:bookmarkEnd w:id="16"/>
      <w:r w:rsidRPr="00E03744">
        <w:t>RP-230782</w:t>
      </w:r>
      <w:r>
        <w:t xml:space="preserve">, </w:t>
      </w:r>
      <w:r w:rsidRPr="000029CD">
        <w:t>Revised WID: NR Support for UAV (Uncrewed Aerial Vehicles)</w:t>
      </w:r>
      <w:bookmarkEnd w:id="17"/>
    </w:p>
    <w:p w14:paraId="19478D22" w14:textId="77777777" w:rsidR="006C2AEF" w:rsidRDefault="006C2AEF" w:rsidP="006C2AEF">
      <w:pPr>
        <w:numPr>
          <w:ilvl w:val="0"/>
          <w:numId w:val="21"/>
        </w:numPr>
        <w:overflowPunct w:val="0"/>
        <w:autoSpaceDE w:val="0"/>
        <w:autoSpaceDN w:val="0"/>
        <w:adjustRightInd w:val="0"/>
        <w:spacing w:after="0" w:line="240" w:lineRule="auto"/>
        <w:jc w:val="both"/>
        <w:textAlignment w:val="baseline"/>
      </w:pPr>
      <w:bookmarkStart w:id="18" w:name="_Ref131587119"/>
      <w:r w:rsidRPr="002B73E7">
        <w:t>RP-230025</w:t>
      </w:r>
      <w:r>
        <w:t>/</w:t>
      </w:r>
      <w:r w:rsidRPr="00B42F16">
        <w:t>R4-2304033</w:t>
      </w:r>
      <w:r>
        <w:t xml:space="preserve">, </w:t>
      </w:r>
      <w:r w:rsidRPr="00707B6A">
        <w:t>Reply to LS to 3GPP on ECC request for standardisation support related to ECC Decision (22)07 on “harmonised framework on aerial UE usage in MFCN harmonised bands”</w:t>
      </w:r>
      <w:r>
        <w:t xml:space="preserve">, </w:t>
      </w:r>
      <w:r w:rsidRPr="00707B6A">
        <w:t>ETSI TC MSG/TFES</w:t>
      </w:r>
      <w:bookmarkEnd w:id="18"/>
    </w:p>
    <w:p w14:paraId="68FE13B3" w14:textId="77777777" w:rsidR="006C2AEF" w:rsidRDefault="006C2AEF" w:rsidP="006C2AEF">
      <w:pPr>
        <w:numPr>
          <w:ilvl w:val="0"/>
          <w:numId w:val="21"/>
        </w:numPr>
        <w:overflowPunct w:val="0"/>
        <w:autoSpaceDE w:val="0"/>
        <w:autoSpaceDN w:val="0"/>
        <w:adjustRightInd w:val="0"/>
        <w:spacing w:after="0" w:line="240" w:lineRule="auto"/>
        <w:jc w:val="both"/>
        <w:textAlignment w:val="baseline"/>
      </w:pPr>
      <w:r w:rsidRPr="00584DE6">
        <w:t>S2-2303302</w:t>
      </w:r>
      <w:r>
        <w:t xml:space="preserve">, </w:t>
      </w:r>
      <w:r w:rsidRPr="00AF737E">
        <w:rPr>
          <w:i/>
          <w:iCs/>
        </w:rPr>
        <w:t>“LS Reply on ECC request for standardisation support related to ECC Decision (22)07 on “harmonised framework on aerial UE usage in MFCN harmonised bands”</w:t>
      </w:r>
      <w:r>
        <w:rPr>
          <w:i/>
          <w:iCs/>
        </w:rPr>
        <w:t xml:space="preserve">, </w:t>
      </w:r>
      <w:r w:rsidRPr="00DA1D67">
        <w:t>SA2 Meeting #155</w:t>
      </w:r>
      <w:r>
        <w:t xml:space="preserve">, </w:t>
      </w:r>
      <w:r w:rsidRPr="00421E8B">
        <w:t>SA2 Meeting #155</w:t>
      </w:r>
    </w:p>
    <w:p w14:paraId="7646A103" w14:textId="77777777" w:rsidR="006C2AEF" w:rsidRPr="00E86FCB" w:rsidRDefault="006C2AEF" w:rsidP="006C2AEF">
      <w:pPr>
        <w:numPr>
          <w:ilvl w:val="0"/>
          <w:numId w:val="21"/>
        </w:numPr>
        <w:overflowPunct w:val="0"/>
        <w:autoSpaceDE w:val="0"/>
        <w:autoSpaceDN w:val="0"/>
        <w:adjustRightInd w:val="0"/>
        <w:spacing w:after="0" w:line="240" w:lineRule="auto"/>
        <w:jc w:val="both"/>
        <w:textAlignment w:val="baseline"/>
        <w:rPr>
          <w:i/>
          <w:iCs/>
        </w:rPr>
      </w:pPr>
      <w:r>
        <w:lastRenderedPageBreak/>
        <w:t xml:space="preserve">TS 23.356, </w:t>
      </w:r>
      <w:r w:rsidRPr="00E86FCB">
        <w:rPr>
          <w:i/>
          <w:iCs/>
        </w:rPr>
        <w:t>“Support of Uncrewed Aerial Systems (UAS) connectivity, identification and tracking; Stage 2</w:t>
      </w:r>
      <w:r>
        <w:rPr>
          <w:i/>
          <w:iCs/>
        </w:rPr>
        <w:t>”</w:t>
      </w:r>
      <w:r>
        <w:t>, 3GPP, Release 18.0.0</w:t>
      </w:r>
    </w:p>
    <w:p w14:paraId="0E9BF6AA" w14:textId="03F5A4DF" w:rsidR="006C2AEF" w:rsidRDefault="006C2AEF" w:rsidP="006C2AEF">
      <w:pPr>
        <w:numPr>
          <w:ilvl w:val="0"/>
          <w:numId w:val="21"/>
        </w:numPr>
        <w:overflowPunct w:val="0"/>
        <w:autoSpaceDE w:val="0"/>
        <w:autoSpaceDN w:val="0"/>
        <w:adjustRightInd w:val="0"/>
        <w:spacing w:after="0" w:line="240" w:lineRule="auto"/>
        <w:jc w:val="both"/>
        <w:textAlignment w:val="baseline"/>
      </w:pPr>
      <w:bookmarkStart w:id="19" w:name="_Ref134525461"/>
      <w:r>
        <w:t xml:space="preserve">TS 36.306, </w:t>
      </w:r>
      <w:r w:rsidRPr="000E00AC">
        <w:rPr>
          <w:i/>
          <w:iCs/>
        </w:rPr>
        <w:t xml:space="preserve">“Evolved Universal Terrestrial Radio Access (E-UTRA); User Equipment (UE) radio access capabilities”, </w:t>
      </w:r>
      <w:r>
        <w:t>3GPP, Release 17.3.0.</w:t>
      </w:r>
      <w:bookmarkEnd w:id="19"/>
    </w:p>
    <w:p w14:paraId="01C2BEA1" w14:textId="4B7623F7" w:rsidR="006C2AEF" w:rsidRDefault="006C2AEF" w:rsidP="006C2AEF">
      <w:pPr>
        <w:numPr>
          <w:ilvl w:val="0"/>
          <w:numId w:val="21"/>
        </w:numPr>
        <w:overflowPunct w:val="0"/>
        <w:autoSpaceDE w:val="0"/>
        <w:autoSpaceDN w:val="0"/>
        <w:adjustRightInd w:val="0"/>
        <w:spacing w:after="0" w:line="240" w:lineRule="auto"/>
        <w:jc w:val="both"/>
        <w:textAlignment w:val="baseline"/>
      </w:pPr>
      <w:bookmarkStart w:id="20" w:name="_Ref134524212"/>
      <w:r w:rsidRPr="006C2AEF">
        <w:t>R4-2306641</w:t>
      </w:r>
      <w:r>
        <w:t xml:space="preserve">, </w:t>
      </w:r>
      <w:r>
        <w:rPr>
          <w:i/>
          <w:iCs/>
        </w:rPr>
        <w:t>“</w:t>
      </w:r>
      <w:r w:rsidRPr="006C2AEF">
        <w:rPr>
          <w:i/>
          <w:iCs/>
        </w:rPr>
        <w:t>WF on NR Support for UAV</w:t>
      </w:r>
      <w:r>
        <w:rPr>
          <w:i/>
          <w:iCs/>
        </w:rPr>
        <w:t>”</w:t>
      </w:r>
      <w:r>
        <w:t xml:space="preserve">, Nokia, </w:t>
      </w:r>
      <w:r w:rsidRPr="006C2AEF">
        <w:t xml:space="preserve">Electronic Meeting, 17 April –26 </w:t>
      </w:r>
      <w:proofErr w:type="gramStart"/>
      <w:r w:rsidRPr="006C2AEF">
        <w:t>April,</w:t>
      </w:r>
      <w:proofErr w:type="gramEnd"/>
      <w:r w:rsidRPr="006C2AEF">
        <w:t xml:space="preserve"> 2023</w:t>
      </w:r>
      <w:bookmarkEnd w:id="20"/>
    </w:p>
    <w:p w14:paraId="28BAA61F" w14:textId="77777777" w:rsidR="000040DC" w:rsidRPr="008C39F7" w:rsidRDefault="000040DC" w:rsidP="000040DC">
      <w:pPr>
        <w:ind w:right="-22"/>
        <w:rPr>
          <w:highlight w:val="yellow"/>
        </w:rPr>
      </w:pPr>
    </w:p>
    <w:p w14:paraId="1B83CC5B" w14:textId="77777777" w:rsidR="0060543D" w:rsidRPr="008C39F7" w:rsidRDefault="0060543D" w:rsidP="000040DC">
      <w:pPr>
        <w:ind w:right="-22"/>
        <w:rPr>
          <w:highlight w:val="yellow"/>
        </w:rPr>
      </w:pPr>
    </w:p>
    <w:sectPr w:rsidR="0060543D"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1FB24" w14:textId="77777777" w:rsidR="00BA51DA" w:rsidRDefault="00BA51DA" w:rsidP="00001C9B">
      <w:pPr>
        <w:spacing w:after="0" w:line="240" w:lineRule="auto"/>
      </w:pPr>
      <w:r>
        <w:separator/>
      </w:r>
    </w:p>
  </w:endnote>
  <w:endnote w:type="continuationSeparator" w:id="0">
    <w:p w14:paraId="58E66D47" w14:textId="77777777" w:rsidR="00BA51DA" w:rsidRDefault="00BA51DA" w:rsidP="00001C9B">
      <w:pPr>
        <w:spacing w:after="0" w:line="240" w:lineRule="auto"/>
      </w:pPr>
      <w:r>
        <w:continuationSeparator/>
      </w:r>
    </w:p>
  </w:endnote>
  <w:endnote w:type="continuationNotice" w:id="1">
    <w:p w14:paraId="2E8BCBEC" w14:textId="77777777" w:rsidR="00BA51DA" w:rsidRDefault="00BA51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D0187" w14:textId="77777777" w:rsidR="00BA51DA" w:rsidRDefault="00BA51DA" w:rsidP="00001C9B">
      <w:pPr>
        <w:spacing w:after="0" w:line="240" w:lineRule="auto"/>
      </w:pPr>
      <w:r>
        <w:separator/>
      </w:r>
    </w:p>
  </w:footnote>
  <w:footnote w:type="continuationSeparator" w:id="0">
    <w:p w14:paraId="0E3C9882" w14:textId="77777777" w:rsidR="00BA51DA" w:rsidRDefault="00BA51DA" w:rsidP="00001C9B">
      <w:pPr>
        <w:spacing w:after="0" w:line="240" w:lineRule="auto"/>
      </w:pPr>
      <w:r>
        <w:continuationSeparator/>
      </w:r>
    </w:p>
  </w:footnote>
  <w:footnote w:type="continuationNotice" w:id="1">
    <w:p w14:paraId="11045BB5" w14:textId="77777777" w:rsidR="00BA51DA" w:rsidRDefault="00BA51D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84E6F"/>
    <w:multiLevelType w:val="multilevel"/>
    <w:tmpl w:val="903A8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942925"/>
    <w:multiLevelType w:val="multilevel"/>
    <w:tmpl w:val="661E1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CD0C27"/>
    <w:multiLevelType w:val="hybridMultilevel"/>
    <w:tmpl w:val="ED5804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CFE165B"/>
    <w:multiLevelType w:val="hybridMultilevel"/>
    <w:tmpl w:val="F66E647C"/>
    <w:lvl w:ilvl="0" w:tplc="704A2ABE">
      <w:start w:val="1"/>
      <w:numFmt w:val="bullet"/>
      <w:lvlText w:val="-"/>
      <w:lvlJc w:val="left"/>
      <w:pPr>
        <w:ind w:left="765" w:hanging="360"/>
      </w:pPr>
      <w:rPr>
        <w:rFonts w:ascii="Times New Roman" w:eastAsiaTheme="minorHAnsi" w:hAnsi="Times New Roman" w:cs="Times New Roman"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7" w15:restartNumberingAfterBreak="0">
    <w:nsid w:val="0D593DCC"/>
    <w:multiLevelType w:val="hybridMultilevel"/>
    <w:tmpl w:val="A212F7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17C7262"/>
    <w:multiLevelType w:val="hybridMultilevel"/>
    <w:tmpl w:val="C1CE9F22"/>
    <w:lvl w:ilvl="0" w:tplc="662AEC20">
      <w:start w:val="2"/>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57449F6"/>
    <w:multiLevelType w:val="hybridMultilevel"/>
    <w:tmpl w:val="4EB4E250"/>
    <w:lvl w:ilvl="0" w:tplc="704A2ABE">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EBD7C84"/>
    <w:multiLevelType w:val="multilevel"/>
    <w:tmpl w:val="44DE4F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791ECA"/>
    <w:multiLevelType w:val="multilevel"/>
    <w:tmpl w:val="A76C5A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31345C"/>
    <w:multiLevelType w:val="multilevel"/>
    <w:tmpl w:val="BB3C7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E086832"/>
    <w:multiLevelType w:val="hybridMultilevel"/>
    <w:tmpl w:val="6F80FABE"/>
    <w:lvl w:ilvl="0" w:tplc="BD8C303A">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27E184A"/>
    <w:multiLevelType w:val="hybridMultilevel"/>
    <w:tmpl w:val="F51A9A3A"/>
    <w:lvl w:ilvl="0" w:tplc="C65085F2">
      <w:start w:val="1"/>
      <w:numFmt w:val="bullet"/>
      <w:pStyle w:val="ECCParBulleted"/>
      <w:lvlText w:val=""/>
      <w:lvlJc w:val="left"/>
      <w:pPr>
        <w:tabs>
          <w:tab w:val="num" w:pos="360"/>
        </w:tabs>
        <w:ind w:left="360" w:hanging="360"/>
      </w:pPr>
      <w:rPr>
        <w:rFonts w:ascii="Wingdings" w:hAnsi="Wingdings" w:hint="default"/>
        <w:color w:val="D2232A"/>
      </w:rPr>
    </w:lvl>
    <w:lvl w:ilvl="1" w:tplc="2722AF3A">
      <w:start w:val="1"/>
      <w:numFmt w:val="bullet"/>
      <w:lvlText w:val="o"/>
      <w:lvlJc w:val="left"/>
      <w:pPr>
        <w:tabs>
          <w:tab w:val="num" w:pos="1440"/>
        </w:tabs>
        <w:ind w:left="1440" w:hanging="360"/>
      </w:pPr>
      <w:rPr>
        <w:rFonts w:ascii="Courier New" w:hAnsi="Courier New" w:cs="Arial" w:hint="default"/>
      </w:rPr>
    </w:lvl>
    <w:lvl w:ilvl="2" w:tplc="DF3A6222">
      <w:start w:val="1"/>
      <w:numFmt w:val="bullet"/>
      <w:lvlText w:val=""/>
      <w:lvlJc w:val="left"/>
      <w:pPr>
        <w:tabs>
          <w:tab w:val="num" w:pos="2160"/>
        </w:tabs>
        <w:ind w:left="2160" w:hanging="360"/>
      </w:pPr>
      <w:rPr>
        <w:rFonts w:ascii="Wingdings" w:hAnsi="Wingdings" w:hint="default"/>
      </w:rPr>
    </w:lvl>
    <w:lvl w:ilvl="3" w:tplc="38384B7C">
      <w:start w:val="1"/>
      <w:numFmt w:val="bullet"/>
      <w:lvlText w:val=""/>
      <w:lvlJc w:val="left"/>
      <w:pPr>
        <w:tabs>
          <w:tab w:val="num" w:pos="2880"/>
        </w:tabs>
        <w:ind w:left="2880" w:hanging="360"/>
      </w:pPr>
      <w:rPr>
        <w:rFonts w:ascii="Symbol" w:hAnsi="Symbol" w:hint="default"/>
      </w:rPr>
    </w:lvl>
    <w:lvl w:ilvl="4" w:tplc="3FACFB98">
      <w:start w:val="1"/>
      <w:numFmt w:val="bullet"/>
      <w:lvlText w:val="o"/>
      <w:lvlJc w:val="left"/>
      <w:pPr>
        <w:tabs>
          <w:tab w:val="num" w:pos="3600"/>
        </w:tabs>
        <w:ind w:left="3600" w:hanging="360"/>
      </w:pPr>
      <w:rPr>
        <w:rFonts w:ascii="Courier New" w:hAnsi="Courier New" w:cs="Arial" w:hint="default"/>
      </w:rPr>
    </w:lvl>
    <w:lvl w:ilvl="5" w:tplc="9AB23964">
      <w:start w:val="1"/>
      <w:numFmt w:val="bullet"/>
      <w:lvlText w:val=""/>
      <w:lvlJc w:val="left"/>
      <w:pPr>
        <w:tabs>
          <w:tab w:val="num" w:pos="4320"/>
        </w:tabs>
        <w:ind w:left="4320" w:hanging="360"/>
      </w:pPr>
      <w:rPr>
        <w:rFonts w:ascii="Wingdings" w:hAnsi="Wingdings" w:hint="default"/>
      </w:rPr>
    </w:lvl>
    <w:lvl w:ilvl="6" w:tplc="0CD81336">
      <w:start w:val="1"/>
      <w:numFmt w:val="bullet"/>
      <w:lvlText w:val=""/>
      <w:lvlJc w:val="left"/>
      <w:pPr>
        <w:tabs>
          <w:tab w:val="num" w:pos="5040"/>
        </w:tabs>
        <w:ind w:left="5040" w:hanging="360"/>
      </w:pPr>
      <w:rPr>
        <w:rFonts w:ascii="Symbol" w:hAnsi="Symbol" w:hint="default"/>
      </w:rPr>
    </w:lvl>
    <w:lvl w:ilvl="7" w:tplc="41885BBC">
      <w:start w:val="1"/>
      <w:numFmt w:val="bullet"/>
      <w:lvlText w:val="o"/>
      <w:lvlJc w:val="left"/>
      <w:pPr>
        <w:tabs>
          <w:tab w:val="num" w:pos="5760"/>
        </w:tabs>
        <w:ind w:left="5760" w:hanging="360"/>
      </w:pPr>
      <w:rPr>
        <w:rFonts w:ascii="Courier New" w:hAnsi="Courier New" w:cs="Arial" w:hint="default"/>
      </w:rPr>
    </w:lvl>
    <w:lvl w:ilvl="8" w:tplc="BC0A8502">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0A1F56"/>
    <w:multiLevelType w:val="hybridMultilevel"/>
    <w:tmpl w:val="D3EC9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373F08"/>
    <w:multiLevelType w:val="hybridMultilevel"/>
    <w:tmpl w:val="C8FE3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2146DF"/>
    <w:multiLevelType w:val="multilevel"/>
    <w:tmpl w:val="54214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F57959"/>
    <w:multiLevelType w:val="multilevel"/>
    <w:tmpl w:val="4112BE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275AC5"/>
    <w:multiLevelType w:val="multilevel"/>
    <w:tmpl w:val="22009C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7C23A12"/>
    <w:multiLevelType w:val="multilevel"/>
    <w:tmpl w:val="FFA279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B421CB0"/>
    <w:multiLevelType w:val="multilevel"/>
    <w:tmpl w:val="9656EE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2464B3"/>
    <w:multiLevelType w:val="hybridMultilevel"/>
    <w:tmpl w:val="9EA81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4"/>
  </w:num>
  <w:num w:numId="2" w16cid:durableId="1469392472">
    <w:abstractNumId w:val="13"/>
  </w:num>
  <w:num w:numId="3" w16cid:durableId="1792749823">
    <w:abstractNumId w:val="23"/>
  </w:num>
  <w:num w:numId="4" w16cid:durableId="517735681">
    <w:abstractNumId w:val="12"/>
  </w:num>
  <w:num w:numId="5" w16cid:durableId="1142041724">
    <w:abstractNumId w:val="32"/>
  </w:num>
  <w:num w:numId="6" w16cid:durableId="80681869">
    <w:abstractNumId w:val="21"/>
  </w:num>
  <w:num w:numId="7" w16cid:durableId="1566528953">
    <w:abstractNumId w:val="22"/>
  </w:num>
  <w:num w:numId="8" w16cid:durableId="809788981">
    <w:abstractNumId w:val="22"/>
    <w:lvlOverride w:ilvl="0">
      <w:startOverride w:val="1"/>
    </w:lvlOverride>
  </w:num>
  <w:num w:numId="9" w16cid:durableId="1398822153">
    <w:abstractNumId w:val="22"/>
    <w:lvlOverride w:ilvl="0">
      <w:startOverride w:val="1"/>
    </w:lvlOverride>
  </w:num>
  <w:num w:numId="10" w16cid:durableId="1825466284">
    <w:abstractNumId w:val="22"/>
    <w:lvlOverride w:ilvl="0">
      <w:startOverride w:val="1"/>
    </w:lvlOverride>
  </w:num>
  <w:num w:numId="11" w16cid:durableId="1446922321">
    <w:abstractNumId w:val="21"/>
    <w:lvlOverride w:ilvl="0">
      <w:startOverride w:val="1"/>
    </w:lvlOverride>
  </w:num>
  <w:num w:numId="12" w16cid:durableId="122584543">
    <w:abstractNumId w:val="22"/>
    <w:lvlOverride w:ilvl="0">
      <w:startOverride w:val="1"/>
    </w:lvlOverride>
  </w:num>
  <w:num w:numId="13" w16cid:durableId="818807267">
    <w:abstractNumId w:val="21"/>
    <w:lvlOverride w:ilvl="0">
      <w:startOverride w:val="1"/>
    </w:lvlOverride>
  </w:num>
  <w:num w:numId="14" w16cid:durableId="883829348">
    <w:abstractNumId w:val="22"/>
    <w:lvlOverride w:ilvl="0">
      <w:startOverride w:val="1"/>
    </w:lvlOverride>
  </w:num>
  <w:num w:numId="15" w16cid:durableId="438372887">
    <w:abstractNumId w:val="34"/>
  </w:num>
  <w:num w:numId="16" w16cid:durableId="516113510">
    <w:abstractNumId w:val="10"/>
  </w:num>
  <w:num w:numId="17" w16cid:durableId="1456096507">
    <w:abstractNumId w:val="30"/>
  </w:num>
  <w:num w:numId="18" w16cid:durableId="1397970374">
    <w:abstractNumId w:val="3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9"/>
  </w:num>
  <w:num w:numId="21" w16cid:durableId="1659071369">
    <w:abstractNumId w:val="27"/>
  </w:num>
  <w:num w:numId="22" w16cid:durableId="1938362445">
    <w:abstractNumId w:val="21"/>
    <w:lvlOverride w:ilvl="0">
      <w:startOverride w:val="1"/>
    </w:lvlOverride>
  </w:num>
  <w:num w:numId="23" w16cid:durableId="913515990">
    <w:abstractNumId w:val="22"/>
    <w:lvlOverride w:ilvl="0">
      <w:startOverride w:val="1"/>
    </w:lvlOverride>
  </w:num>
  <w:num w:numId="24" w16cid:durableId="978418003">
    <w:abstractNumId w:val="5"/>
  </w:num>
  <w:num w:numId="25" w16cid:durableId="143009612">
    <w:abstractNumId w:val="3"/>
  </w:num>
  <w:num w:numId="26" w16cid:durableId="212620654">
    <w:abstractNumId w:val="3"/>
    <w:lvlOverride w:ilvl="0">
      <w:startOverride w:val="1"/>
    </w:lvlOverride>
  </w:num>
  <w:num w:numId="27" w16cid:durableId="2077163691">
    <w:abstractNumId w:val="15"/>
    <w:lvlOverride w:ilvl="0">
      <w:startOverride w:val="1"/>
    </w:lvlOverride>
  </w:num>
  <w:num w:numId="28" w16cid:durableId="29233144">
    <w:abstractNumId w:val="14"/>
  </w:num>
  <w:num w:numId="29" w16cid:durableId="1498300659">
    <w:abstractNumId w:val="1"/>
  </w:num>
  <w:num w:numId="30" w16cid:durableId="1815290027">
    <w:abstractNumId w:val="28"/>
  </w:num>
  <w:num w:numId="31" w16cid:durableId="147720103">
    <w:abstractNumId w:val="31"/>
  </w:num>
  <w:num w:numId="32" w16cid:durableId="805925957">
    <w:abstractNumId w:val="26"/>
  </w:num>
  <w:num w:numId="33" w16cid:durableId="1352535266">
    <w:abstractNumId w:val="0"/>
  </w:num>
  <w:num w:numId="34" w16cid:durableId="1749226117">
    <w:abstractNumId w:val="33"/>
  </w:num>
  <w:num w:numId="35" w16cid:durableId="484706522">
    <w:abstractNumId w:val="11"/>
  </w:num>
  <w:num w:numId="36" w16cid:durableId="275990933">
    <w:abstractNumId w:val="29"/>
  </w:num>
  <w:num w:numId="37" w16cid:durableId="791896576">
    <w:abstractNumId w:val="18"/>
  </w:num>
  <w:num w:numId="38" w16cid:durableId="452020356">
    <w:abstractNumId w:val="7"/>
  </w:num>
  <w:num w:numId="39" w16cid:durableId="1348940953">
    <w:abstractNumId w:val="20"/>
  </w:num>
  <w:num w:numId="40" w16cid:durableId="402408040">
    <w:abstractNumId w:val="8"/>
  </w:num>
  <w:num w:numId="41" w16cid:durableId="1680964873">
    <w:abstractNumId w:val="17"/>
  </w:num>
  <w:num w:numId="42" w16cid:durableId="142431352">
    <w:abstractNumId w:val="24"/>
  </w:num>
  <w:num w:numId="43" w16cid:durableId="19942275">
    <w:abstractNumId w:val="9"/>
  </w:num>
  <w:num w:numId="44" w16cid:durableId="1152790465">
    <w:abstractNumId w:val="25"/>
  </w:num>
  <w:num w:numId="45" w16cid:durableId="372313822">
    <w:abstractNumId w:val="6"/>
  </w:num>
  <w:num w:numId="46" w16cid:durableId="559095649">
    <w:abstractNumId w:val="35"/>
  </w:num>
  <w:num w:numId="47" w16cid:durableId="442070603">
    <w:abstractNumId w:val="16"/>
  </w:num>
  <w:num w:numId="48" w16cid:durableId="11623083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17D4B"/>
    <w:rsid w:val="00001486"/>
    <w:rsid w:val="00001C9B"/>
    <w:rsid w:val="000040DC"/>
    <w:rsid w:val="00011784"/>
    <w:rsid w:val="000151EF"/>
    <w:rsid w:val="000239F5"/>
    <w:rsid w:val="00066248"/>
    <w:rsid w:val="0008612A"/>
    <w:rsid w:val="00090E18"/>
    <w:rsid w:val="000926A0"/>
    <w:rsid w:val="000A10BC"/>
    <w:rsid w:val="000A671B"/>
    <w:rsid w:val="000B0056"/>
    <w:rsid w:val="000C3C7B"/>
    <w:rsid w:val="000D0F93"/>
    <w:rsid w:val="000D2087"/>
    <w:rsid w:val="0010638B"/>
    <w:rsid w:val="00106416"/>
    <w:rsid w:val="00110481"/>
    <w:rsid w:val="001127C9"/>
    <w:rsid w:val="00115B88"/>
    <w:rsid w:val="0012224A"/>
    <w:rsid w:val="00132F6A"/>
    <w:rsid w:val="00133913"/>
    <w:rsid w:val="00140221"/>
    <w:rsid w:val="00163988"/>
    <w:rsid w:val="001642FC"/>
    <w:rsid w:val="0016496B"/>
    <w:rsid w:val="001743E2"/>
    <w:rsid w:val="001745F8"/>
    <w:rsid w:val="001838CF"/>
    <w:rsid w:val="001868EE"/>
    <w:rsid w:val="001A3BA4"/>
    <w:rsid w:val="001A6B2A"/>
    <w:rsid w:val="001A6D1F"/>
    <w:rsid w:val="001E30F6"/>
    <w:rsid w:val="001F5DC7"/>
    <w:rsid w:val="00217EE5"/>
    <w:rsid w:val="00235F5C"/>
    <w:rsid w:val="00257FA3"/>
    <w:rsid w:val="00272127"/>
    <w:rsid w:val="00277B56"/>
    <w:rsid w:val="00282276"/>
    <w:rsid w:val="002A1503"/>
    <w:rsid w:val="002A19F5"/>
    <w:rsid w:val="002B4922"/>
    <w:rsid w:val="002C22C3"/>
    <w:rsid w:val="002C2D19"/>
    <w:rsid w:val="002D10FA"/>
    <w:rsid w:val="002D175F"/>
    <w:rsid w:val="002D4C55"/>
    <w:rsid w:val="002E6DED"/>
    <w:rsid w:val="00300956"/>
    <w:rsid w:val="00317187"/>
    <w:rsid w:val="0032499A"/>
    <w:rsid w:val="003341F7"/>
    <w:rsid w:val="00347FEC"/>
    <w:rsid w:val="00356F45"/>
    <w:rsid w:val="0036309E"/>
    <w:rsid w:val="00366B74"/>
    <w:rsid w:val="00387CF8"/>
    <w:rsid w:val="00397935"/>
    <w:rsid w:val="003A43D2"/>
    <w:rsid w:val="003A68FD"/>
    <w:rsid w:val="003A710A"/>
    <w:rsid w:val="003B1BB7"/>
    <w:rsid w:val="003B5D7E"/>
    <w:rsid w:val="003B659E"/>
    <w:rsid w:val="003C275E"/>
    <w:rsid w:val="003C4FDE"/>
    <w:rsid w:val="003E58DF"/>
    <w:rsid w:val="003F3351"/>
    <w:rsid w:val="003F64A7"/>
    <w:rsid w:val="004037AA"/>
    <w:rsid w:val="00404C4C"/>
    <w:rsid w:val="0041423F"/>
    <w:rsid w:val="00414F81"/>
    <w:rsid w:val="004360B6"/>
    <w:rsid w:val="00436A0F"/>
    <w:rsid w:val="00437150"/>
    <w:rsid w:val="0043750A"/>
    <w:rsid w:val="004732E9"/>
    <w:rsid w:val="004854BB"/>
    <w:rsid w:val="00494493"/>
    <w:rsid w:val="00496606"/>
    <w:rsid w:val="004C1891"/>
    <w:rsid w:val="004D511E"/>
    <w:rsid w:val="004E5E66"/>
    <w:rsid w:val="004E6003"/>
    <w:rsid w:val="004E7ADB"/>
    <w:rsid w:val="004F7629"/>
    <w:rsid w:val="00503B4D"/>
    <w:rsid w:val="00504EE9"/>
    <w:rsid w:val="00521576"/>
    <w:rsid w:val="005250E6"/>
    <w:rsid w:val="005264D3"/>
    <w:rsid w:val="00526AAF"/>
    <w:rsid w:val="00542D23"/>
    <w:rsid w:val="0054442C"/>
    <w:rsid w:val="00550285"/>
    <w:rsid w:val="00550418"/>
    <w:rsid w:val="00551BD3"/>
    <w:rsid w:val="00562492"/>
    <w:rsid w:val="00570574"/>
    <w:rsid w:val="00572A20"/>
    <w:rsid w:val="005821F7"/>
    <w:rsid w:val="005836F8"/>
    <w:rsid w:val="005918FA"/>
    <w:rsid w:val="00592A86"/>
    <w:rsid w:val="005A2F6E"/>
    <w:rsid w:val="005A510B"/>
    <w:rsid w:val="005B4801"/>
    <w:rsid w:val="005B6C9C"/>
    <w:rsid w:val="005C23A4"/>
    <w:rsid w:val="005D1CDF"/>
    <w:rsid w:val="005D2BB7"/>
    <w:rsid w:val="005E61A8"/>
    <w:rsid w:val="005F6419"/>
    <w:rsid w:val="006046BA"/>
    <w:rsid w:val="0060543D"/>
    <w:rsid w:val="006104DD"/>
    <w:rsid w:val="00611035"/>
    <w:rsid w:val="006130B5"/>
    <w:rsid w:val="00617400"/>
    <w:rsid w:val="00632D29"/>
    <w:rsid w:val="00661DC2"/>
    <w:rsid w:val="00664950"/>
    <w:rsid w:val="00683220"/>
    <w:rsid w:val="00687FA0"/>
    <w:rsid w:val="006A3C11"/>
    <w:rsid w:val="006B293C"/>
    <w:rsid w:val="006B7010"/>
    <w:rsid w:val="006C2AEF"/>
    <w:rsid w:val="006C3095"/>
    <w:rsid w:val="006E1151"/>
    <w:rsid w:val="006E6311"/>
    <w:rsid w:val="00701BAB"/>
    <w:rsid w:val="007145FF"/>
    <w:rsid w:val="00715B2A"/>
    <w:rsid w:val="007319A8"/>
    <w:rsid w:val="007450F1"/>
    <w:rsid w:val="00751515"/>
    <w:rsid w:val="007626B7"/>
    <w:rsid w:val="007639A2"/>
    <w:rsid w:val="0078212B"/>
    <w:rsid w:val="00784DF6"/>
    <w:rsid w:val="00785232"/>
    <w:rsid w:val="00791E43"/>
    <w:rsid w:val="007A4689"/>
    <w:rsid w:val="007B186C"/>
    <w:rsid w:val="007C1696"/>
    <w:rsid w:val="007C3ED0"/>
    <w:rsid w:val="007C5971"/>
    <w:rsid w:val="007E0273"/>
    <w:rsid w:val="007F54B9"/>
    <w:rsid w:val="00806A76"/>
    <w:rsid w:val="00811C9D"/>
    <w:rsid w:val="00816C80"/>
    <w:rsid w:val="00841BCD"/>
    <w:rsid w:val="00843E94"/>
    <w:rsid w:val="00851A8E"/>
    <w:rsid w:val="0085365B"/>
    <w:rsid w:val="00863E83"/>
    <w:rsid w:val="00875472"/>
    <w:rsid w:val="00876805"/>
    <w:rsid w:val="008826C1"/>
    <w:rsid w:val="00883DFD"/>
    <w:rsid w:val="008A1BF7"/>
    <w:rsid w:val="008A2AF7"/>
    <w:rsid w:val="008A5B0E"/>
    <w:rsid w:val="008B0961"/>
    <w:rsid w:val="008B684C"/>
    <w:rsid w:val="008C39F7"/>
    <w:rsid w:val="008D5C52"/>
    <w:rsid w:val="0090091A"/>
    <w:rsid w:val="00901D1C"/>
    <w:rsid w:val="00902356"/>
    <w:rsid w:val="009042BD"/>
    <w:rsid w:val="00904FE4"/>
    <w:rsid w:val="00913337"/>
    <w:rsid w:val="009233B1"/>
    <w:rsid w:val="0092425B"/>
    <w:rsid w:val="00936159"/>
    <w:rsid w:val="0097162F"/>
    <w:rsid w:val="009770ED"/>
    <w:rsid w:val="00977E1D"/>
    <w:rsid w:val="009B0573"/>
    <w:rsid w:val="009B7B4B"/>
    <w:rsid w:val="009B7C21"/>
    <w:rsid w:val="009D1901"/>
    <w:rsid w:val="009E6DEC"/>
    <w:rsid w:val="009F4ED2"/>
    <w:rsid w:val="00A04992"/>
    <w:rsid w:val="00A147AA"/>
    <w:rsid w:val="00A21C04"/>
    <w:rsid w:val="00A21D71"/>
    <w:rsid w:val="00A22B78"/>
    <w:rsid w:val="00A25AE5"/>
    <w:rsid w:val="00A276A6"/>
    <w:rsid w:val="00A27D23"/>
    <w:rsid w:val="00A37002"/>
    <w:rsid w:val="00A4355E"/>
    <w:rsid w:val="00A53B20"/>
    <w:rsid w:val="00A62D8D"/>
    <w:rsid w:val="00A65F6C"/>
    <w:rsid w:val="00A82090"/>
    <w:rsid w:val="00A92432"/>
    <w:rsid w:val="00A92BCD"/>
    <w:rsid w:val="00AA0E18"/>
    <w:rsid w:val="00AA1B0E"/>
    <w:rsid w:val="00AA2EE2"/>
    <w:rsid w:val="00AA47B6"/>
    <w:rsid w:val="00AC163B"/>
    <w:rsid w:val="00AC5CA7"/>
    <w:rsid w:val="00AC6058"/>
    <w:rsid w:val="00AE1B88"/>
    <w:rsid w:val="00AE2BA5"/>
    <w:rsid w:val="00AE56B1"/>
    <w:rsid w:val="00AE6D09"/>
    <w:rsid w:val="00AF1D25"/>
    <w:rsid w:val="00AF7A7C"/>
    <w:rsid w:val="00B02070"/>
    <w:rsid w:val="00B408B6"/>
    <w:rsid w:val="00B542DA"/>
    <w:rsid w:val="00B72E47"/>
    <w:rsid w:val="00B73862"/>
    <w:rsid w:val="00B73F43"/>
    <w:rsid w:val="00B80AA2"/>
    <w:rsid w:val="00B955FD"/>
    <w:rsid w:val="00BA51DA"/>
    <w:rsid w:val="00BA6B66"/>
    <w:rsid w:val="00BA6E48"/>
    <w:rsid w:val="00BB1F07"/>
    <w:rsid w:val="00BC0D6A"/>
    <w:rsid w:val="00BC6ACB"/>
    <w:rsid w:val="00BD1219"/>
    <w:rsid w:val="00BE0AF6"/>
    <w:rsid w:val="00BE1F03"/>
    <w:rsid w:val="00BE58A7"/>
    <w:rsid w:val="00BF2218"/>
    <w:rsid w:val="00C02BCD"/>
    <w:rsid w:val="00C0426B"/>
    <w:rsid w:val="00C045DF"/>
    <w:rsid w:val="00C210CB"/>
    <w:rsid w:val="00C22DC0"/>
    <w:rsid w:val="00C26D43"/>
    <w:rsid w:val="00C31962"/>
    <w:rsid w:val="00C46548"/>
    <w:rsid w:val="00C5170F"/>
    <w:rsid w:val="00C574D5"/>
    <w:rsid w:val="00C738E7"/>
    <w:rsid w:val="00C73F32"/>
    <w:rsid w:val="00C87462"/>
    <w:rsid w:val="00CA180C"/>
    <w:rsid w:val="00CA7DD0"/>
    <w:rsid w:val="00CB22B2"/>
    <w:rsid w:val="00CB732F"/>
    <w:rsid w:val="00CC3EE2"/>
    <w:rsid w:val="00CD0F0D"/>
    <w:rsid w:val="00CD7492"/>
    <w:rsid w:val="00CE3A6B"/>
    <w:rsid w:val="00D00211"/>
    <w:rsid w:val="00D0179A"/>
    <w:rsid w:val="00D06309"/>
    <w:rsid w:val="00D16159"/>
    <w:rsid w:val="00D17D4B"/>
    <w:rsid w:val="00D252AE"/>
    <w:rsid w:val="00D351EA"/>
    <w:rsid w:val="00D40288"/>
    <w:rsid w:val="00D43403"/>
    <w:rsid w:val="00D523FD"/>
    <w:rsid w:val="00D5270B"/>
    <w:rsid w:val="00D62E71"/>
    <w:rsid w:val="00D6430D"/>
    <w:rsid w:val="00D6515C"/>
    <w:rsid w:val="00D66188"/>
    <w:rsid w:val="00D731F6"/>
    <w:rsid w:val="00D740CA"/>
    <w:rsid w:val="00D85728"/>
    <w:rsid w:val="00D91AE2"/>
    <w:rsid w:val="00D95481"/>
    <w:rsid w:val="00DB0021"/>
    <w:rsid w:val="00DC7A13"/>
    <w:rsid w:val="00DE3957"/>
    <w:rsid w:val="00DF2997"/>
    <w:rsid w:val="00DF2CD0"/>
    <w:rsid w:val="00DF71AE"/>
    <w:rsid w:val="00E10532"/>
    <w:rsid w:val="00E10BC4"/>
    <w:rsid w:val="00E1415D"/>
    <w:rsid w:val="00E24AF9"/>
    <w:rsid w:val="00E323E9"/>
    <w:rsid w:val="00E34018"/>
    <w:rsid w:val="00E437D2"/>
    <w:rsid w:val="00E55751"/>
    <w:rsid w:val="00E619F5"/>
    <w:rsid w:val="00E81FFA"/>
    <w:rsid w:val="00EA2311"/>
    <w:rsid w:val="00EC7BC3"/>
    <w:rsid w:val="00ED51EC"/>
    <w:rsid w:val="00ED6B84"/>
    <w:rsid w:val="00ED7600"/>
    <w:rsid w:val="00EF6073"/>
    <w:rsid w:val="00EF698B"/>
    <w:rsid w:val="00F11364"/>
    <w:rsid w:val="00F1362C"/>
    <w:rsid w:val="00F414F1"/>
    <w:rsid w:val="00F508B8"/>
    <w:rsid w:val="00F626BB"/>
    <w:rsid w:val="00F72CB1"/>
    <w:rsid w:val="00F8215E"/>
    <w:rsid w:val="00F824F5"/>
    <w:rsid w:val="00F86086"/>
    <w:rsid w:val="00F90FAB"/>
    <w:rsid w:val="00F9374D"/>
    <w:rsid w:val="00FC29B9"/>
    <w:rsid w:val="00FC6FD3"/>
    <w:rsid w:val="00FD6A93"/>
    <w:rsid w:val="00FE305C"/>
    <w:rsid w:val="00FF0301"/>
    <w:rsid w:val="00FF14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D93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6ACB"/>
    <w:rPr>
      <w:rFonts w:ascii="Times New Roman" w:hAnsi="Times New Roman"/>
      <w:sz w:val="20"/>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Lista1,列出段落1,中等深浅网格 1 - 着色 21,列表段落1,—ño’i—Ž,¥¡¡¡¡ì¬º¥¹¥È¶ÎÂä,ÁÐ³ö¶ÎÂä,¥ê¥¹¥È¶ÎÂä,1st level - Bullet List Paragraph,Lettre d'introduction,Paragrafo elenco,Normal bullet 2,목록 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Lista1 Char,列出段落1 Char,中等深浅网格 1 - 着色 21 Char,列表段落1 Char,—ño’i—Ž Char,¥¡¡¡¡ì¬º¥¹¥È¶ÎÂä Char,ÁÐ³ö¶ÎÂä Char,¥ê¥¹¥È¶ÎÂä Char,목록 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7E0273"/>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qFormat/>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unhideWhenUsed/>
    <w:rsid w:val="00BD1219"/>
    <w:pPr>
      <w:spacing w:before="100" w:beforeAutospacing="1" w:after="100" w:afterAutospacing="1" w:line="240" w:lineRule="auto"/>
    </w:pPr>
    <w:rPr>
      <w:rFonts w:eastAsia="Times New Roman" w:cs="Times New Roman"/>
      <w:sz w:val="24"/>
      <w:szCs w:val="24"/>
    </w:rPr>
  </w:style>
  <w:style w:type="character" w:styleId="Emphasis">
    <w:name w:val="Emphasis"/>
    <w:uiPriority w:val="20"/>
    <w:qFormat/>
    <w:rsid w:val="00ED6B84"/>
    <w:rPr>
      <w:i/>
      <w:iCs/>
    </w:rPr>
  </w:style>
  <w:style w:type="paragraph" w:customStyle="1" w:styleId="TAH">
    <w:name w:val="TAH"/>
    <w:basedOn w:val="TAC"/>
    <w:link w:val="TAHCar"/>
    <w:qFormat/>
    <w:rsid w:val="00ED6B84"/>
    <w:rPr>
      <w:b/>
    </w:rPr>
  </w:style>
  <w:style w:type="paragraph" w:customStyle="1" w:styleId="TAC">
    <w:name w:val="TAC"/>
    <w:basedOn w:val="Normal"/>
    <w:link w:val="TACChar"/>
    <w:qFormat/>
    <w:rsid w:val="00ED6B84"/>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ED6B84"/>
    <w:rPr>
      <w:rFonts w:ascii="Arial" w:eastAsia="Times New Roman" w:hAnsi="Arial" w:cs="Times New Roman"/>
      <w:sz w:val="18"/>
      <w:szCs w:val="20"/>
      <w:lang w:val="en-GB" w:eastAsia="en-GB"/>
    </w:rPr>
  </w:style>
  <w:style w:type="character" w:customStyle="1" w:styleId="TAHCar">
    <w:name w:val="TAH Car"/>
    <w:link w:val="TAH"/>
    <w:qFormat/>
    <w:rsid w:val="00ED6B84"/>
    <w:rPr>
      <w:rFonts w:ascii="Arial" w:eastAsia="Times New Roman" w:hAnsi="Arial" w:cs="Times New Roman"/>
      <w:b/>
      <w:sz w:val="18"/>
      <w:szCs w:val="20"/>
      <w:lang w:val="en-GB" w:eastAsia="en-GB"/>
    </w:rPr>
  </w:style>
  <w:style w:type="paragraph" w:customStyle="1" w:styleId="TH">
    <w:name w:val="TH"/>
    <w:basedOn w:val="Normal"/>
    <w:link w:val="THChar"/>
    <w:qFormat/>
    <w:rsid w:val="00ED6B8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ED6B84"/>
    <w:rPr>
      <w:rFonts w:ascii="Arial" w:eastAsia="Times New Roman" w:hAnsi="Arial" w:cs="Times New Roman"/>
      <w:b/>
      <w:sz w:val="20"/>
      <w:szCs w:val="20"/>
      <w:lang w:val="en-GB" w:eastAsia="en-GB"/>
    </w:rPr>
  </w:style>
  <w:style w:type="paragraph" w:customStyle="1" w:styleId="TAN">
    <w:name w:val="TAN"/>
    <w:basedOn w:val="Normal"/>
    <w:link w:val="TANChar"/>
    <w:qFormat/>
    <w:rsid w:val="00ED6B84"/>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ED6B84"/>
    <w:rPr>
      <w:rFonts w:ascii="Arial" w:eastAsia="Times New Roman" w:hAnsi="Arial" w:cs="Times New Roman"/>
      <w:sz w:val="18"/>
      <w:szCs w:val="20"/>
      <w:lang w:val="en-GB" w:eastAsia="en-GB"/>
    </w:rPr>
  </w:style>
  <w:style w:type="paragraph" w:customStyle="1" w:styleId="TAR">
    <w:name w:val="TAR"/>
    <w:basedOn w:val="TAL"/>
    <w:rsid w:val="00ED6B84"/>
    <w:pPr>
      <w:jc w:val="right"/>
    </w:pPr>
  </w:style>
  <w:style w:type="paragraph" w:customStyle="1" w:styleId="TAL">
    <w:name w:val="TAL"/>
    <w:basedOn w:val="Normal"/>
    <w:link w:val="TALCar"/>
    <w:rsid w:val="00ED6B84"/>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character" w:customStyle="1" w:styleId="TALCar">
    <w:name w:val="TAL Car"/>
    <w:link w:val="TAL"/>
    <w:qFormat/>
    <w:rsid w:val="00ED6B84"/>
    <w:rPr>
      <w:rFonts w:ascii="Arial" w:eastAsia="Times New Roman" w:hAnsi="Arial" w:cs="Times New Roman"/>
      <w:sz w:val="18"/>
      <w:szCs w:val="20"/>
      <w:lang w:val="en-GB" w:eastAsia="en-GB"/>
    </w:rPr>
  </w:style>
  <w:style w:type="character" w:customStyle="1" w:styleId="ui-provider">
    <w:name w:val="ui-provider"/>
    <w:basedOn w:val="DefaultParagraphFont"/>
    <w:rsid w:val="00ED6B84"/>
  </w:style>
  <w:style w:type="paragraph" w:customStyle="1" w:styleId="ECCParagraph">
    <w:name w:val="ECC Paragraph"/>
    <w:basedOn w:val="Normal"/>
    <w:uiPriority w:val="99"/>
    <w:rsid w:val="00ED6B84"/>
    <w:pPr>
      <w:spacing w:before="240" w:after="60" w:line="240" w:lineRule="auto"/>
      <w:jc w:val="both"/>
    </w:pPr>
    <w:rPr>
      <w:rFonts w:ascii="Arial" w:hAnsi="Arial" w:cs="Arial"/>
      <w:szCs w:val="20"/>
      <w:lang w:val="en-GB" w:eastAsia="en-GB"/>
    </w:rPr>
  </w:style>
  <w:style w:type="paragraph" w:customStyle="1" w:styleId="ECCParBulleted">
    <w:name w:val="ECC Par Bulleted"/>
    <w:basedOn w:val="Normal"/>
    <w:rsid w:val="00ED6B84"/>
    <w:pPr>
      <w:numPr>
        <w:numId w:val="41"/>
      </w:numPr>
      <w:spacing w:before="240" w:after="120" w:line="240" w:lineRule="auto"/>
      <w:jc w:val="both"/>
    </w:pPr>
    <w:rPr>
      <w:rFonts w:ascii="Arial" w:hAnsi="Arial" w:cs="Arial"/>
      <w:szCs w:val="20"/>
      <w:lang w:val="en-GB" w:eastAsia="en-GB"/>
    </w:rPr>
  </w:style>
  <w:style w:type="paragraph" w:styleId="Revision">
    <w:name w:val="Revision"/>
    <w:hidden/>
    <w:uiPriority w:val="99"/>
    <w:semiHidden/>
    <w:rsid w:val="00001486"/>
    <w:pPr>
      <w:spacing w:after="0" w:line="240" w:lineRule="auto"/>
    </w:pPr>
    <w:rPr>
      <w:rFonts w:ascii="Times New Roman" w:hAnsi="Times New Roman"/>
      <w:sz w:val="20"/>
    </w:rPr>
  </w:style>
  <w:style w:type="paragraph" w:styleId="Header">
    <w:name w:val="header"/>
    <w:basedOn w:val="Normal"/>
    <w:link w:val="HeaderChar"/>
    <w:uiPriority w:val="99"/>
    <w:unhideWhenUsed/>
    <w:rsid w:val="00F113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1364"/>
    <w:rPr>
      <w:rFonts w:ascii="Times New Roman" w:hAnsi="Times New Roman"/>
      <w:sz w:val="20"/>
    </w:rPr>
  </w:style>
  <w:style w:type="paragraph" w:styleId="Footer">
    <w:name w:val="footer"/>
    <w:basedOn w:val="Normal"/>
    <w:link w:val="FooterChar"/>
    <w:uiPriority w:val="99"/>
    <w:unhideWhenUsed/>
    <w:rsid w:val="00F113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1364"/>
    <w:rPr>
      <w:rFonts w:ascii="Times New Roman" w:hAnsi="Times New Roman"/>
      <w:sz w:val="20"/>
    </w:rPr>
  </w:style>
  <w:style w:type="paragraph" w:customStyle="1" w:styleId="CRCoverPage">
    <w:name w:val="CR Cover Page"/>
    <w:link w:val="CRCoverPageChar"/>
    <w:rsid w:val="00F86086"/>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locked/>
    <w:rsid w:val="00F86086"/>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74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1909</Words>
  <Characters>10883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2023-05-15T14:01:00Z</dcterms:created>
  <dcterms:modified xsi:type="dcterms:W3CDTF">2023-05-15T15:23:00Z</dcterms:modified>
</cp:coreProperties>
</file>