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4EEC8" w14:textId="0058130C"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4F277C" w:rsidRPr="004F277C">
        <w:rPr>
          <w:rFonts w:ascii="Arial" w:eastAsia="SimSun" w:hAnsi="Arial" w:cs="Times New Roman"/>
          <w:b/>
          <w:bCs/>
          <w:sz w:val="24"/>
          <w:szCs w:val="20"/>
        </w:rPr>
        <w:t>R4-2308038</w:t>
      </w:r>
    </w:p>
    <w:p w14:paraId="58897779"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2CB950D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C6054C6"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6A120FE" w14:textId="2645DA0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52C41" w:rsidRPr="00B52C41">
        <w:rPr>
          <w:rFonts w:ascii="Arial" w:eastAsia="Calibri" w:hAnsi="Arial" w:cs="Arial"/>
          <w:b/>
          <w:bCs/>
          <w:sz w:val="24"/>
        </w:rPr>
        <w:t>On NCR RRM Requirements</w:t>
      </w:r>
    </w:p>
    <w:p w14:paraId="1E7BB426" w14:textId="7BD9ACB7"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4F277C" w:rsidRPr="004F277C">
        <w:rPr>
          <w:rFonts w:ascii="Arial" w:eastAsia="MS Mincho" w:hAnsi="Arial" w:cs="Arial"/>
          <w:b/>
          <w:bCs/>
          <w:sz w:val="24"/>
          <w:szCs w:val="20"/>
        </w:rPr>
        <w:t>8.29.5</w:t>
      </w:r>
    </w:p>
    <w:p w14:paraId="0ABAE3A9"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EBC734E" w14:textId="77777777" w:rsidR="00E323E9" w:rsidRPr="008C39F7" w:rsidRDefault="00E323E9" w:rsidP="00841BCD">
      <w:pPr>
        <w:tabs>
          <w:tab w:val="left" w:pos="1985"/>
        </w:tabs>
        <w:rPr>
          <w:rFonts w:ascii="Arial" w:eastAsia="Calibri" w:hAnsi="Arial" w:cs="Arial"/>
          <w:b/>
          <w:bCs/>
          <w:sz w:val="24"/>
        </w:rPr>
      </w:pPr>
    </w:p>
    <w:p w14:paraId="5EA057EB"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1BA52BBB" w14:textId="26F09562" w:rsidR="0060543D" w:rsidRDefault="00134221" w:rsidP="005C23A4">
      <w:r>
        <w:rPr>
          <w:lang w:val="en-150"/>
        </w:rPr>
        <w:t>At</w:t>
      </w:r>
      <w:r w:rsidR="00470476">
        <w:t xml:space="preserve"> </w:t>
      </w:r>
      <w:r w:rsidR="00892D80">
        <w:t>RAN4#106bis-e</w:t>
      </w:r>
      <w:r>
        <w:rPr>
          <w:lang w:val="en-150"/>
        </w:rPr>
        <w:t xml:space="preserve"> meeting,</w:t>
      </w:r>
      <w:r w:rsidR="002E4290">
        <w:t xml:space="preserve"> </w:t>
      </w:r>
      <w:r w:rsidR="00A721BB">
        <w:rPr>
          <w:lang w:val="en-150"/>
        </w:rPr>
        <w:t>consensus was</w:t>
      </w:r>
      <w:r w:rsidR="002E4290">
        <w:t xml:space="preserve"> rea</w:t>
      </w:r>
      <w:r w:rsidR="000E3B6E">
        <w:t xml:space="preserve">ched </w:t>
      </w:r>
      <w:r w:rsidR="00435316">
        <w:t xml:space="preserve">on many </w:t>
      </w:r>
      <w:r w:rsidR="00A721BB">
        <w:rPr>
          <w:lang w:val="en-150"/>
        </w:rPr>
        <w:t>of the NCR-MT RRM requirements</w:t>
      </w:r>
      <w:r w:rsidR="00DB16AB">
        <w:t xml:space="preserve"> </w:t>
      </w:r>
      <w:r w:rsidR="00315001">
        <w:fldChar w:fldCharType="begin"/>
      </w:r>
      <w:r w:rsidR="00315001">
        <w:instrText xml:space="preserve"> REF _Ref134565425 \r \h </w:instrText>
      </w:r>
      <w:r w:rsidR="00315001">
        <w:fldChar w:fldCharType="separate"/>
      </w:r>
      <w:r w:rsidR="00FB3122">
        <w:t>[1]</w:t>
      </w:r>
      <w:r w:rsidR="00315001">
        <w:fldChar w:fldCharType="end"/>
      </w:r>
      <w:r w:rsidR="00315001">
        <w:t>.</w:t>
      </w:r>
      <w:r w:rsidR="00744181">
        <w:t xml:space="preserve"> However, there are a few issues which remained open</w:t>
      </w:r>
      <w:r w:rsidR="002244EE">
        <w:t xml:space="preserve"> as shown below.</w:t>
      </w:r>
      <w:r w:rsidR="00315001">
        <w:t xml:space="preserve"> </w:t>
      </w:r>
      <w:r w:rsidR="000E3B6E">
        <w:t xml:space="preserve">For several </w:t>
      </w:r>
      <w:r w:rsidR="001113DE">
        <w:t>RRM procedures, agreements were reach</w:t>
      </w:r>
      <w:r w:rsidR="002244EE">
        <w:t>ed</w:t>
      </w:r>
      <w:r w:rsidR="001113DE">
        <w:t xml:space="preserve"> </w:t>
      </w:r>
      <w:r w:rsidR="00B76464">
        <w:t>to</w:t>
      </w:r>
      <w:r w:rsidR="001113DE">
        <w:t xml:space="preserve"> defi</w:t>
      </w:r>
      <w:r w:rsidR="00B76464">
        <w:t>ne</w:t>
      </w:r>
      <w:r w:rsidR="001113DE">
        <w:t xml:space="preserve"> the requirements</w:t>
      </w:r>
      <w:r w:rsidR="009045C9">
        <w:t xml:space="preserve">; </w:t>
      </w:r>
      <w:r w:rsidR="00CC3B26">
        <w:t>however,</w:t>
      </w:r>
      <w:r w:rsidR="009045C9">
        <w:t xml:space="preserve"> </w:t>
      </w:r>
      <w:r w:rsidR="00056E37">
        <w:t>requirements</w:t>
      </w:r>
      <w:r w:rsidR="009045C9">
        <w:t xml:space="preserve"> for those procedures </w:t>
      </w:r>
      <w:r w:rsidR="00056E37">
        <w:t>remains</w:t>
      </w:r>
      <w:r w:rsidR="009045C9">
        <w:t xml:space="preserve"> to be specified</w:t>
      </w:r>
      <w:r w:rsidR="002244EE">
        <w:t xml:space="preserve"> (shown in </w:t>
      </w:r>
      <w:r w:rsidR="005F2E46" w:rsidRPr="005F2E46">
        <w:rPr>
          <w:highlight w:val="green"/>
        </w:rPr>
        <w:t>green</w:t>
      </w:r>
      <w:r w:rsidR="00D52E2A">
        <w:t>)</w:t>
      </w:r>
      <w:r w:rsidR="009045C9">
        <w:t>.</w:t>
      </w:r>
      <w:r w:rsidR="00CC3B26">
        <w:t xml:space="preserve"> </w:t>
      </w:r>
      <w:r w:rsidR="000357E0">
        <w:t>For a few</w:t>
      </w:r>
      <w:r w:rsidR="00D52E2A">
        <w:t xml:space="preserve"> other issues, further discussions are required</w:t>
      </w:r>
      <w:r w:rsidR="00EC66C6">
        <w:t xml:space="preserve"> (shown in </w:t>
      </w:r>
      <w:r w:rsidR="00EC66C6" w:rsidRPr="00EC66C6">
        <w:rPr>
          <w:highlight w:val="yellow"/>
        </w:rPr>
        <w:t>yellow</w:t>
      </w:r>
      <w:r w:rsidR="00EC66C6">
        <w:t>)</w:t>
      </w:r>
      <w:r w:rsidR="00184EE2">
        <w:t xml:space="preserve">. </w:t>
      </w:r>
    </w:p>
    <w:tbl>
      <w:tblPr>
        <w:tblStyle w:val="TableGrid"/>
        <w:tblW w:w="0" w:type="auto"/>
        <w:jc w:val="center"/>
        <w:tblLook w:val="04A0" w:firstRow="1" w:lastRow="0" w:firstColumn="1" w:lastColumn="0" w:noHBand="0" w:noVBand="1"/>
      </w:tblPr>
      <w:tblGrid>
        <w:gridCol w:w="9000"/>
      </w:tblGrid>
      <w:tr w:rsidR="00A520D9" w:rsidRPr="008C39F7" w14:paraId="791C138A" w14:textId="77777777" w:rsidTr="00EA0E9F">
        <w:trPr>
          <w:jc w:val="center"/>
        </w:trPr>
        <w:tc>
          <w:tcPr>
            <w:tcW w:w="9000" w:type="dxa"/>
          </w:tcPr>
          <w:p w14:paraId="5BF45905" w14:textId="77777777" w:rsidR="00274655" w:rsidRDefault="00274655" w:rsidP="00274655">
            <w:pPr>
              <w:spacing w:line="252" w:lineRule="auto"/>
              <w:rPr>
                <w:u w:val="single"/>
              </w:rPr>
            </w:pPr>
            <w:r>
              <w:rPr>
                <w:u w:val="single"/>
              </w:rPr>
              <w:t xml:space="preserve">Issue 1-1: RRC re-establishment </w:t>
            </w:r>
          </w:p>
          <w:p w14:paraId="48080D00" w14:textId="77777777" w:rsidR="00274655" w:rsidRDefault="00274655" w:rsidP="00274655">
            <w:pPr>
              <w:pStyle w:val="ListParagraph"/>
              <w:numPr>
                <w:ilvl w:val="0"/>
                <w:numId w:val="27"/>
              </w:numPr>
              <w:overflowPunct w:val="0"/>
              <w:autoSpaceDE w:val="0"/>
              <w:autoSpaceDN w:val="0"/>
              <w:adjustRightInd w:val="0"/>
              <w:spacing w:after="180" w:line="252" w:lineRule="auto"/>
              <w:ind w:left="644" w:firstLineChars="200" w:firstLine="400"/>
              <w:contextualSpacing w:val="0"/>
              <w:rPr>
                <w:lang w:eastAsia="ja-JP"/>
              </w:rPr>
            </w:pPr>
            <w:r>
              <w:rPr>
                <w:lang w:eastAsia="ja-JP"/>
              </w:rPr>
              <w:t>Agreements</w:t>
            </w:r>
          </w:p>
          <w:p w14:paraId="77E7A053" w14:textId="77777777" w:rsidR="00274655" w:rsidRPr="005F2E46" w:rsidRDefault="00274655" w:rsidP="00274655">
            <w:pPr>
              <w:pStyle w:val="ListParagraph"/>
              <w:numPr>
                <w:ilvl w:val="1"/>
                <w:numId w:val="27"/>
              </w:numPr>
              <w:overflowPunct w:val="0"/>
              <w:autoSpaceDE w:val="0"/>
              <w:autoSpaceDN w:val="0"/>
              <w:adjustRightInd w:val="0"/>
              <w:spacing w:after="180" w:line="252" w:lineRule="auto"/>
              <w:ind w:firstLineChars="200" w:firstLine="400"/>
              <w:contextualSpacing w:val="0"/>
              <w:rPr>
                <w:highlight w:val="green"/>
                <w:lang w:eastAsia="ja-JP"/>
              </w:rPr>
            </w:pPr>
            <w:r w:rsidRPr="005F2E46">
              <w:rPr>
                <w:bCs/>
                <w:highlight w:val="green"/>
              </w:rPr>
              <w:t>Define the RRC re-establishment requirement for LA NCR-MT only in Rel-18</w:t>
            </w:r>
          </w:p>
          <w:p w14:paraId="2DE8C32A" w14:textId="77777777" w:rsidR="009D79A4" w:rsidRDefault="009D79A4" w:rsidP="009D79A4">
            <w:pPr>
              <w:spacing w:line="252" w:lineRule="auto"/>
              <w:rPr>
                <w:u w:val="single"/>
              </w:rPr>
            </w:pPr>
            <w:r>
              <w:rPr>
                <w:u w:val="single"/>
              </w:rPr>
              <w:t xml:space="preserve">Issue 2-1:  Initial transmit timing requirement </w:t>
            </w:r>
            <w:proofErr w:type="spellStart"/>
            <w:r>
              <w:rPr>
                <w:u w:val="single"/>
              </w:rPr>
              <w:t>Te</w:t>
            </w:r>
            <w:proofErr w:type="spellEnd"/>
          </w:p>
          <w:p w14:paraId="5593F3EE" w14:textId="77777777" w:rsidR="009D79A4" w:rsidRDefault="009D79A4" w:rsidP="009D79A4">
            <w:pPr>
              <w:pStyle w:val="ListParagraph"/>
              <w:numPr>
                <w:ilvl w:val="0"/>
                <w:numId w:val="27"/>
              </w:numPr>
              <w:overflowPunct w:val="0"/>
              <w:autoSpaceDE w:val="0"/>
              <w:autoSpaceDN w:val="0"/>
              <w:adjustRightInd w:val="0"/>
              <w:spacing w:after="180" w:line="252" w:lineRule="auto"/>
              <w:ind w:left="644" w:firstLineChars="200" w:firstLine="400"/>
              <w:contextualSpacing w:val="0"/>
              <w:rPr>
                <w:lang w:eastAsia="ja-JP"/>
              </w:rPr>
            </w:pPr>
            <w:r>
              <w:rPr>
                <w:lang w:eastAsia="ja-JP"/>
              </w:rPr>
              <w:t>Agreements</w:t>
            </w:r>
          </w:p>
          <w:p w14:paraId="2801CADA" w14:textId="77777777" w:rsidR="009D79A4" w:rsidRPr="005F2E46" w:rsidRDefault="009D79A4" w:rsidP="009D79A4">
            <w:pPr>
              <w:pStyle w:val="ListParagraph"/>
              <w:numPr>
                <w:ilvl w:val="1"/>
                <w:numId w:val="27"/>
              </w:numPr>
              <w:overflowPunct w:val="0"/>
              <w:autoSpaceDE w:val="0"/>
              <w:autoSpaceDN w:val="0"/>
              <w:adjustRightInd w:val="0"/>
              <w:spacing w:after="180" w:line="252" w:lineRule="auto"/>
              <w:ind w:firstLineChars="200" w:firstLine="400"/>
              <w:contextualSpacing w:val="0"/>
              <w:rPr>
                <w:highlight w:val="green"/>
                <w:lang w:eastAsia="ja-JP"/>
              </w:rPr>
            </w:pPr>
            <w:r w:rsidRPr="005F2E46">
              <w:rPr>
                <w:bCs/>
                <w:highlight w:val="green"/>
              </w:rPr>
              <w:t xml:space="preserve">Define </w:t>
            </w:r>
            <w:proofErr w:type="spellStart"/>
            <w:r w:rsidRPr="005F2E46">
              <w:rPr>
                <w:bCs/>
                <w:highlight w:val="green"/>
              </w:rPr>
              <w:t>Te</w:t>
            </w:r>
            <w:proofErr w:type="spellEnd"/>
            <w:r w:rsidRPr="005F2E46">
              <w:rPr>
                <w:bCs/>
                <w:highlight w:val="green"/>
              </w:rPr>
              <w:t xml:space="preserve"> requirement for WA and LA NCR-MT</w:t>
            </w:r>
          </w:p>
          <w:p w14:paraId="25822147" w14:textId="77777777" w:rsidR="00B4225D" w:rsidRDefault="00B4225D" w:rsidP="00FE6D32">
            <w:pPr>
              <w:rPr>
                <w:u w:val="single"/>
              </w:rPr>
            </w:pPr>
          </w:p>
          <w:p w14:paraId="0D40AE2F" w14:textId="77777777" w:rsidR="00F92858" w:rsidRDefault="00F92858" w:rsidP="00F92858">
            <w:pPr>
              <w:rPr>
                <w:u w:val="single"/>
              </w:rPr>
            </w:pPr>
            <w:r>
              <w:rPr>
                <w:u w:val="single"/>
              </w:rPr>
              <w:t>Issue 4-2: adaptive beamforming for NCR access link</w:t>
            </w:r>
          </w:p>
          <w:p w14:paraId="0566FE12" w14:textId="77777777" w:rsidR="00F92858" w:rsidRDefault="00F92858" w:rsidP="00F92858">
            <w:pPr>
              <w:pStyle w:val="ListParagraph"/>
              <w:numPr>
                <w:ilvl w:val="0"/>
                <w:numId w:val="27"/>
              </w:numPr>
              <w:overflowPunct w:val="0"/>
              <w:autoSpaceDE w:val="0"/>
              <w:autoSpaceDN w:val="0"/>
              <w:adjustRightInd w:val="0"/>
              <w:spacing w:after="180" w:line="252" w:lineRule="auto"/>
              <w:ind w:left="644" w:firstLineChars="200" w:firstLine="400"/>
              <w:contextualSpacing w:val="0"/>
              <w:rPr>
                <w:lang w:eastAsia="ja-JP"/>
              </w:rPr>
            </w:pPr>
            <w:r>
              <w:rPr>
                <w:lang w:eastAsia="ja-JP"/>
              </w:rPr>
              <w:t>Agreements</w:t>
            </w:r>
          </w:p>
          <w:p w14:paraId="0EDC18C7" w14:textId="4CA23FC3" w:rsidR="00BC706A" w:rsidRPr="00EC66C6" w:rsidRDefault="00F92858" w:rsidP="00F92858">
            <w:pPr>
              <w:pStyle w:val="ListParagraph"/>
              <w:numPr>
                <w:ilvl w:val="1"/>
                <w:numId w:val="27"/>
              </w:numPr>
              <w:overflowPunct w:val="0"/>
              <w:autoSpaceDE w:val="0"/>
              <w:autoSpaceDN w:val="0"/>
              <w:adjustRightInd w:val="0"/>
              <w:spacing w:after="180" w:line="252" w:lineRule="auto"/>
              <w:ind w:firstLineChars="200" w:firstLine="400"/>
              <w:contextualSpacing w:val="0"/>
              <w:rPr>
                <w:highlight w:val="yellow"/>
                <w:lang w:eastAsia="ja-JP"/>
              </w:rPr>
            </w:pPr>
            <w:r w:rsidRPr="00EC66C6">
              <w:rPr>
                <w:rFonts w:eastAsiaTheme="minorEastAsia"/>
                <w:iCs/>
                <w:highlight w:val="yellow"/>
              </w:rPr>
              <w:t xml:space="preserve">FFS whether to define </w:t>
            </w:r>
            <w:r w:rsidRPr="00EC66C6">
              <w:rPr>
                <w:highlight w:val="yellow"/>
              </w:rPr>
              <w:t>RRM requirement for NCR-</w:t>
            </w:r>
            <w:proofErr w:type="spellStart"/>
            <w:r w:rsidRPr="00EC66C6">
              <w:rPr>
                <w:highlight w:val="yellow"/>
              </w:rPr>
              <w:t>Fwd</w:t>
            </w:r>
            <w:proofErr w:type="spellEnd"/>
            <w:r w:rsidRPr="00EC66C6">
              <w:rPr>
                <w:highlight w:val="yellow"/>
              </w:rPr>
              <w:t xml:space="preserve"> access link for beam configuration and switching latency.</w:t>
            </w:r>
          </w:p>
          <w:p w14:paraId="139C2C56" w14:textId="77777777" w:rsidR="00B4225D" w:rsidRDefault="00B4225D" w:rsidP="00FE6D32">
            <w:pPr>
              <w:rPr>
                <w:u w:val="single"/>
              </w:rPr>
            </w:pPr>
          </w:p>
          <w:p w14:paraId="2C10B94B" w14:textId="0C437996" w:rsidR="00FE6D32" w:rsidRDefault="00FE6D32" w:rsidP="00FE6D32">
            <w:pPr>
              <w:rPr>
                <w:u w:val="single"/>
              </w:rPr>
            </w:pPr>
            <w:r>
              <w:rPr>
                <w:u w:val="single"/>
              </w:rPr>
              <w:t>Issue 5-1:  BFD/BFR/RLM for NCR-MT</w:t>
            </w:r>
          </w:p>
          <w:p w14:paraId="18A12A5F" w14:textId="77777777" w:rsidR="00FE6D32" w:rsidRDefault="00FE6D32" w:rsidP="00FE6D32">
            <w:pPr>
              <w:pStyle w:val="ListParagraph"/>
              <w:numPr>
                <w:ilvl w:val="0"/>
                <w:numId w:val="27"/>
              </w:numPr>
              <w:overflowPunct w:val="0"/>
              <w:autoSpaceDE w:val="0"/>
              <w:autoSpaceDN w:val="0"/>
              <w:adjustRightInd w:val="0"/>
              <w:spacing w:after="180" w:line="252" w:lineRule="auto"/>
              <w:ind w:left="644" w:firstLineChars="200" w:firstLine="400"/>
              <w:contextualSpacing w:val="0"/>
              <w:rPr>
                <w:bCs/>
              </w:rPr>
            </w:pPr>
            <w:r>
              <w:rPr>
                <w:bCs/>
              </w:rPr>
              <w:t>Agreements</w:t>
            </w:r>
          </w:p>
          <w:p w14:paraId="79E333DC" w14:textId="77777777" w:rsidR="00FE6D32" w:rsidRDefault="00FE6D32" w:rsidP="00FE6D32">
            <w:pPr>
              <w:pStyle w:val="ListParagraph"/>
              <w:numPr>
                <w:ilvl w:val="1"/>
                <w:numId w:val="27"/>
              </w:numPr>
              <w:overflowPunct w:val="0"/>
              <w:autoSpaceDE w:val="0"/>
              <w:autoSpaceDN w:val="0"/>
              <w:adjustRightInd w:val="0"/>
              <w:spacing w:after="180" w:line="252" w:lineRule="auto"/>
              <w:ind w:firstLineChars="200" w:firstLine="400"/>
              <w:contextualSpacing w:val="0"/>
              <w:rPr>
                <w:bCs/>
              </w:rPr>
            </w:pPr>
            <w:r>
              <w:t>For LA NCR-MT</w:t>
            </w:r>
          </w:p>
          <w:p w14:paraId="1C49655A" w14:textId="77777777" w:rsidR="00FE6D32" w:rsidRPr="005F2E46" w:rsidRDefault="00FE6D32" w:rsidP="00FE6D32">
            <w:pPr>
              <w:pStyle w:val="ListParagraph"/>
              <w:numPr>
                <w:ilvl w:val="2"/>
                <w:numId w:val="27"/>
              </w:numPr>
              <w:overflowPunct w:val="0"/>
              <w:autoSpaceDE w:val="0"/>
              <w:autoSpaceDN w:val="0"/>
              <w:adjustRightInd w:val="0"/>
              <w:spacing w:after="180" w:line="252" w:lineRule="auto"/>
              <w:ind w:firstLineChars="200" w:firstLine="400"/>
              <w:contextualSpacing w:val="0"/>
              <w:rPr>
                <w:bCs/>
                <w:highlight w:val="green"/>
              </w:rPr>
            </w:pPr>
            <w:r w:rsidRPr="005F2E46">
              <w:rPr>
                <w:highlight w:val="green"/>
              </w:rPr>
              <w:t>Define RLM/BFD/BFR requirements</w:t>
            </w:r>
          </w:p>
          <w:p w14:paraId="46C1ECDC" w14:textId="77777777" w:rsidR="00FE6D32" w:rsidRDefault="00FE6D32" w:rsidP="00FE6D32">
            <w:pPr>
              <w:pStyle w:val="ListParagraph"/>
              <w:numPr>
                <w:ilvl w:val="1"/>
                <w:numId w:val="27"/>
              </w:numPr>
              <w:overflowPunct w:val="0"/>
              <w:autoSpaceDE w:val="0"/>
              <w:autoSpaceDN w:val="0"/>
              <w:adjustRightInd w:val="0"/>
              <w:spacing w:after="180" w:line="252" w:lineRule="auto"/>
              <w:ind w:firstLineChars="200" w:firstLine="400"/>
              <w:contextualSpacing w:val="0"/>
              <w:rPr>
                <w:bCs/>
              </w:rPr>
            </w:pPr>
            <w:r>
              <w:t>For WA NCR-MT</w:t>
            </w:r>
          </w:p>
          <w:p w14:paraId="18A8927C" w14:textId="77777777" w:rsidR="00FE6D32" w:rsidRDefault="00FE6D32" w:rsidP="00FE6D32">
            <w:pPr>
              <w:pStyle w:val="ListParagraph"/>
              <w:numPr>
                <w:ilvl w:val="2"/>
                <w:numId w:val="27"/>
              </w:numPr>
              <w:overflowPunct w:val="0"/>
              <w:autoSpaceDE w:val="0"/>
              <w:autoSpaceDN w:val="0"/>
              <w:adjustRightInd w:val="0"/>
              <w:spacing w:after="180" w:line="252" w:lineRule="auto"/>
              <w:ind w:firstLineChars="200" w:firstLine="400"/>
              <w:contextualSpacing w:val="0"/>
              <w:rPr>
                <w:bCs/>
              </w:rPr>
            </w:pPr>
            <w:r>
              <w:t>Do not define BFD/BFR requirements</w:t>
            </w:r>
          </w:p>
          <w:p w14:paraId="408DEDC6" w14:textId="27699A90" w:rsidR="00EF272F" w:rsidRPr="00EC66C6" w:rsidRDefault="00FE6D32" w:rsidP="00FE6D32">
            <w:pPr>
              <w:pStyle w:val="ListParagraph"/>
              <w:numPr>
                <w:ilvl w:val="2"/>
                <w:numId w:val="27"/>
              </w:numPr>
              <w:overflowPunct w:val="0"/>
              <w:autoSpaceDE w:val="0"/>
              <w:autoSpaceDN w:val="0"/>
              <w:adjustRightInd w:val="0"/>
              <w:spacing w:after="180" w:line="252" w:lineRule="auto"/>
              <w:ind w:firstLineChars="200" w:firstLine="400"/>
              <w:contextualSpacing w:val="0"/>
              <w:rPr>
                <w:bCs/>
                <w:highlight w:val="yellow"/>
              </w:rPr>
            </w:pPr>
            <w:r w:rsidRPr="00EC66C6">
              <w:rPr>
                <w:bCs/>
                <w:highlight w:val="yellow"/>
              </w:rPr>
              <w:t>FFS for RLM requirements.</w:t>
            </w:r>
          </w:p>
          <w:p w14:paraId="40EDAD3F" w14:textId="77777777" w:rsidR="00A520D9" w:rsidRPr="008C39F7" w:rsidRDefault="00A520D9" w:rsidP="00EA0E9F"/>
        </w:tc>
      </w:tr>
    </w:tbl>
    <w:p w14:paraId="5CE17641" w14:textId="6A95307B" w:rsidR="00FE6D32" w:rsidRPr="008C39F7" w:rsidRDefault="00FE6D32" w:rsidP="005C23A4"/>
    <w:p w14:paraId="71A993AD" w14:textId="565F8036" w:rsidR="0060543D" w:rsidRDefault="00184EE2" w:rsidP="005C23A4">
      <w:r>
        <w:t xml:space="preserve">In this paper, we address these </w:t>
      </w:r>
      <w:r w:rsidR="00D452E4">
        <w:t xml:space="preserve">open </w:t>
      </w:r>
      <w:r w:rsidR="00BA3D9A">
        <w:t>issues.</w:t>
      </w:r>
    </w:p>
    <w:p w14:paraId="28C675A7" w14:textId="77777777" w:rsidR="00A721BB" w:rsidRPr="008C39F7" w:rsidRDefault="00A721BB" w:rsidP="005C23A4"/>
    <w:p w14:paraId="1193522E" w14:textId="77777777" w:rsidR="003B659E" w:rsidRPr="008C39F7" w:rsidRDefault="003B659E" w:rsidP="00AE56B1">
      <w:pPr>
        <w:pStyle w:val="RAN4H1"/>
      </w:pPr>
      <w:bookmarkStart w:id="4" w:name="_Toc116995842"/>
      <w:r w:rsidRPr="008C39F7">
        <w:lastRenderedPageBreak/>
        <w:t>Discussion</w:t>
      </w:r>
      <w:bookmarkEnd w:id="4"/>
    </w:p>
    <w:p w14:paraId="00C5AA42" w14:textId="750FF1AD" w:rsidR="00A8710A" w:rsidRDefault="00E6369D" w:rsidP="00E6369D">
      <w:pPr>
        <w:pStyle w:val="RAN4H2"/>
      </w:pPr>
      <w:r>
        <w:t>Requirements for RRC Re-establishment</w:t>
      </w:r>
    </w:p>
    <w:p w14:paraId="55C7A269" w14:textId="769F95D5" w:rsidR="00E6369D" w:rsidRDefault="00A721BB" w:rsidP="00E6369D">
      <w:r>
        <w:rPr>
          <w:lang w:val="en-150"/>
        </w:rPr>
        <w:t>At</w:t>
      </w:r>
      <w:r>
        <w:t xml:space="preserve"> </w:t>
      </w:r>
      <w:r w:rsidR="00CB5375">
        <w:t>RAN4#106bis</w:t>
      </w:r>
      <w:r>
        <w:rPr>
          <w:lang w:val="en-150"/>
        </w:rPr>
        <w:t>-e</w:t>
      </w:r>
      <w:r w:rsidR="00CB5375">
        <w:t xml:space="preserve">, it has been agreed to define the RRC Re-establishment </w:t>
      </w:r>
      <w:r w:rsidR="0098265C">
        <w:t xml:space="preserve">requirements for LA NCR only for Rel-18. </w:t>
      </w:r>
      <w:r w:rsidR="005E0300">
        <w:t xml:space="preserve">Considering the similarity in deployments of </w:t>
      </w:r>
      <w:r w:rsidR="000C575C">
        <w:t xml:space="preserve">NCR with that of IAB, we recommend </w:t>
      </w:r>
      <w:r w:rsidR="00E61FCA">
        <w:t>using</w:t>
      </w:r>
      <w:r w:rsidR="000C575C">
        <w:t xml:space="preserve"> the </w:t>
      </w:r>
      <w:r w:rsidR="005B6160">
        <w:t xml:space="preserve">requirements for </w:t>
      </w:r>
      <w:r w:rsidR="00F7430D">
        <w:t xml:space="preserve">RRC </w:t>
      </w:r>
      <w:r w:rsidR="005B6160">
        <w:t xml:space="preserve">Re-establishment procedure as described in </w:t>
      </w:r>
      <w:r w:rsidR="00E64A4E">
        <w:t>Clause 12.1.1.1 of 3GPP TS 38.174 for IAB-MT</w:t>
      </w:r>
      <w:r w:rsidR="00995425">
        <w:t>.</w:t>
      </w:r>
    </w:p>
    <w:p w14:paraId="78C3023F" w14:textId="403D18F0" w:rsidR="00C85B70" w:rsidRPr="00163A1C" w:rsidRDefault="00C85B70" w:rsidP="00F77092">
      <w:pPr>
        <w:pStyle w:val="RAN4observation0"/>
      </w:pPr>
      <w:bookmarkStart w:id="5" w:name="_Toc134620327"/>
      <w:bookmarkStart w:id="6" w:name="_Toc135067087"/>
      <w:bookmarkStart w:id="7" w:name="_Toc135067101"/>
      <w:bookmarkStart w:id="8" w:name="_Toc135067112"/>
      <w:bookmarkStart w:id="9" w:name="_Toc135067146"/>
      <w:bookmarkStart w:id="10" w:name="_Ref134739718"/>
      <w:bookmarkStart w:id="11" w:name="_Toc135067147"/>
      <w:bookmarkEnd w:id="5"/>
      <w:bookmarkEnd w:id="6"/>
      <w:bookmarkEnd w:id="7"/>
      <w:bookmarkEnd w:id="8"/>
      <w:bookmarkEnd w:id="9"/>
      <w:r w:rsidRPr="00163A1C">
        <w:t>NCR</w:t>
      </w:r>
      <w:r w:rsidR="00A92071" w:rsidRPr="00163A1C">
        <w:t xml:space="preserve"> and IAB nodes have similar deployment characteristics</w:t>
      </w:r>
      <w:r w:rsidR="006A2551" w:rsidRPr="00163A1C">
        <w:t xml:space="preserve"> in terms of their location, and </w:t>
      </w:r>
      <w:r w:rsidR="005F76FC" w:rsidRPr="00163A1C">
        <w:t>Release-18 NCR</w:t>
      </w:r>
      <w:r w:rsidR="002E495D" w:rsidRPr="00163A1C">
        <w:t xml:space="preserve"> is</w:t>
      </w:r>
      <w:r w:rsidR="006A2551" w:rsidRPr="00163A1C">
        <w:t xml:space="preserve"> </w:t>
      </w:r>
      <w:r w:rsidR="005F76FC" w:rsidRPr="00163A1C">
        <w:t>intended for static deployments.</w:t>
      </w:r>
      <w:bookmarkEnd w:id="10"/>
      <w:bookmarkEnd w:id="11"/>
    </w:p>
    <w:p w14:paraId="01F6FAE4" w14:textId="7E5B4A3A" w:rsidR="00995425" w:rsidRDefault="00FC776F" w:rsidP="00995425">
      <w:pPr>
        <w:pStyle w:val="RAN4proposal"/>
      </w:pPr>
      <w:bookmarkStart w:id="12" w:name="_Toc135067148"/>
      <w:r>
        <w:t xml:space="preserve">For </w:t>
      </w:r>
      <w:r w:rsidR="00796223">
        <w:t xml:space="preserve">the </w:t>
      </w:r>
      <w:r>
        <w:t>RRC Re-establishment procedure</w:t>
      </w:r>
      <w:r w:rsidR="00796223">
        <w:t xml:space="preserve"> in LA NCR-MT, use the requirements</w:t>
      </w:r>
      <w:r w:rsidR="00E26EB9">
        <w:t xml:space="preserve"> for the RRC Re-establishment for IAB-MT as described in Clause 12.1.1.1 of 3GPP</w:t>
      </w:r>
      <w:r w:rsidR="00575A18">
        <w:t xml:space="preserve"> TS 38.174.</w:t>
      </w:r>
      <w:bookmarkEnd w:id="12"/>
    </w:p>
    <w:p w14:paraId="0F3B9141" w14:textId="77777777" w:rsidR="00A721BB" w:rsidRPr="00A721BB" w:rsidRDefault="00A721BB" w:rsidP="00F77092"/>
    <w:p w14:paraId="597B1215" w14:textId="0075E070" w:rsidR="00A8710A" w:rsidRDefault="00CC0DB9" w:rsidP="00830D3E">
      <w:pPr>
        <w:pStyle w:val="RAN4H2"/>
      </w:pPr>
      <w:r>
        <w:t>Initial Transmit Timing requirement</w:t>
      </w:r>
    </w:p>
    <w:p w14:paraId="69051CCB" w14:textId="4D491DE9" w:rsidR="00F931F2" w:rsidRPr="00F931F2" w:rsidRDefault="002833EF" w:rsidP="00F931F2">
      <w:r>
        <w:t xml:space="preserve">For the same reason </w:t>
      </w:r>
      <w:r w:rsidR="009E18F0">
        <w:t xml:space="preserve">described </w:t>
      </w:r>
      <w:r w:rsidR="001F7130">
        <w:t>in Section 2.1</w:t>
      </w:r>
      <w:r>
        <w:t xml:space="preserve"> </w:t>
      </w:r>
      <w:r w:rsidR="00D740BC">
        <w:t xml:space="preserve">for RRC Re-establishment requirement, </w:t>
      </w:r>
      <w:r w:rsidR="0093241F">
        <w:t xml:space="preserve">RAN4 should perform an analysis if the initial transmit timing requirement for IAB-MT </w:t>
      </w:r>
      <w:r w:rsidR="000F64A5">
        <w:t>can be used for LA NCR.</w:t>
      </w:r>
    </w:p>
    <w:p w14:paraId="282D4148" w14:textId="6E695234" w:rsidR="00011BFD" w:rsidRDefault="00E160C3" w:rsidP="00011BFD">
      <w:pPr>
        <w:pStyle w:val="RAN4proposal"/>
      </w:pPr>
      <w:bookmarkStart w:id="13" w:name="_Toc135067149"/>
      <w:r>
        <w:t xml:space="preserve">Determine if the </w:t>
      </w:r>
      <w:r w:rsidR="00D5321F">
        <w:t xml:space="preserve">initial transmit timing requirements for IAB-MT as described in Clause </w:t>
      </w:r>
      <w:r w:rsidR="00006E5E">
        <w:t>12.2.1 can be applied to the LA NCR-MT</w:t>
      </w:r>
      <w:r w:rsidR="00F931F2">
        <w:t xml:space="preserve"> initial transmit timing requirements.</w:t>
      </w:r>
      <w:bookmarkEnd w:id="13"/>
    </w:p>
    <w:p w14:paraId="59837AF1" w14:textId="77777777" w:rsidR="00B30831" w:rsidRPr="00B30831" w:rsidRDefault="00B30831" w:rsidP="00F77092"/>
    <w:p w14:paraId="19192723" w14:textId="486BE5D6" w:rsidR="000F64A5" w:rsidRDefault="001356B1" w:rsidP="001356B1">
      <w:pPr>
        <w:pStyle w:val="RAN4H2"/>
      </w:pPr>
      <w:r>
        <w:t>Adaptive beamforming for NCR access link</w:t>
      </w:r>
    </w:p>
    <w:p w14:paraId="3BCB0F22" w14:textId="56CAC54D" w:rsidR="00196109" w:rsidRDefault="00196109" w:rsidP="00196109">
      <w:r>
        <w:t>RAN1 agreed on NCR capability to configure the NCR-</w:t>
      </w:r>
      <w:proofErr w:type="spellStart"/>
      <w:r>
        <w:t>Fwd</w:t>
      </w:r>
      <w:proofErr w:type="spellEnd"/>
      <w:r>
        <w:t xml:space="preserve"> Access link beam based on the indication in DCI or MAC-CE. At RAN1#112, the following agreements were reached regarding the time reference for NCR-</w:t>
      </w:r>
      <w:proofErr w:type="spellStart"/>
      <w:r>
        <w:t>Fwd</w:t>
      </w:r>
      <w:proofErr w:type="spellEnd"/>
      <w:r>
        <w:t xml:space="preserve"> access link beam configuration</w:t>
      </w:r>
      <w:r w:rsidR="000F0689">
        <w:rPr>
          <w:lang w:val="en-150"/>
        </w:rPr>
        <w:t>/switching</w:t>
      </w:r>
      <w:r>
        <w:t>:</w:t>
      </w:r>
    </w:p>
    <w:tbl>
      <w:tblPr>
        <w:tblStyle w:val="TableGrid"/>
        <w:tblW w:w="0" w:type="auto"/>
        <w:tblLook w:val="04A0" w:firstRow="1" w:lastRow="0" w:firstColumn="1" w:lastColumn="0" w:noHBand="0" w:noVBand="1"/>
      </w:tblPr>
      <w:tblGrid>
        <w:gridCol w:w="9617"/>
      </w:tblGrid>
      <w:tr w:rsidR="00196109" w14:paraId="47AA9561" w14:textId="77777777" w:rsidTr="001E1715">
        <w:tc>
          <w:tcPr>
            <w:tcW w:w="9617" w:type="dxa"/>
          </w:tcPr>
          <w:p w14:paraId="781060FE" w14:textId="77777777" w:rsidR="00196109" w:rsidRPr="00D77619" w:rsidRDefault="00196109" w:rsidP="001E1715">
            <w:pPr>
              <w:rPr>
                <w:b/>
                <w:bCs/>
              </w:rPr>
            </w:pPr>
            <w:r w:rsidRPr="00D77619">
              <w:rPr>
                <w:b/>
                <w:bCs/>
              </w:rPr>
              <w:t>Agreements:</w:t>
            </w:r>
          </w:p>
          <w:p w14:paraId="2765E1B7" w14:textId="77777777" w:rsidR="00196109" w:rsidRPr="00122933" w:rsidRDefault="00196109" w:rsidP="001E1715">
            <w:r w:rsidRPr="00786520">
              <w:rPr>
                <w:b/>
                <w:bCs/>
              </w:rPr>
              <w:t>For the aperiodic beam indication</w:t>
            </w:r>
            <w:r w:rsidRPr="00122933">
              <w:t>, the reference of slot offset for each time resource is defined as the slot </w:t>
            </w:r>
            <w:proofErr w:type="spellStart"/>
            <w:r w:rsidRPr="00122933">
              <w:t>n+k</w:t>
            </w:r>
            <w:proofErr w:type="spellEnd"/>
            <w:r w:rsidRPr="00122933">
              <w:t> where n refers to the slot that NCR-MT receive the DCI carrying the indication and:</w:t>
            </w:r>
          </w:p>
          <w:p w14:paraId="0A91039F" w14:textId="77777777" w:rsidR="00196109" w:rsidRPr="00122933" w:rsidRDefault="00196109" w:rsidP="00196109">
            <w:pPr>
              <w:numPr>
                <w:ilvl w:val="0"/>
                <w:numId w:val="28"/>
              </w:numPr>
            </w:pPr>
            <w:r w:rsidRPr="00122933">
              <w:t>Option-2: k refers to the offset value [defined by NCR-MT capability and/or declared by vendor].</w:t>
            </w:r>
          </w:p>
          <w:p w14:paraId="7844B1F1" w14:textId="77777777" w:rsidR="00196109" w:rsidRDefault="00196109" w:rsidP="00196109">
            <w:pPr>
              <w:numPr>
                <w:ilvl w:val="0"/>
                <w:numId w:val="28"/>
              </w:numPr>
            </w:pPr>
            <w:r w:rsidRPr="00122933">
              <w:t>Note: This k is different from the parameter used to define the Slot offset for the time resource.</w:t>
            </w:r>
          </w:p>
          <w:p w14:paraId="7E6B59D1" w14:textId="77777777" w:rsidR="00196109" w:rsidRDefault="00196109" w:rsidP="001E1715"/>
          <w:p w14:paraId="77619D16" w14:textId="77777777" w:rsidR="00196109" w:rsidRPr="002C1CE3" w:rsidRDefault="00196109" w:rsidP="001E1715">
            <w:r w:rsidRPr="00786520">
              <w:rPr>
                <w:b/>
                <w:bCs/>
              </w:rPr>
              <w:t>For the semi-persistent beam indication</w:t>
            </w:r>
            <w:r w:rsidRPr="002C1CE3">
              <w:t xml:space="preserve">, the indicated information should be applied starting from the first slot that is after slot </w:t>
            </w:r>
            <m:oMath>
              <m:r>
                <w:rPr>
                  <w:rFonts w:ascii="Cambria Math" w:hAnsi="Cambria Math"/>
                </w:rPr>
                <m:t>n+3</m:t>
              </m:r>
              <m:sSubSup>
                <m:sSubSupPr>
                  <m:ctrlPr>
                    <w:rPr>
                      <w:rFonts w:ascii="Cambria Math" w:hAnsi="Cambria Math"/>
                      <w:i/>
                      <w:iCs/>
                    </w:rPr>
                  </m:ctrlPr>
                </m:sSubSupPr>
                <m:e>
                  <m:r>
                    <w:rPr>
                      <w:rFonts w:ascii="Cambria Math" w:hAnsi="Cambria Math"/>
                    </w:rPr>
                    <m:t>N</m:t>
                  </m:r>
                </m:e>
                <m:sub>
                  <m:r>
                    <w:rPr>
                      <w:rFonts w:ascii="Cambria Math" w:hAnsi="Cambria Math"/>
                    </w:rPr>
                    <m:t>slot</m:t>
                  </m:r>
                </m:sub>
                <m:sup>
                  <m:r>
                    <w:rPr>
                      <w:rFonts w:ascii="Cambria Math" w:hAnsi="Cambria Math"/>
                    </w:rPr>
                    <m:t>subframe,μ</m:t>
                  </m:r>
                </m:sup>
              </m:sSubSup>
            </m:oMath>
            <w:r w:rsidRPr="002C1CE3">
              <w:t xml:space="preserve">, where n refers to the slot that NCR-MT would transmit HARQ-ACK information corresponding to the PDSCH carrying the activation command and </w:t>
            </w:r>
            <m:oMath>
              <m:r>
                <w:rPr>
                  <w:rFonts w:ascii="Cambria Math" w:hAnsi="Cambria Math"/>
                </w:rPr>
                <m:t>μ</m:t>
              </m:r>
            </m:oMath>
            <w:r w:rsidRPr="002C1CE3">
              <w:t xml:space="preserve"> is the SCS configuration for the channel carrying the HARQ-ACK information.</w:t>
            </w:r>
          </w:p>
          <w:p w14:paraId="76D44010" w14:textId="77777777" w:rsidR="00196109" w:rsidRDefault="00196109" w:rsidP="001E1715"/>
        </w:tc>
      </w:tr>
    </w:tbl>
    <w:p w14:paraId="763195E8" w14:textId="77777777" w:rsidR="00196109" w:rsidRPr="00F85A05" w:rsidRDefault="00196109" w:rsidP="00196109"/>
    <w:p w14:paraId="3BD5AD4B" w14:textId="31C1AF59" w:rsidR="00C178EF" w:rsidRPr="00F77092" w:rsidRDefault="00196109" w:rsidP="00196109">
      <w:pPr>
        <w:rPr>
          <w:lang w:val="en-150"/>
        </w:rPr>
      </w:pPr>
      <w:r>
        <w:t>Access link beam switching is one of the distinguishing and essential functionalities of NCR node.</w:t>
      </w:r>
      <w:r w:rsidR="000F0689">
        <w:rPr>
          <w:lang w:val="en-150"/>
        </w:rPr>
        <w:t xml:space="preserve"> Depending on the approach</w:t>
      </w:r>
      <w:r w:rsidR="00B031B5">
        <w:rPr>
          <w:lang w:val="en-150"/>
        </w:rPr>
        <w:t>,</w:t>
      </w:r>
      <w:r w:rsidR="000F0689">
        <w:rPr>
          <w:lang w:val="en-150"/>
        </w:rPr>
        <w:t xml:space="preserve"> the access link</w:t>
      </w:r>
      <w:r w:rsidR="00B031B5">
        <w:rPr>
          <w:lang w:val="en-150"/>
        </w:rPr>
        <w:t xml:space="preserve"> beam switching can be configured in a static manner (with RRC signalling) or change dynamically. When access link beam is indicated dynamically</w:t>
      </w:r>
      <w:r>
        <w:t xml:space="preserve">, it is important to ensure that the access UEs can be scheduled by the </w:t>
      </w:r>
      <w:proofErr w:type="spellStart"/>
      <w:r>
        <w:t>gNB</w:t>
      </w:r>
      <w:proofErr w:type="spellEnd"/>
      <w:r w:rsidR="00B031B5">
        <w:rPr>
          <w:lang w:val="en-150"/>
        </w:rPr>
        <w:t xml:space="preserve"> over NCR-</w:t>
      </w:r>
      <w:proofErr w:type="spellStart"/>
      <w:r w:rsidR="00B031B5">
        <w:rPr>
          <w:lang w:val="en-150"/>
        </w:rPr>
        <w:t>Fwd</w:t>
      </w:r>
      <w:proofErr w:type="spellEnd"/>
      <w:r w:rsidR="00B031B5">
        <w:rPr>
          <w:lang w:val="en-150"/>
        </w:rPr>
        <w:t xml:space="preserve"> links</w:t>
      </w:r>
      <w:r>
        <w:t xml:space="preserve"> only when the access beam is ready.</w:t>
      </w:r>
      <w:r w:rsidR="00B031B5">
        <w:rPr>
          <w:lang w:val="en-150"/>
        </w:rPr>
        <w:t xml:space="preserve"> Otherwise, the transmitted packets might be forwarded though the wrong beam or lost completely.</w:t>
      </w:r>
    </w:p>
    <w:p w14:paraId="1E7058D7" w14:textId="4E5FFB9E" w:rsidR="00B031B5" w:rsidRDefault="00D608EF" w:rsidP="00B031B5">
      <w:pPr>
        <w:pStyle w:val="RAN4observation0"/>
        <w:rPr>
          <w:lang w:val="en-150"/>
        </w:rPr>
      </w:pPr>
      <w:bookmarkStart w:id="14" w:name="_Ref134739450"/>
      <w:bookmarkStart w:id="15" w:name="_Toc135067150"/>
      <w:r>
        <w:rPr>
          <w:lang w:val="en-150"/>
        </w:rPr>
        <w:t xml:space="preserve">To avoid any impacts on the quality of data transmission to/from the access </w:t>
      </w:r>
      <w:proofErr w:type="spellStart"/>
      <w:r>
        <w:rPr>
          <w:lang w:val="en-150"/>
        </w:rPr>
        <w:t>UEs</w:t>
      </w:r>
      <w:proofErr w:type="spellEnd"/>
      <w:r>
        <w:rPr>
          <w:lang w:val="en-150"/>
        </w:rPr>
        <w:t>, i</w:t>
      </w:r>
      <w:r w:rsidR="00B031B5">
        <w:rPr>
          <w:lang w:val="en-150"/>
        </w:rPr>
        <w:t>t is important that NCR node is strictly following the</w:t>
      </w:r>
      <w:r>
        <w:rPr>
          <w:lang w:val="en-150"/>
        </w:rPr>
        <w:t xml:space="preserve"> access link</w:t>
      </w:r>
      <w:r w:rsidR="00B031B5">
        <w:rPr>
          <w:lang w:val="en-150"/>
        </w:rPr>
        <w:t xml:space="preserve"> </w:t>
      </w:r>
      <w:r>
        <w:rPr>
          <w:lang w:val="en-150"/>
        </w:rPr>
        <w:t>beam configuration/switching procedure.</w:t>
      </w:r>
      <w:bookmarkEnd w:id="14"/>
      <w:bookmarkEnd w:id="15"/>
    </w:p>
    <w:p w14:paraId="5344AD18" w14:textId="5704C987" w:rsidR="00D608EF" w:rsidRPr="00F77092" w:rsidRDefault="00D608EF" w:rsidP="00D608EF">
      <w:pPr>
        <w:rPr>
          <w:lang w:val="en-150"/>
        </w:rPr>
      </w:pPr>
      <w:r>
        <w:rPr>
          <w:lang w:val="en-150"/>
        </w:rPr>
        <w:t>We do not think that any new procedures on top of already existing aperiodic and semi-persistent beam indication defined in RAN1 are needed. However</w:t>
      </w:r>
      <w:r w:rsidRPr="00D608EF">
        <w:rPr>
          <w:lang w:val="en-150"/>
        </w:rPr>
        <w:t xml:space="preserve">, RAN4 needs to reflect </w:t>
      </w:r>
      <w:r>
        <w:rPr>
          <w:lang w:val="en-150"/>
        </w:rPr>
        <w:t xml:space="preserve">the </w:t>
      </w:r>
      <w:r w:rsidRPr="00D608EF">
        <w:rPr>
          <w:lang w:val="en-150"/>
        </w:rPr>
        <w:t>RAN1 agreements in the core requirements</w:t>
      </w:r>
      <w:r>
        <w:rPr>
          <w:lang w:val="en-150"/>
        </w:rPr>
        <w:t>:</w:t>
      </w:r>
    </w:p>
    <w:p w14:paraId="35F69AE6" w14:textId="1A33227E" w:rsidR="001356B1" w:rsidRDefault="00196109" w:rsidP="00DD0F48">
      <w:pPr>
        <w:pStyle w:val="RAN4proposal"/>
        <w:rPr>
          <w:bCs/>
        </w:rPr>
      </w:pPr>
      <w:bookmarkStart w:id="16" w:name="_Toc135067151"/>
      <w:bookmarkStart w:id="17" w:name="_Toc131754022"/>
      <w:r>
        <w:t xml:space="preserve">RAN4 </w:t>
      </w:r>
      <w:r w:rsidR="00D608EF">
        <w:rPr>
          <w:lang w:val="en-150"/>
        </w:rPr>
        <w:t>to define core requirements on the application latency of aperiodic and semi-persistent access link beam indication</w:t>
      </w:r>
      <w:r w:rsidR="00C178EF">
        <w:rPr>
          <w:lang w:val="en-150"/>
        </w:rPr>
        <w:t>.</w:t>
      </w:r>
      <w:bookmarkEnd w:id="16"/>
      <w:bookmarkEnd w:id="17"/>
    </w:p>
    <w:p w14:paraId="141F5894" w14:textId="6B991301" w:rsidR="00F701FC" w:rsidRPr="00F77092" w:rsidRDefault="00C178EF" w:rsidP="00F701FC">
      <w:pPr>
        <w:rPr>
          <w:lang w:val="en-150"/>
        </w:rPr>
      </w:pPr>
      <w:r>
        <w:rPr>
          <w:lang w:val="en-150"/>
        </w:rPr>
        <w:lastRenderedPageBreak/>
        <w:t>Then, it is still up to RAN4 discussion how these requirements to be defined. This will also depend how the related procedures are described in RAN1 and/or RAN2 TSs.</w:t>
      </w:r>
    </w:p>
    <w:p w14:paraId="04888614" w14:textId="16529747" w:rsidR="00B031B5" w:rsidRDefault="00B031B5" w:rsidP="00F701FC">
      <w:pPr>
        <w:rPr>
          <w:lang w:val="en-150"/>
        </w:rPr>
      </w:pPr>
      <w:r>
        <w:rPr>
          <w:lang w:val="en-150"/>
        </w:rPr>
        <w:t>During the last meeting, some of the companies were also wondering whether it</w:t>
      </w:r>
      <w:r w:rsidR="00C178EF">
        <w:rPr>
          <w:lang w:val="en-150"/>
        </w:rPr>
        <w:t xml:space="preserve"> could be possible to measure the latency of access beam switching. In our view, it should be already possible based on the existing NR repeater conformance testing setup defined in Rel-17. In </w:t>
      </w:r>
      <w:r w:rsidR="00C178EF">
        <w:rPr>
          <w:lang w:val="en-150"/>
        </w:rPr>
        <w:fldChar w:fldCharType="begin"/>
      </w:r>
      <w:r w:rsidR="00C178EF">
        <w:rPr>
          <w:lang w:val="en-150"/>
        </w:rPr>
        <w:instrText xml:space="preserve"> REF _Ref134622968 \h </w:instrText>
      </w:r>
      <w:r w:rsidR="00C178EF">
        <w:rPr>
          <w:lang w:val="en-150"/>
        </w:rPr>
      </w:r>
      <w:r w:rsidR="00C178EF">
        <w:rPr>
          <w:lang w:val="en-150"/>
        </w:rPr>
        <w:fldChar w:fldCharType="separate"/>
      </w:r>
      <w:r w:rsidR="00FB3122" w:rsidRPr="00B779BD">
        <w:rPr>
          <w:highlight w:val="lightGray"/>
        </w:rPr>
        <w:t xml:space="preserve">Figure </w:t>
      </w:r>
      <w:r w:rsidR="00FB3122">
        <w:rPr>
          <w:noProof/>
          <w:highlight w:val="lightGray"/>
        </w:rPr>
        <w:t>1</w:t>
      </w:r>
      <w:r w:rsidR="00C178EF">
        <w:rPr>
          <w:lang w:val="en-150"/>
        </w:rPr>
        <w:fldChar w:fldCharType="end"/>
      </w:r>
      <w:r w:rsidR="00C178EF">
        <w:rPr>
          <w:lang w:val="en-150"/>
        </w:rPr>
        <w:t xml:space="preserve">, we show an example of EIRP measuring system set-up for </w:t>
      </w:r>
      <w:r w:rsidR="00C178EF" w:rsidRPr="00C178EF">
        <w:rPr>
          <w:lang w:val="en-150"/>
        </w:rPr>
        <w:t xml:space="preserve">conformance testing Over </w:t>
      </w:r>
      <w:proofErr w:type="gramStart"/>
      <w:r w:rsidR="00C178EF" w:rsidRPr="00C178EF">
        <w:rPr>
          <w:lang w:val="en-150"/>
        </w:rPr>
        <w:t>The</w:t>
      </w:r>
      <w:proofErr w:type="gramEnd"/>
      <w:r w:rsidR="00C178EF" w:rsidRPr="00C178EF">
        <w:rPr>
          <w:lang w:val="en-150"/>
        </w:rPr>
        <w:t xml:space="preserve"> Air (OTA) setup is described in Annex E.1 of TS 38.115-2</w:t>
      </w:r>
      <w:r w:rsidR="00C178EF">
        <w:rPr>
          <w:lang w:val="en-150"/>
        </w:rPr>
        <w:t>. Th</w:t>
      </w:r>
      <w:r w:rsidR="00F73253">
        <w:rPr>
          <w:lang w:val="en-150"/>
        </w:rPr>
        <w:t>e</w:t>
      </w:r>
      <w:r w:rsidR="00C178EF">
        <w:rPr>
          <w:lang w:val="en-150"/>
        </w:rPr>
        <w:t xml:space="preserve"> changes in the access link beam can be identified based on the changes of the signal measured by the testing antenna.</w:t>
      </w:r>
    </w:p>
    <w:p w14:paraId="16B1111E" w14:textId="2A5E30C2" w:rsidR="00C178EF" w:rsidRDefault="00C178EF" w:rsidP="00F701FC">
      <w:pPr>
        <w:rPr>
          <w:lang w:val="en-150"/>
        </w:rPr>
      </w:pPr>
    </w:p>
    <w:p w14:paraId="10E5A427" w14:textId="06CFF754" w:rsidR="00C178EF" w:rsidRPr="00B779BD" w:rsidRDefault="00C178EF" w:rsidP="00C178EF">
      <w:pPr>
        <w:jc w:val="center"/>
        <w:rPr>
          <w:highlight w:val="lightGray"/>
        </w:rPr>
      </w:pPr>
      <w:r w:rsidRPr="00843434">
        <w:rPr>
          <w:rFonts w:ascii="Arial" w:eastAsia="DengXian" w:hAnsi="Arial" w:cs="Times New Roman"/>
          <w:b/>
          <w:noProof/>
          <w:szCs w:val="20"/>
          <w:lang w:val="en-GB"/>
        </w:rPr>
        <w:drawing>
          <wp:inline distT="0" distB="0" distL="114300" distR="114300" wp14:anchorId="735002E4" wp14:editId="5F8BD991">
            <wp:extent cx="5676900" cy="3489960"/>
            <wp:effectExtent l="0" t="0" r="0" b="1524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9"/>
                    <pic:cNvPicPr>
                      <a:picLocks noChangeAspect="1"/>
                    </pic:cNvPicPr>
                  </pic:nvPicPr>
                  <pic:blipFill>
                    <a:blip r:embed="rId13"/>
                    <a:stretch>
                      <a:fillRect/>
                    </a:stretch>
                  </pic:blipFill>
                  <pic:spPr>
                    <a:xfrm>
                      <a:off x="0" y="0"/>
                      <a:ext cx="5676900" cy="3489960"/>
                    </a:xfrm>
                    <a:prstGeom prst="rect">
                      <a:avLst/>
                    </a:prstGeom>
                    <a:noFill/>
                    <a:ln>
                      <a:noFill/>
                    </a:ln>
                  </pic:spPr>
                </pic:pic>
              </a:graphicData>
            </a:graphic>
          </wp:inline>
        </w:drawing>
      </w:r>
    </w:p>
    <w:p w14:paraId="54D7397E" w14:textId="25537E3E" w:rsidR="00C178EF" w:rsidRPr="00F77092" w:rsidRDefault="00C178EF" w:rsidP="00C178EF">
      <w:pPr>
        <w:pStyle w:val="Caption"/>
        <w:rPr>
          <w:highlight w:val="lightGray"/>
          <w:lang w:val="en-150"/>
        </w:rPr>
      </w:pPr>
      <w:bookmarkStart w:id="18" w:name="_Ref134622968"/>
      <w:r w:rsidRPr="00B779BD">
        <w:rPr>
          <w:highlight w:val="lightGray"/>
        </w:rPr>
        <w:t xml:space="preserve">Figure </w:t>
      </w:r>
      <w:r w:rsidRPr="00B779BD">
        <w:rPr>
          <w:highlight w:val="lightGray"/>
        </w:rPr>
        <w:fldChar w:fldCharType="begin"/>
      </w:r>
      <w:r w:rsidRPr="00B779BD">
        <w:rPr>
          <w:highlight w:val="lightGray"/>
        </w:rPr>
        <w:instrText xml:space="preserve"> SEQ Figure \* ARABIC </w:instrText>
      </w:r>
      <w:r w:rsidRPr="00B779BD">
        <w:rPr>
          <w:highlight w:val="lightGray"/>
        </w:rPr>
        <w:fldChar w:fldCharType="separate"/>
      </w:r>
      <w:r w:rsidR="00FB3122">
        <w:rPr>
          <w:noProof/>
          <w:highlight w:val="lightGray"/>
        </w:rPr>
        <w:t>1</w:t>
      </w:r>
      <w:r w:rsidRPr="00B779BD">
        <w:rPr>
          <w:noProof/>
          <w:highlight w:val="lightGray"/>
        </w:rPr>
        <w:fldChar w:fldCharType="end"/>
      </w:r>
      <w:bookmarkEnd w:id="18"/>
      <w:r w:rsidRPr="00B779BD">
        <w:rPr>
          <w:highlight w:val="lightGray"/>
        </w:rPr>
        <w:t xml:space="preserve">: </w:t>
      </w:r>
      <w:r w:rsidRPr="00C178EF">
        <w:t>Measuring system set-up for maximum EIRP testing</w:t>
      </w:r>
      <w:r>
        <w:rPr>
          <w:lang w:val="en-150"/>
        </w:rPr>
        <w:t>.</w:t>
      </w:r>
    </w:p>
    <w:p w14:paraId="50DF0F4E" w14:textId="77777777" w:rsidR="0096727D" w:rsidRDefault="0096727D" w:rsidP="00F701FC">
      <w:pPr>
        <w:rPr>
          <w:lang w:val="en-150"/>
        </w:rPr>
      </w:pPr>
    </w:p>
    <w:p w14:paraId="149AC516" w14:textId="2AA2518C" w:rsidR="0096727D" w:rsidRDefault="0096727D" w:rsidP="00F77092">
      <w:pPr>
        <w:pStyle w:val="RAN4observation0"/>
        <w:rPr>
          <w:lang w:val="en-150"/>
        </w:rPr>
      </w:pPr>
      <w:bookmarkStart w:id="19" w:name="_Toc135067152"/>
      <w:r>
        <w:rPr>
          <w:lang w:val="en-150"/>
        </w:rPr>
        <w:t>The latency in the access beam application can be detected</w:t>
      </w:r>
      <w:r w:rsidR="00B335BD">
        <w:rPr>
          <w:lang w:val="en-150"/>
        </w:rPr>
        <w:t xml:space="preserve"> b</w:t>
      </w:r>
      <w:r w:rsidR="00F85D39">
        <w:rPr>
          <w:lang w:val="en-150"/>
        </w:rPr>
        <w:t>y</w:t>
      </w:r>
      <w:r w:rsidR="00B335BD">
        <w:rPr>
          <w:lang w:val="en-150"/>
        </w:rPr>
        <w:t xml:space="preserve"> the EIPR measurements of the NCR-</w:t>
      </w:r>
      <w:proofErr w:type="spellStart"/>
      <w:r w:rsidR="00B335BD">
        <w:rPr>
          <w:lang w:val="en-150"/>
        </w:rPr>
        <w:t>Fwd</w:t>
      </w:r>
      <w:proofErr w:type="spellEnd"/>
      <w:r w:rsidR="00B335BD">
        <w:rPr>
          <w:lang w:val="en-150"/>
        </w:rPr>
        <w:t xml:space="preserve"> access link.</w:t>
      </w:r>
      <w:bookmarkEnd w:id="19"/>
    </w:p>
    <w:p w14:paraId="5B0ABF47" w14:textId="77777777" w:rsidR="00B031B5" w:rsidRPr="00F701FC" w:rsidRDefault="00B031B5" w:rsidP="00F77092"/>
    <w:p w14:paraId="01D44D5B" w14:textId="5CD22103" w:rsidR="00CA030C" w:rsidRDefault="00636D5B" w:rsidP="00984EB1">
      <w:pPr>
        <w:pStyle w:val="RAN4H2"/>
      </w:pPr>
      <w:r>
        <w:t>BFD/BFR/RLM for NCR-MT</w:t>
      </w:r>
    </w:p>
    <w:p w14:paraId="0BC5003B" w14:textId="77777777" w:rsidR="00466A4C" w:rsidRDefault="00466A4C" w:rsidP="00466A4C">
      <w:r>
        <w:t>The following agreement was reached in RAN1#111:</w:t>
      </w:r>
    </w:p>
    <w:p w14:paraId="1FA69840" w14:textId="77777777" w:rsidR="00466A4C" w:rsidRPr="00D028FD" w:rsidRDefault="00466A4C" w:rsidP="00466A4C">
      <w:pPr>
        <w:pBdr>
          <w:top w:val="single" w:sz="4" w:space="1" w:color="auto"/>
          <w:left w:val="single" w:sz="4" w:space="4" w:color="auto"/>
          <w:bottom w:val="single" w:sz="4" w:space="1" w:color="auto"/>
          <w:right w:val="single" w:sz="4" w:space="4" w:color="auto"/>
        </w:pBdr>
        <w:ind w:firstLine="720"/>
      </w:pPr>
      <w:r>
        <w:t>As optional functionalities for the NCR-MT, at least Rel-15 legacy BFD/BFR/RLM mechanisms are supported</w:t>
      </w:r>
    </w:p>
    <w:p w14:paraId="40FC6BDA" w14:textId="77777777" w:rsidR="004F378B" w:rsidRDefault="004F378B" w:rsidP="004F378B">
      <w:r>
        <w:t>It was also agreed in RAN2#120 that, NCR-Fwd will be OFF in the case of RLF happens and NCR-MT enters RRC_IDLE state due to not finding a suitable cell.</w:t>
      </w:r>
    </w:p>
    <w:p w14:paraId="3C3DEE71" w14:textId="6975A628" w:rsidR="002C2AD5" w:rsidRDefault="00732427" w:rsidP="00EB5BF0">
      <w:r>
        <w:t>It was agreed in RAN4#106bis-e to define RLM/BFD/BFR requirements for LA NCR-MT</w:t>
      </w:r>
      <w:r w:rsidR="00E87F27">
        <w:t xml:space="preserve">. </w:t>
      </w:r>
      <w:r w:rsidR="00F62A70">
        <w:t xml:space="preserve">Considering the similarity of deployment scenario between IAB and NCR, </w:t>
      </w:r>
      <w:r w:rsidR="00C62FCA">
        <w:t>RAN4 should determine whether</w:t>
      </w:r>
      <w:r w:rsidR="00D976C1">
        <w:t xml:space="preserve"> the IAB requirements for these procedures can be used for NCR-MT. </w:t>
      </w:r>
    </w:p>
    <w:p w14:paraId="225BCCE6" w14:textId="0023DF91" w:rsidR="004376EE" w:rsidRDefault="00D976C1" w:rsidP="0060646A">
      <w:r>
        <w:t xml:space="preserve">In </w:t>
      </w:r>
      <w:r w:rsidR="00DC3DAF">
        <w:t xml:space="preserve">the </w:t>
      </w:r>
      <w:r w:rsidR="00F9670A">
        <w:t>T</w:t>
      </w:r>
      <w:r w:rsidR="00AF01BB">
        <w:t xml:space="preserve">S </w:t>
      </w:r>
      <w:r>
        <w:t>38.</w:t>
      </w:r>
      <w:r w:rsidR="000615EF">
        <w:t>174</w:t>
      </w:r>
      <w:r w:rsidR="00AF01BB">
        <w:t>,</w:t>
      </w:r>
      <w:r w:rsidR="000615EF">
        <w:t xml:space="preserve"> Clause </w:t>
      </w:r>
      <w:r w:rsidR="001B6227">
        <w:t xml:space="preserve">12.3.2 </w:t>
      </w:r>
      <w:r w:rsidR="00250A03">
        <w:t>describes</w:t>
      </w:r>
      <w:r w:rsidR="009A6B5F">
        <w:t xml:space="preserve"> requirements for </w:t>
      </w:r>
      <w:r w:rsidR="007E050A">
        <w:t>BFD and BFR for IAB-MT</w:t>
      </w:r>
      <w:r w:rsidR="00AF01BB">
        <w:t>,</w:t>
      </w:r>
      <w:r w:rsidR="00F9670A">
        <w:t xml:space="preserve"> and</w:t>
      </w:r>
      <w:r w:rsidR="00592D96">
        <w:t xml:space="preserve"> </w:t>
      </w:r>
      <w:r w:rsidR="00AF01BB">
        <w:t>Clause 12.3.1</w:t>
      </w:r>
      <w:r w:rsidR="00D97FF2">
        <w:t xml:space="preserve"> describes requirements for RLM </w:t>
      </w:r>
      <w:r w:rsidR="00DC3DAF">
        <w:t>for IA</w:t>
      </w:r>
      <w:r w:rsidR="008D485E">
        <w:t xml:space="preserve">B-MT. </w:t>
      </w:r>
      <w:r w:rsidR="00145513">
        <w:t xml:space="preserve"> </w:t>
      </w:r>
      <w:r w:rsidR="0017738D">
        <w:t>RAN4 should analyze applicability of the</w:t>
      </w:r>
      <w:r w:rsidR="0027130A">
        <w:t>se requirements for NCR-</w:t>
      </w:r>
    </w:p>
    <w:p w14:paraId="0A04E26B" w14:textId="5236A383" w:rsidR="002C2AD5" w:rsidRDefault="00DC5C9E" w:rsidP="00F77092">
      <w:pPr>
        <w:pStyle w:val="RAN4proposal"/>
      </w:pPr>
      <w:bookmarkStart w:id="20" w:name="_Ref134738853"/>
      <w:bookmarkStart w:id="21" w:name="_Toc135067153"/>
      <w:r>
        <w:lastRenderedPageBreak/>
        <w:t xml:space="preserve">For LA NCR_MT, </w:t>
      </w:r>
      <w:r w:rsidR="0009611D">
        <w:t xml:space="preserve">RAN4 should analyze applicability of the </w:t>
      </w:r>
      <w:r w:rsidR="000F0C21">
        <w:t xml:space="preserve">requirements for </w:t>
      </w:r>
      <w:r w:rsidR="00467114">
        <w:t>BFD and BFR described in Clause 12.3.2 in TS 38.174</w:t>
      </w:r>
      <w:r w:rsidR="001B5925">
        <w:t xml:space="preserve"> and the applicability of the requirements for RLM</w:t>
      </w:r>
      <w:r w:rsidR="00D254D6">
        <w:t xml:space="preserve"> described in Clause 12.3.1 </w:t>
      </w:r>
      <w:r w:rsidR="00A94B11">
        <w:t>in TS 38.174.</w:t>
      </w:r>
      <w:bookmarkEnd w:id="20"/>
      <w:bookmarkEnd w:id="21"/>
    </w:p>
    <w:p w14:paraId="7987A8E4" w14:textId="4007123E" w:rsidR="00CA030C" w:rsidRPr="00F77092" w:rsidRDefault="006E38E0" w:rsidP="00300956">
      <w:pPr>
        <w:rPr>
          <w:lang w:val="en-150"/>
        </w:rPr>
      </w:pPr>
      <w:r>
        <w:rPr>
          <w:lang w:val="en-150"/>
        </w:rPr>
        <w:t xml:space="preserve">RLM is in not necessarily critical functionality for the WA nodes, where the link </w:t>
      </w:r>
      <w:r>
        <w:t>i</w:t>
      </w:r>
      <w:r w:rsidR="00402CA9">
        <w:t>s</w:t>
      </w:r>
      <w:r>
        <w:rPr>
          <w:lang w:val="en-150"/>
        </w:rPr>
        <w:t xml:space="preserve"> stable.</w:t>
      </w:r>
      <w:r w:rsidR="003D4C6F">
        <w:t xml:space="preserve"> Therefore</w:t>
      </w:r>
      <w:r w:rsidR="009E672A">
        <w:t xml:space="preserve">, it is not required to define RRM requirements for </w:t>
      </w:r>
      <w:r w:rsidR="00630A45">
        <w:t>RLM procedure.</w:t>
      </w:r>
    </w:p>
    <w:p w14:paraId="7E6BCECA" w14:textId="4D86E051" w:rsidR="006717AE" w:rsidRPr="00AA0E85" w:rsidRDefault="00A86D76" w:rsidP="00AA0E85">
      <w:pPr>
        <w:pStyle w:val="RAN4observation0"/>
      </w:pPr>
      <w:bookmarkStart w:id="22" w:name="_Ref134739482"/>
      <w:bookmarkStart w:id="23" w:name="_Toc135067154"/>
      <w:r w:rsidRPr="00AA0E85">
        <w:t xml:space="preserve">The C-link of </w:t>
      </w:r>
      <w:r w:rsidR="00285091" w:rsidRPr="00AA0E85">
        <w:t xml:space="preserve">a WA NCR is expected to be very stable </w:t>
      </w:r>
      <w:r w:rsidR="00A55BB5" w:rsidRPr="00AA0E85">
        <w:t>due to</w:t>
      </w:r>
      <w:r w:rsidR="000730B8" w:rsidRPr="00AA0E85">
        <w:t xml:space="preserve"> unobstructed</w:t>
      </w:r>
      <w:r w:rsidR="00EC5619" w:rsidRPr="00AA0E85">
        <w:t xml:space="preserve"> LOS </w:t>
      </w:r>
      <w:r w:rsidR="000730B8" w:rsidRPr="00AA0E85">
        <w:t xml:space="preserve">deployment </w:t>
      </w:r>
      <w:r w:rsidR="003E3B7D" w:rsidRPr="00AA0E85">
        <w:t>with its serving base station</w:t>
      </w:r>
      <w:r w:rsidR="00524124" w:rsidRPr="00AA0E85">
        <w:t xml:space="preserve">. </w:t>
      </w:r>
      <w:r w:rsidR="00500663" w:rsidRPr="00AA0E85">
        <w:t xml:space="preserve">Hence, it is very unlikely to </w:t>
      </w:r>
      <w:r w:rsidR="002C2AD5" w:rsidRPr="00AA0E85">
        <w:t>suffer radio link failure.</w:t>
      </w:r>
      <w:bookmarkEnd w:id="22"/>
      <w:bookmarkEnd w:id="23"/>
    </w:p>
    <w:p w14:paraId="56513E75" w14:textId="08713638" w:rsidR="00500663" w:rsidRPr="00FB3122" w:rsidRDefault="002C2AD5" w:rsidP="00FB3122">
      <w:pPr>
        <w:pStyle w:val="RAN4proposal"/>
      </w:pPr>
      <w:bookmarkStart w:id="24" w:name="_Ref134739179"/>
      <w:bookmarkStart w:id="25" w:name="_Toc135067155"/>
      <w:r w:rsidRPr="00FB3122">
        <w:t>Do not define RLM requirements for WA NCR-MT C-link.</w:t>
      </w:r>
      <w:bookmarkEnd w:id="24"/>
      <w:bookmarkEnd w:id="25"/>
    </w:p>
    <w:p w14:paraId="00328740" w14:textId="77777777" w:rsidR="00461C73" w:rsidRPr="00461C73" w:rsidRDefault="00461C73" w:rsidP="00461C73"/>
    <w:p w14:paraId="00B9D79B" w14:textId="77777777" w:rsidR="00CD7492" w:rsidRPr="008C39F7" w:rsidRDefault="00CD7492" w:rsidP="00A37002">
      <w:pPr>
        <w:pStyle w:val="RAN4H1"/>
      </w:pPr>
      <w:bookmarkStart w:id="26" w:name="_Toc116995848"/>
      <w:r w:rsidRPr="008C39F7">
        <w:t>Conclusion</w:t>
      </w:r>
      <w:bookmarkEnd w:id="26"/>
    </w:p>
    <w:p w14:paraId="798C89E4" w14:textId="2A311722" w:rsidR="007C5971" w:rsidRPr="008C39F7" w:rsidRDefault="007870AB" w:rsidP="005C23A4">
      <w:r>
        <w:t xml:space="preserve">In this document, </w:t>
      </w:r>
      <w:r w:rsidR="0090630C">
        <w:t>RRM requirements for a few procedures of NCR-MT</w:t>
      </w:r>
      <w:r w:rsidR="00193243">
        <w:t>,</w:t>
      </w:r>
      <w:r w:rsidR="0090630C">
        <w:t xml:space="preserve"> </w:t>
      </w:r>
      <w:r w:rsidR="00053A32">
        <w:t>remaining from the RAN4#106bis</w:t>
      </w:r>
      <w:r w:rsidR="00106C26">
        <w:t xml:space="preserve"> meeting</w:t>
      </w:r>
      <w:r w:rsidR="00193243">
        <w:t>,</w:t>
      </w:r>
      <w:r w:rsidR="00106C26">
        <w:t xml:space="preserve"> were discussed.</w:t>
      </w:r>
    </w:p>
    <w:p w14:paraId="1F92DFD9" w14:textId="1DD812D8" w:rsidR="00E55751" w:rsidRPr="008C39F7" w:rsidRDefault="00AA0E85" w:rsidP="00936159">
      <w:r>
        <w:rPr>
          <w:lang w:val="en-150"/>
        </w:rPr>
        <w:t>T</w:t>
      </w:r>
      <w:r w:rsidR="005B4801" w:rsidRPr="008C39F7">
        <w:t xml:space="preserve">he following Observations </w:t>
      </w:r>
      <w:r w:rsidR="008B0961" w:rsidRPr="008C39F7">
        <w:t>and</w:t>
      </w:r>
      <w:r w:rsidR="005B4801" w:rsidRPr="008C39F7">
        <w:t xml:space="preserve"> Proposals were made:</w:t>
      </w:r>
    </w:p>
    <w:p w14:paraId="365ED469" w14:textId="6F906F17" w:rsidR="00FB3122" w:rsidRDefault="00A4355E">
      <w:pPr>
        <w:pStyle w:val="TOC4"/>
        <w:rPr>
          <w:rFonts w:asciiTheme="minorHAnsi" w:eastAsiaTheme="minorEastAsia" w:hAnsiTheme="minorHAnsi"/>
          <w:noProof/>
          <w:sz w:val="22"/>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35067147" w:history="1">
        <w:r w:rsidR="00FB3122" w:rsidRPr="00346019">
          <w:rPr>
            <w:rStyle w:val="Hyperlink"/>
            <w:b/>
            <w:noProof/>
          </w:rPr>
          <w:t>Observation 1:</w:t>
        </w:r>
        <w:r w:rsidR="00FB3122" w:rsidRPr="00346019">
          <w:rPr>
            <w:rStyle w:val="Hyperlink"/>
            <w:noProof/>
          </w:rPr>
          <w:t xml:space="preserve"> NCR and IAB nodes have similar deployment characteristics in terms of their location, and Release-18 NCR is intended for static deployments.</w:t>
        </w:r>
      </w:hyperlink>
    </w:p>
    <w:p w14:paraId="6F078214" w14:textId="69BB6F37" w:rsidR="00FB3122" w:rsidRDefault="00FB3122">
      <w:pPr>
        <w:pStyle w:val="TOC5"/>
        <w:rPr>
          <w:rFonts w:asciiTheme="minorHAnsi" w:eastAsiaTheme="minorEastAsia" w:hAnsiTheme="minorHAnsi"/>
          <w:b w:val="0"/>
          <w:noProof/>
          <w:sz w:val="22"/>
        </w:rPr>
      </w:pPr>
      <w:hyperlink w:anchor="_Toc135067148" w:history="1">
        <w:r w:rsidRPr="00346019">
          <w:rPr>
            <w:rStyle w:val="Hyperlink"/>
            <w:noProof/>
          </w:rPr>
          <w:t>Proposal 1: For the RRC Re-establishment procedure in LA NCR-MT, use the requirements for the RRC Re-establishment for IAB-MT as described in Clause 12.1.1.1 of 3GPP TS 38.174.</w:t>
        </w:r>
      </w:hyperlink>
    </w:p>
    <w:p w14:paraId="0E16337A" w14:textId="4C5C496E" w:rsidR="00FB3122" w:rsidRDefault="00FB3122">
      <w:pPr>
        <w:pStyle w:val="TOC5"/>
        <w:rPr>
          <w:rFonts w:asciiTheme="minorHAnsi" w:eastAsiaTheme="minorEastAsia" w:hAnsiTheme="minorHAnsi"/>
          <w:b w:val="0"/>
          <w:noProof/>
          <w:sz w:val="22"/>
        </w:rPr>
      </w:pPr>
      <w:hyperlink w:anchor="_Toc135067149" w:history="1">
        <w:r w:rsidRPr="00346019">
          <w:rPr>
            <w:rStyle w:val="Hyperlink"/>
            <w:noProof/>
          </w:rPr>
          <w:t>Proposal 2: Determine if the initial transmit timing requirements for IAB-MT as described in Clause 12.2.1 can be applied to the LA NCR-MT initial transmit timing requirements.</w:t>
        </w:r>
      </w:hyperlink>
    </w:p>
    <w:p w14:paraId="04C18CB1" w14:textId="5E8F07D7" w:rsidR="00FB3122" w:rsidRDefault="00FB3122">
      <w:pPr>
        <w:pStyle w:val="TOC4"/>
        <w:rPr>
          <w:rFonts w:asciiTheme="minorHAnsi" w:eastAsiaTheme="minorEastAsia" w:hAnsiTheme="minorHAnsi"/>
          <w:noProof/>
          <w:sz w:val="22"/>
        </w:rPr>
      </w:pPr>
      <w:hyperlink w:anchor="_Toc135067150" w:history="1">
        <w:r w:rsidRPr="00346019">
          <w:rPr>
            <w:rStyle w:val="Hyperlink"/>
            <w:b/>
            <w:noProof/>
            <w:lang w:val="en-150"/>
          </w:rPr>
          <w:t>Observation 2:</w:t>
        </w:r>
        <w:r w:rsidRPr="00346019">
          <w:rPr>
            <w:rStyle w:val="Hyperlink"/>
            <w:noProof/>
            <w:lang w:val="en-150"/>
          </w:rPr>
          <w:t xml:space="preserve"> To avoid any impacts on the quality of data transmission to/from the access UEs, it is important that NCR node is strictly following the access link beam configuration/switching procedure.</w:t>
        </w:r>
      </w:hyperlink>
    </w:p>
    <w:p w14:paraId="103F0CB7" w14:textId="3B42D970" w:rsidR="00FB3122" w:rsidRDefault="00FB3122">
      <w:pPr>
        <w:pStyle w:val="TOC5"/>
        <w:rPr>
          <w:rFonts w:asciiTheme="minorHAnsi" w:eastAsiaTheme="minorEastAsia" w:hAnsiTheme="minorHAnsi"/>
          <w:b w:val="0"/>
          <w:noProof/>
          <w:sz w:val="22"/>
        </w:rPr>
      </w:pPr>
      <w:hyperlink w:anchor="_Toc135067151" w:history="1">
        <w:r w:rsidRPr="00346019">
          <w:rPr>
            <w:rStyle w:val="Hyperlink"/>
            <w:bCs/>
            <w:noProof/>
          </w:rPr>
          <w:t>Proposal 3:</w:t>
        </w:r>
        <w:r w:rsidRPr="00346019">
          <w:rPr>
            <w:rStyle w:val="Hyperlink"/>
            <w:noProof/>
          </w:rPr>
          <w:t xml:space="preserve"> RAN4 </w:t>
        </w:r>
        <w:r w:rsidRPr="00346019">
          <w:rPr>
            <w:rStyle w:val="Hyperlink"/>
            <w:noProof/>
            <w:lang w:val="en-150"/>
          </w:rPr>
          <w:t>to define core requirements on the application latency of aperiodic and semi-persistent access link beam indication.</w:t>
        </w:r>
      </w:hyperlink>
    </w:p>
    <w:p w14:paraId="5DD7749D" w14:textId="24E7191A" w:rsidR="00FB3122" w:rsidRDefault="00FB3122">
      <w:pPr>
        <w:pStyle w:val="TOC4"/>
        <w:rPr>
          <w:rFonts w:asciiTheme="minorHAnsi" w:eastAsiaTheme="minorEastAsia" w:hAnsiTheme="minorHAnsi"/>
          <w:noProof/>
          <w:sz w:val="22"/>
        </w:rPr>
      </w:pPr>
      <w:hyperlink w:anchor="_Toc135067152" w:history="1">
        <w:r w:rsidRPr="00346019">
          <w:rPr>
            <w:rStyle w:val="Hyperlink"/>
            <w:b/>
            <w:noProof/>
            <w:lang w:val="en-150"/>
          </w:rPr>
          <w:t>Observation 3:</w:t>
        </w:r>
        <w:r w:rsidRPr="00346019">
          <w:rPr>
            <w:rStyle w:val="Hyperlink"/>
            <w:noProof/>
            <w:lang w:val="en-150"/>
          </w:rPr>
          <w:t xml:space="preserve"> The latency in the access beam application can be detected by the EIPR measurements of the NCR-Fwd access link.</w:t>
        </w:r>
      </w:hyperlink>
    </w:p>
    <w:p w14:paraId="2DA1845A" w14:textId="29917027" w:rsidR="00FB3122" w:rsidRDefault="00FB3122">
      <w:pPr>
        <w:pStyle w:val="TOC5"/>
        <w:rPr>
          <w:rFonts w:asciiTheme="minorHAnsi" w:eastAsiaTheme="minorEastAsia" w:hAnsiTheme="minorHAnsi"/>
          <w:b w:val="0"/>
          <w:noProof/>
          <w:sz w:val="22"/>
        </w:rPr>
      </w:pPr>
      <w:hyperlink w:anchor="_Toc135067153" w:history="1">
        <w:r w:rsidRPr="00346019">
          <w:rPr>
            <w:rStyle w:val="Hyperlink"/>
            <w:noProof/>
          </w:rPr>
          <w:t>Proposal 4: For LA NCR_MT, RAN4 should analyze applicability of the requirements for BFD and BFR described in Clause 12.3.2 in TS 38.174 and the applicability of the requirements for RLM described in Clause 12.3.1 in TS 38.174.</w:t>
        </w:r>
      </w:hyperlink>
    </w:p>
    <w:p w14:paraId="285F37F4" w14:textId="45E3496A" w:rsidR="00FB3122" w:rsidRDefault="00FB3122">
      <w:pPr>
        <w:pStyle w:val="TOC4"/>
        <w:rPr>
          <w:rFonts w:asciiTheme="minorHAnsi" w:eastAsiaTheme="minorEastAsia" w:hAnsiTheme="minorHAnsi"/>
          <w:noProof/>
          <w:sz w:val="22"/>
        </w:rPr>
      </w:pPr>
      <w:hyperlink w:anchor="_Toc135067154" w:history="1">
        <w:r w:rsidRPr="00346019">
          <w:rPr>
            <w:rStyle w:val="Hyperlink"/>
            <w:b/>
            <w:noProof/>
          </w:rPr>
          <w:t>Observation 4:</w:t>
        </w:r>
        <w:r w:rsidRPr="00346019">
          <w:rPr>
            <w:rStyle w:val="Hyperlink"/>
            <w:noProof/>
          </w:rPr>
          <w:t xml:space="preserve"> The C-link of a WA NCR is expected to be very stable due to unobstructed LOS deployment with its serving base station. Hence, it is very unlikely to suffer radio link failure.</w:t>
        </w:r>
      </w:hyperlink>
    </w:p>
    <w:p w14:paraId="67F25B83" w14:textId="5A13F8CA" w:rsidR="00FB3122" w:rsidRDefault="00FB3122">
      <w:pPr>
        <w:pStyle w:val="TOC5"/>
        <w:rPr>
          <w:rFonts w:asciiTheme="minorHAnsi" w:eastAsiaTheme="minorEastAsia" w:hAnsiTheme="minorHAnsi"/>
          <w:b w:val="0"/>
          <w:noProof/>
          <w:sz w:val="22"/>
        </w:rPr>
      </w:pPr>
      <w:hyperlink w:anchor="_Toc135067155" w:history="1">
        <w:r w:rsidRPr="00346019">
          <w:rPr>
            <w:rStyle w:val="Hyperlink"/>
            <w:noProof/>
          </w:rPr>
          <w:t>Proposal 5: Do not define RLM requirements for WA NCR-MT C-link.</w:t>
        </w:r>
      </w:hyperlink>
    </w:p>
    <w:p w14:paraId="3AEB2ED4" w14:textId="77777777" w:rsidR="00847264" w:rsidRPr="008C39F7" w:rsidRDefault="00A4355E" w:rsidP="008C39F7">
      <w:r w:rsidRPr="008C39F7">
        <w:fldChar w:fldCharType="end"/>
      </w:r>
      <w:bookmarkStart w:id="27" w:name="_Toc116995849"/>
    </w:p>
    <w:p w14:paraId="6B70420C" w14:textId="77777777" w:rsidR="003B659E" w:rsidRPr="008C39F7" w:rsidRDefault="003B659E" w:rsidP="0060543D">
      <w:pPr>
        <w:pStyle w:val="RAN4H1"/>
        <w:numPr>
          <w:ilvl w:val="0"/>
          <w:numId w:val="0"/>
        </w:numPr>
        <w:ind w:left="360" w:hanging="360"/>
      </w:pPr>
      <w:r w:rsidRPr="008C39F7">
        <w:t>References</w:t>
      </w:r>
      <w:bookmarkEnd w:id="27"/>
    </w:p>
    <w:p w14:paraId="6F344377" w14:textId="3112979F" w:rsidR="00335C00" w:rsidRDefault="00335C00" w:rsidP="00D66188">
      <w:pPr>
        <w:pStyle w:val="ListParagraph"/>
        <w:numPr>
          <w:ilvl w:val="0"/>
          <w:numId w:val="21"/>
        </w:numPr>
        <w:ind w:right="-22"/>
      </w:pPr>
      <w:bookmarkStart w:id="28" w:name="_Ref114500673"/>
      <w:bookmarkStart w:id="29" w:name="_Ref134565425"/>
      <w:bookmarkEnd w:id="28"/>
      <w:r>
        <w:t>R4-2306360</w:t>
      </w:r>
      <w:r w:rsidR="006263D5">
        <w:t>, “WF on NCR-MT RRM requirements”,</w:t>
      </w:r>
      <w:r w:rsidR="00F701FC">
        <w:rPr>
          <w:lang w:val="en-150"/>
        </w:rPr>
        <w:t xml:space="preserve"> ZTE,</w:t>
      </w:r>
      <w:r w:rsidR="006263D5">
        <w:t xml:space="preserve"> RAN4#</w:t>
      </w:r>
      <w:r w:rsidR="00705F50">
        <w:t>106bis, E-meeting, April 17</w:t>
      </w:r>
      <w:r w:rsidR="00315001">
        <w:t>-26, 2023.</w:t>
      </w:r>
      <w:bookmarkEnd w:id="29"/>
    </w:p>
    <w:p w14:paraId="17080958" w14:textId="0E5EC2C3" w:rsidR="000040DC" w:rsidRPr="00847264" w:rsidRDefault="000040DC" w:rsidP="00F77092"/>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02088" w14:textId="77777777" w:rsidR="00E358A7" w:rsidRDefault="00E358A7" w:rsidP="00001C9B">
      <w:pPr>
        <w:spacing w:after="0" w:line="240" w:lineRule="auto"/>
      </w:pPr>
      <w:r>
        <w:separator/>
      </w:r>
    </w:p>
  </w:endnote>
  <w:endnote w:type="continuationSeparator" w:id="0">
    <w:p w14:paraId="7FC2205B" w14:textId="77777777" w:rsidR="00E358A7" w:rsidRDefault="00E358A7" w:rsidP="00001C9B">
      <w:pPr>
        <w:spacing w:after="0" w:line="240" w:lineRule="auto"/>
      </w:pPr>
      <w:r>
        <w:continuationSeparator/>
      </w:r>
    </w:p>
  </w:endnote>
  <w:endnote w:type="continuationNotice" w:id="1">
    <w:p w14:paraId="674C46BE" w14:textId="77777777" w:rsidR="00031CC5" w:rsidRDefault="00031C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6DF8A" w14:textId="77777777" w:rsidR="00E358A7" w:rsidRDefault="00E358A7" w:rsidP="00001C9B">
      <w:pPr>
        <w:spacing w:after="0" w:line="240" w:lineRule="auto"/>
      </w:pPr>
      <w:r>
        <w:separator/>
      </w:r>
    </w:p>
  </w:footnote>
  <w:footnote w:type="continuationSeparator" w:id="0">
    <w:p w14:paraId="22079E33" w14:textId="77777777" w:rsidR="00E358A7" w:rsidRDefault="00E358A7" w:rsidP="00001C9B">
      <w:pPr>
        <w:spacing w:after="0" w:line="240" w:lineRule="auto"/>
      </w:pPr>
      <w:r>
        <w:continuationSeparator/>
      </w:r>
    </w:p>
  </w:footnote>
  <w:footnote w:type="continuationNotice" w:id="1">
    <w:p w14:paraId="3166CF6C" w14:textId="77777777" w:rsidR="00031CC5" w:rsidRDefault="00031C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017E3"/>
    <w:multiLevelType w:val="multilevel"/>
    <w:tmpl w:val="3996A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233202479">
    <w:abstractNumId w:val="13"/>
  </w:num>
  <w:num w:numId="28" w16cid:durableId="12818366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52C41"/>
    <w:rsid w:val="00001C9B"/>
    <w:rsid w:val="000040DC"/>
    <w:rsid w:val="00006E5E"/>
    <w:rsid w:val="00011784"/>
    <w:rsid w:val="00011BFD"/>
    <w:rsid w:val="000151EF"/>
    <w:rsid w:val="000239F5"/>
    <w:rsid w:val="00031CC5"/>
    <w:rsid w:val="000357E0"/>
    <w:rsid w:val="00036A2A"/>
    <w:rsid w:val="00053A32"/>
    <w:rsid w:val="00056E37"/>
    <w:rsid w:val="000615EF"/>
    <w:rsid w:val="000730B8"/>
    <w:rsid w:val="0008612A"/>
    <w:rsid w:val="0009052C"/>
    <w:rsid w:val="00090E18"/>
    <w:rsid w:val="0009611D"/>
    <w:rsid w:val="000A10BC"/>
    <w:rsid w:val="000A15C7"/>
    <w:rsid w:val="000B0056"/>
    <w:rsid w:val="000C399B"/>
    <w:rsid w:val="000C3C7B"/>
    <w:rsid w:val="000C575C"/>
    <w:rsid w:val="000C6177"/>
    <w:rsid w:val="000C7054"/>
    <w:rsid w:val="000D0687"/>
    <w:rsid w:val="000D0F93"/>
    <w:rsid w:val="000E3B6E"/>
    <w:rsid w:val="000E3BF4"/>
    <w:rsid w:val="000F0689"/>
    <w:rsid w:val="000F0C21"/>
    <w:rsid w:val="000F64A5"/>
    <w:rsid w:val="00106416"/>
    <w:rsid w:val="00106C26"/>
    <w:rsid w:val="00110481"/>
    <w:rsid w:val="001113DE"/>
    <w:rsid w:val="001127C9"/>
    <w:rsid w:val="00114498"/>
    <w:rsid w:val="00115B88"/>
    <w:rsid w:val="00132F6A"/>
    <w:rsid w:val="00133913"/>
    <w:rsid w:val="00134221"/>
    <w:rsid w:val="001356B1"/>
    <w:rsid w:val="00140221"/>
    <w:rsid w:val="00145513"/>
    <w:rsid w:val="0016288C"/>
    <w:rsid w:val="00163A1C"/>
    <w:rsid w:val="001642FC"/>
    <w:rsid w:val="0016496B"/>
    <w:rsid w:val="001743E2"/>
    <w:rsid w:val="001745F8"/>
    <w:rsid w:val="0017738D"/>
    <w:rsid w:val="001838CF"/>
    <w:rsid w:val="00184444"/>
    <w:rsid w:val="00184EE2"/>
    <w:rsid w:val="00184F82"/>
    <w:rsid w:val="001868EE"/>
    <w:rsid w:val="00193243"/>
    <w:rsid w:val="00196109"/>
    <w:rsid w:val="00196EA9"/>
    <w:rsid w:val="001A3BA4"/>
    <w:rsid w:val="001A6D1F"/>
    <w:rsid w:val="001B5925"/>
    <w:rsid w:val="001B6227"/>
    <w:rsid w:val="001B68CB"/>
    <w:rsid w:val="001D194A"/>
    <w:rsid w:val="001E30F6"/>
    <w:rsid w:val="001E6C13"/>
    <w:rsid w:val="001F7130"/>
    <w:rsid w:val="00213EBB"/>
    <w:rsid w:val="00217EE5"/>
    <w:rsid w:val="002244EE"/>
    <w:rsid w:val="00231768"/>
    <w:rsid w:val="00235F5C"/>
    <w:rsid w:val="002374EF"/>
    <w:rsid w:val="00250A03"/>
    <w:rsid w:val="00251F14"/>
    <w:rsid w:val="00257FA3"/>
    <w:rsid w:val="00262FAC"/>
    <w:rsid w:val="00266A38"/>
    <w:rsid w:val="0027130A"/>
    <w:rsid w:val="00274655"/>
    <w:rsid w:val="00277B56"/>
    <w:rsid w:val="002809F6"/>
    <w:rsid w:val="00281AAB"/>
    <w:rsid w:val="002833EF"/>
    <w:rsid w:val="00285091"/>
    <w:rsid w:val="00287346"/>
    <w:rsid w:val="002A19F5"/>
    <w:rsid w:val="002A7923"/>
    <w:rsid w:val="002B4922"/>
    <w:rsid w:val="002C22C3"/>
    <w:rsid w:val="002C2AD5"/>
    <w:rsid w:val="002C2D19"/>
    <w:rsid w:val="002D10B6"/>
    <w:rsid w:val="002D10FA"/>
    <w:rsid w:val="002D4C55"/>
    <w:rsid w:val="002E4290"/>
    <w:rsid w:val="002E495D"/>
    <w:rsid w:val="002E6DED"/>
    <w:rsid w:val="00300956"/>
    <w:rsid w:val="0031119F"/>
    <w:rsid w:val="00315001"/>
    <w:rsid w:val="003163D4"/>
    <w:rsid w:val="00317187"/>
    <w:rsid w:val="0032499A"/>
    <w:rsid w:val="00327812"/>
    <w:rsid w:val="003341F7"/>
    <w:rsid w:val="00335C00"/>
    <w:rsid w:val="00347FEC"/>
    <w:rsid w:val="00356F45"/>
    <w:rsid w:val="00363E1E"/>
    <w:rsid w:val="00366B74"/>
    <w:rsid w:val="00370E72"/>
    <w:rsid w:val="00383320"/>
    <w:rsid w:val="0039259B"/>
    <w:rsid w:val="003A710A"/>
    <w:rsid w:val="003B659E"/>
    <w:rsid w:val="003B7B80"/>
    <w:rsid w:val="003C275E"/>
    <w:rsid w:val="003C4FDE"/>
    <w:rsid w:val="003D4128"/>
    <w:rsid w:val="003D4C6F"/>
    <w:rsid w:val="003E3B7D"/>
    <w:rsid w:val="003E58DF"/>
    <w:rsid w:val="00402CA9"/>
    <w:rsid w:val="00404C4C"/>
    <w:rsid w:val="00412AF1"/>
    <w:rsid w:val="0041423F"/>
    <w:rsid w:val="00414F81"/>
    <w:rsid w:val="00435316"/>
    <w:rsid w:val="00436A0F"/>
    <w:rsid w:val="00437150"/>
    <w:rsid w:val="0043750A"/>
    <w:rsid w:val="004376EE"/>
    <w:rsid w:val="00456C08"/>
    <w:rsid w:val="00457459"/>
    <w:rsid w:val="00461C73"/>
    <w:rsid w:val="00466A4C"/>
    <w:rsid w:val="00467114"/>
    <w:rsid w:val="00470476"/>
    <w:rsid w:val="004732E9"/>
    <w:rsid w:val="004854BB"/>
    <w:rsid w:val="00494493"/>
    <w:rsid w:val="00496606"/>
    <w:rsid w:val="004C6352"/>
    <w:rsid w:val="004C7510"/>
    <w:rsid w:val="004E5E66"/>
    <w:rsid w:val="004E7ADB"/>
    <w:rsid w:val="004F277C"/>
    <w:rsid w:val="004F27F4"/>
    <w:rsid w:val="004F378B"/>
    <w:rsid w:val="00500663"/>
    <w:rsid w:val="00503B4D"/>
    <w:rsid w:val="00504EE9"/>
    <w:rsid w:val="00520773"/>
    <w:rsid w:val="00521576"/>
    <w:rsid w:val="00524124"/>
    <w:rsid w:val="005250E6"/>
    <w:rsid w:val="00541F6A"/>
    <w:rsid w:val="00542D23"/>
    <w:rsid w:val="0054442C"/>
    <w:rsid w:val="00550285"/>
    <w:rsid w:val="00562492"/>
    <w:rsid w:val="00572A20"/>
    <w:rsid w:val="00575A18"/>
    <w:rsid w:val="00580211"/>
    <w:rsid w:val="005836F8"/>
    <w:rsid w:val="00587605"/>
    <w:rsid w:val="005918FA"/>
    <w:rsid w:val="00592A86"/>
    <w:rsid w:val="00592D96"/>
    <w:rsid w:val="005A4FFB"/>
    <w:rsid w:val="005B1CA9"/>
    <w:rsid w:val="005B2A77"/>
    <w:rsid w:val="005B4801"/>
    <w:rsid w:val="005B6160"/>
    <w:rsid w:val="005C1316"/>
    <w:rsid w:val="005C23A4"/>
    <w:rsid w:val="005D1CDF"/>
    <w:rsid w:val="005D2BB7"/>
    <w:rsid w:val="005E0300"/>
    <w:rsid w:val="005E61A8"/>
    <w:rsid w:val="005F2E46"/>
    <w:rsid w:val="005F6419"/>
    <w:rsid w:val="005F6860"/>
    <w:rsid w:val="005F76FC"/>
    <w:rsid w:val="0060543D"/>
    <w:rsid w:val="0060646A"/>
    <w:rsid w:val="006100ED"/>
    <w:rsid w:val="006104DD"/>
    <w:rsid w:val="006130B5"/>
    <w:rsid w:val="00617400"/>
    <w:rsid w:val="00622271"/>
    <w:rsid w:val="006263D5"/>
    <w:rsid w:val="00630A45"/>
    <w:rsid w:val="00632D29"/>
    <w:rsid w:val="00636D5B"/>
    <w:rsid w:val="00664950"/>
    <w:rsid w:val="006717AE"/>
    <w:rsid w:val="00683220"/>
    <w:rsid w:val="00687FA0"/>
    <w:rsid w:val="006924C0"/>
    <w:rsid w:val="006A2551"/>
    <w:rsid w:val="006A3C11"/>
    <w:rsid w:val="006B3FED"/>
    <w:rsid w:val="006B7010"/>
    <w:rsid w:val="006C3095"/>
    <w:rsid w:val="006D2D82"/>
    <w:rsid w:val="006E1151"/>
    <w:rsid w:val="006E1AC0"/>
    <w:rsid w:val="006E38E0"/>
    <w:rsid w:val="006E48D4"/>
    <w:rsid w:val="006E6311"/>
    <w:rsid w:val="007021BA"/>
    <w:rsid w:val="00705F50"/>
    <w:rsid w:val="007145FF"/>
    <w:rsid w:val="00715B2A"/>
    <w:rsid w:val="00732427"/>
    <w:rsid w:val="00744181"/>
    <w:rsid w:val="007450F1"/>
    <w:rsid w:val="00751515"/>
    <w:rsid w:val="007626B7"/>
    <w:rsid w:val="0078212B"/>
    <w:rsid w:val="00784DF6"/>
    <w:rsid w:val="00785232"/>
    <w:rsid w:val="00786BE7"/>
    <w:rsid w:val="007870AB"/>
    <w:rsid w:val="00796223"/>
    <w:rsid w:val="007B0B05"/>
    <w:rsid w:val="007B186C"/>
    <w:rsid w:val="007B1F06"/>
    <w:rsid w:val="007B2E43"/>
    <w:rsid w:val="007C1696"/>
    <w:rsid w:val="007C3ED0"/>
    <w:rsid w:val="007C423D"/>
    <w:rsid w:val="007C5971"/>
    <w:rsid w:val="007E050A"/>
    <w:rsid w:val="007E6F64"/>
    <w:rsid w:val="007F54B9"/>
    <w:rsid w:val="00806A76"/>
    <w:rsid w:val="00811C9D"/>
    <w:rsid w:val="00815F05"/>
    <w:rsid w:val="00816C80"/>
    <w:rsid w:val="00830D3E"/>
    <w:rsid w:val="00833F00"/>
    <w:rsid w:val="00841BCD"/>
    <w:rsid w:val="00847264"/>
    <w:rsid w:val="00851A8E"/>
    <w:rsid w:val="0085365B"/>
    <w:rsid w:val="0086203F"/>
    <w:rsid w:val="00862E4B"/>
    <w:rsid w:val="00875C6E"/>
    <w:rsid w:val="008826C1"/>
    <w:rsid w:val="00883DFD"/>
    <w:rsid w:val="00892D80"/>
    <w:rsid w:val="008964B4"/>
    <w:rsid w:val="008A1BF7"/>
    <w:rsid w:val="008A3128"/>
    <w:rsid w:val="008A5B0E"/>
    <w:rsid w:val="008B0961"/>
    <w:rsid w:val="008C39F7"/>
    <w:rsid w:val="008C4A46"/>
    <w:rsid w:val="008D485E"/>
    <w:rsid w:val="008D5F96"/>
    <w:rsid w:val="0090091A"/>
    <w:rsid w:val="00902683"/>
    <w:rsid w:val="009042BD"/>
    <w:rsid w:val="009045C9"/>
    <w:rsid w:val="00904FE4"/>
    <w:rsid w:val="00905C4D"/>
    <w:rsid w:val="0090630C"/>
    <w:rsid w:val="009111B7"/>
    <w:rsid w:val="009118C2"/>
    <w:rsid w:val="00925E78"/>
    <w:rsid w:val="0093241F"/>
    <w:rsid w:val="00936159"/>
    <w:rsid w:val="009566B1"/>
    <w:rsid w:val="0096727D"/>
    <w:rsid w:val="00977E1D"/>
    <w:rsid w:val="00981E74"/>
    <w:rsid w:val="0098265C"/>
    <w:rsid w:val="00984EB1"/>
    <w:rsid w:val="00995425"/>
    <w:rsid w:val="009A6B5F"/>
    <w:rsid w:val="009A778B"/>
    <w:rsid w:val="009B0573"/>
    <w:rsid w:val="009B7B4B"/>
    <w:rsid w:val="009B7C21"/>
    <w:rsid w:val="009D79A4"/>
    <w:rsid w:val="009E18F0"/>
    <w:rsid w:val="009E2C64"/>
    <w:rsid w:val="009E45C1"/>
    <w:rsid w:val="009E672A"/>
    <w:rsid w:val="009F35A9"/>
    <w:rsid w:val="00A04992"/>
    <w:rsid w:val="00A147AA"/>
    <w:rsid w:val="00A21D71"/>
    <w:rsid w:val="00A22B78"/>
    <w:rsid w:val="00A25AE5"/>
    <w:rsid w:val="00A37002"/>
    <w:rsid w:val="00A4355E"/>
    <w:rsid w:val="00A47344"/>
    <w:rsid w:val="00A51C8F"/>
    <w:rsid w:val="00A520D9"/>
    <w:rsid w:val="00A55BB5"/>
    <w:rsid w:val="00A721BB"/>
    <w:rsid w:val="00A748E6"/>
    <w:rsid w:val="00A86D76"/>
    <w:rsid w:val="00A8710A"/>
    <w:rsid w:val="00A92071"/>
    <w:rsid w:val="00A92793"/>
    <w:rsid w:val="00A92BCD"/>
    <w:rsid w:val="00A94B11"/>
    <w:rsid w:val="00AA0769"/>
    <w:rsid w:val="00AA0E85"/>
    <w:rsid w:val="00AA1B0E"/>
    <w:rsid w:val="00AA47B6"/>
    <w:rsid w:val="00AB5DCC"/>
    <w:rsid w:val="00AC163B"/>
    <w:rsid w:val="00AC5CA7"/>
    <w:rsid w:val="00AC6058"/>
    <w:rsid w:val="00AE0D3C"/>
    <w:rsid w:val="00AE2BA5"/>
    <w:rsid w:val="00AE31B6"/>
    <w:rsid w:val="00AE56B1"/>
    <w:rsid w:val="00AE6D09"/>
    <w:rsid w:val="00AF01BB"/>
    <w:rsid w:val="00AF7A7C"/>
    <w:rsid w:val="00B02070"/>
    <w:rsid w:val="00B031B5"/>
    <w:rsid w:val="00B04D04"/>
    <w:rsid w:val="00B11FE5"/>
    <w:rsid w:val="00B30831"/>
    <w:rsid w:val="00B3151A"/>
    <w:rsid w:val="00B335BD"/>
    <w:rsid w:val="00B408B6"/>
    <w:rsid w:val="00B4225D"/>
    <w:rsid w:val="00B52C41"/>
    <w:rsid w:val="00B542DA"/>
    <w:rsid w:val="00B611B9"/>
    <w:rsid w:val="00B73862"/>
    <w:rsid w:val="00B73F43"/>
    <w:rsid w:val="00B75BBF"/>
    <w:rsid w:val="00B76464"/>
    <w:rsid w:val="00B97810"/>
    <w:rsid w:val="00BA3D9A"/>
    <w:rsid w:val="00BA6B66"/>
    <w:rsid w:val="00BA6E48"/>
    <w:rsid w:val="00BB246A"/>
    <w:rsid w:val="00BC5F88"/>
    <w:rsid w:val="00BC706A"/>
    <w:rsid w:val="00BC7EEF"/>
    <w:rsid w:val="00BE0AF6"/>
    <w:rsid w:val="00BE1F03"/>
    <w:rsid w:val="00BE58A7"/>
    <w:rsid w:val="00BF2218"/>
    <w:rsid w:val="00C0426B"/>
    <w:rsid w:val="00C045DF"/>
    <w:rsid w:val="00C178EF"/>
    <w:rsid w:val="00C26D43"/>
    <w:rsid w:val="00C4263B"/>
    <w:rsid w:val="00C46548"/>
    <w:rsid w:val="00C512F2"/>
    <w:rsid w:val="00C574D5"/>
    <w:rsid w:val="00C62FCA"/>
    <w:rsid w:val="00C73F32"/>
    <w:rsid w:val="00C81F05"/>
    <w:rsid w:val="00C85B70"/>
    <w:rsid w:val="00C87462"/>
    <w:rsid w:val="00C94B25"/>
    <w:rsid w:val="00CA030C"/>
    <w:rsid w:val="00CA180C"/>
    <w:rsid w:val="00CB22B2"/>
    <w:rsid w:val="00CB5375"/>
    <w:rsid w:val="00CB7811"/>
    <w:rsid w:val="00CC0DB9"/>
    <w:rsid w:val="00CC3B26"/>
    <w:rsid w:val="00CC3EE2"/>
    <w:rsid w:val="00CD7492"/>
    <w:rsid w:val="00CE18C0"/>
    <w:rsid w:val="00CE3A6B"/>
    <w:rsid w:val="00D00211"/>
    <w:rsid w:val="00D06309"/>
    <w:rsid w:val="00D254D6"/>
    <w:rsid w:val="00D351EA"/>
    <w:rsid w:val="00D40288"/>
    <w:rsid w:val="00D43403"/>
    <w:rsid w:val="00D452E4"/>
    <w:rsid w:val="00D47BBD"/>
    <w:rsid w:val="00D5270B"/>
    <w:rsid w:val="00D52E2A"/>
    <w:rsid w:val="00D5321F"/>
    <w:rsid w:val="00D606B6"/>
    <w:rsid w:val="00D608EF"/>
    <w:rsid w:val="00D62E71"/>
    <w:rsid w:val="00D6430D"/>
    <w:rsid w:val="00D65E2D"/>
    <w:rsid w:val="00D66188"/>
    <w:rsid w:val="00D67383"/>
    <w:rsid w:val="00D731F6"/>
    <w:rsid w:val="00D740BC"/>
    <w:rsid w:val="00D740CA"/>
    <w:rsid w:val="00D85728"/>
    <w:rsid w:val="00D95481"/>
    <w:rsid w:val="00D976C1"/>
    <w:rsid w:val="00D97FF2"/>
    <w:rsid w:val="00DA3455"/>
    <w:rsid w:val="00DB16AB"/>
    <w:rsid w:val="00DC158C"/>
    <w:rsid w:val="00DC3DAF"/>
    <w:rsid w:val="00DC5C9E"/>
    <w:rsid w:val="00DC7A13"/>
    <w:rsid w:val="00DD0F48"/>
    <w:rsid w:val="00DD51E3"/>
    <w:rsid w:val="00DF2997"/>
    <w:rsid w:val="00E10BC4"/>
    <w:rsid w:val="00E1415D"/>
    <w:rsid w:val="00E160C3"/>
    <w:rsid w:val="00E26EB9"/>
    <w:rsid w:val="00E323E9"/>
    <w:rsid w:val="00E34018"/>
    <w:rsid w:val="00E358A7"/>
    <w:rsid w:val="00E36DB1"/>
    <w:rsid w:val="00E437D2"/>
    <w:rsid w:val="00E55751"/>
    <w:rsid w:val="00E61FCA"/>
    <w:rsid w:val="00E6369D"/>
    <w:rsid w:val="00E64A4E"/>
    <w:rsid w:val="00E7276B"/>
    <w:rsid w:val="00E73333"/>
    <w:rsid w:val="00E85A50"/>
    <w:rsid w:val="00E87F27"/>
    <w:rsid w:val="00EA2311"/>
    <w:rsid w:val="00EB5BF0"/>
    <w:rsid w:val="00EC5619"/>
    <w:rsid w:val="00EC66C6"/>
    <w:rsid w:val="00EC68AD"/>
    <w:rsid w:val="00EC7BC3"/>
    <w:rsid w:val="00ED73CC"/>
    <w:rsid w:val="00ED7600"/>
    <w:rsid w:val="00EF272F"/>
    <w:rsid w:val="00EF6073"/>
    <w:rsid w:val="00EF6271"/>
    <w:rsid w:val="00EF698B"/>
    <w:rsid w:val="00F1362C"/>
    <w:rsid w:val="00F21EDF"/>
    <w:rsid w:val="00F414F1"/>
    <w:rsid w:val="00F508B8"/>
    <w:rsid w:val="00F62A70"/>
    <w:rsid w:val="00F701FC"/>
    <w:rsid w:val="00F72CB1"/>
    <w:rsid w:val="00F73253"/>
    <w:rsid w:val="00F7430D"/>
    <w:rsid w:val="00F77092"/>
    <w:rsid w:val="00F8215E"/>
    <w:rsid w:val="00F824F5"/>
    <w:rsid w:val="00F85D39"/>
    <w:rsid w:val="00F90FAB"/>
    <w:rsid w:val="00F92858"/>
    <w:rsid w:val="00F9308D"/>
    <w:rsid w:val="00F931F2"/>
    <w:rsid w:val="00F9374D"/>
    <w:rsid w:val="00F9670A"/>
    <w:rsid w:val="00FB3122"/>
    <w:rsid w:val="00FB6502"/>
    <w:rsid w:val="00FC29B9"/>
    <w:rsid w:val="00FC6FD3"/>
    <w:rsid w:val="00FC74FF"/>
    <w:rsid w:val="00FC7563"/>
    <w:rsid w:val="00FC776F"/>
    <w:rsid w:val="00FE305C"/>
    <w:rsid w:val="00FE6D32"/>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27EA9"/>
  <w15:chartTrackingRefBased/>
  <w15:docId w15:val="{036CEBD1-A9A2-4982-A73F-B992A3F10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8E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905C4D"/>
    <w:pPr>
      <w:tabs>
        <w:tab w:val="right" w:leader="dot" w:pos="9617"/>
      </w:tabs>
      <w:spacing w:after="100"/>
    </w:pPr>
  </w:style>
  <w:style w:type="paragraph" w:styleId="TOC5">
    <w:name w:val="toc 5"/>
    <w:aliases w:val="Proposal"/>
    <w:basedOn w:val="Normal"/>
    <w:next w:val="Normal"/>
    <w:autoRedefine/>
    <w:uiPriority w:val="39"/>
    <w:unhideWhenUsed/>
    <w:rsid w:val="000F0689"/>
    <w:pPr>
      <w:tabs>
        <w:tab w:val="right" w:leader="dot" w:pos="9617"/>
      </w:tabs>
      <w:spacing w:after="100"/>
    </w:pPr>
    <w:rPr>
      <w:b/>
    </w:rPr>
  </w:style>
  <w:style w:type="paragraph" w:styleId="NormalWeb">
    <w:name w:val="Normal (Web)"/>
    <w:basedOn w:val="Normal"/>
    <w:uiPriority w:val="99"/>
    <w:unhideWhenUsed/>
    <w:rsid w:val="006100ED"/>
    <w:pPr>
      <w:spacing w:before="100" w:beforeAutospacing="1" w:after="100" w:afterAutospacing="1" w:line="240" w:lineRule="auto"/>
    </w:pPr>
    <w:rPr>
      <w:rFonts w:ascii="Calibri" w:hAnsi="Calibri" w:cs="Calibri"/>
      <w:sz w:val="22"/>
    </w:rPr>
  </w:style>
  <w:style w:type="paragraph" w:styleId="Revision">
    <w:name w:val="Revision"/>
    <w:hidden/>
    <w:uiPriority w:val="99"/>
    <w:semiHidden/>
    <w:rsid w:val="00196EA9"/>
    <w:pPr>
      <w:spacing w:after="0" w:line="240" w:lineRule="auto"/>
    </w:pPr>
    <w:rPr>
      <w:rFonts w:ascii="Times New Roman" w:hAnsi="Times New Roman"/>
      <w:sz w:val="20"/>
    </w:rPr>
  </w:style>
  <w:style w:type="character" w:styleId="Mention">
    <w:name w:val="Mention"/>
    <w:basedOn w:val="DefaultParagraphFont"/>
    <w:uiPriority w:val="99"/>
    <w:unhideWhenUsed/>
    <w:rsid w:val="007E6F64"/>
    <w:rPr>
      <w:color w:val="2B579A"/>
      <w:shd w:val="clear" w:color="auto" w:fill="E1DFDD"/>
    </w:rPr>
  </w:style>
  <w:style w:type="paragraph" w:styleId="Header">
    <w:name w:val="header"/>
    <w:basedOn w:val="Normal"/>
    <w:link w:val="HeaderChar"/>
    <w:uiPriority w:val="99"/>
    <w:semiHidden/>
    <w:unhideWhenUsed/>
    <w:rsid w:val="00031CC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31CC5"/>
    <w:rPr>
      <w:rFonts w:ascii="Times New Roman" w:hAnsi="Times New Roman"/>
      <w:sz w:val="20"/>
    </w:rPr>
  </w:style>
  <w:style w:type="paragraph" w:styleId="Footer">
    <w:name w:val="footer"/>
    <w:basedOn w:val="Normal"/>
    <w:link w:val="FooterChar"/>
    <w:uiPriority w:val="99"/>
    <w:semiHidden/>
    <w:unhideWhenUsed/>
    <w:rsid w:val="00031CC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31CC5"/>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302340">
      <w:bodyDiv w:val="1"/>
      <w:marLeft w:val="0"/>
      <w:marRight w:val="0"/>
      <w:marTop w:val="0"/>
      <w:marBottom w:val="0"/>
      <w:divBdr>
        <w:top w:val="none" w:sz="0" w:space="0" w:color="auto"/>
        <w:left w:val="none" w:sz="0" w:space="0" w:color="auto"/>
        <w:bottom w:val="none" w:sz="0" w:space="0" w:color="auto"/>
        <w:right w:val="none" w:sz="0" w:space="0" w:color="auto"/>
      </w:divBdr>
    </w:div>
    <w:div w:id="127057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7%20Incheon\!Templates\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5AIRPNAIUNRU-1328258698-23139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https://nokia.sharepoint.com/sites/c5g/5gradio/_layouts/15/DocIdRedir.aspx?ID=5AIRPNAIUNRU-1328258698-23139</Url>
      <Description>5AIRPNAIUNRU-1328258698-23139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www.w3.org/XML/1998/namespace"/>
    <ds:schemaRef ds:uri="http://purl.org/dc/terms/"/>
    <ds:schemaRef ds:uri="3b34c8f0-1ef5-4d1e-bb66-517ce7fe7356"/>
    <ds:schemaRef ds:uri="http://purl.org/dc/dcmitype/"/>
    <ds:schemaRef ds:uri="0b6aed8e-0313-4d17-80ff-d0e5da4931c5"/>
    <ds:schemaRef ds:uri="http://schemas.microsoft.com/office/infopath/2007/PartnerControls"/>
    <ds:schemaRef ds:uri="http://schemas.microsoft.com/office/2006/documentManagement/types"/>
    <ds:schemaRef ds:uri="http://schemas.openxmlformats.org/package/2006/metadata/core-properties"/>
    <ds:schemaRef ds:uri="71c5aaf6-e6ce-465b-b873-5148d2a4c105"/>
    <ds:schemaRef ds:uri="http://purl.org/dc/elements/1.1/"/>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1</TotalTime>
  <Pages>4</Pages>
  <Words>1325</Words>
  <Characters>7558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4</cp:revision>
  <dcterms:created xsi:type="dcterms:W3CDTF">2023-05-15T18:19:00Z</dcterms:created>
  <dcterms:modified xsi:type="dcterms:W3CDTF">2023-05-15T18:20:00Z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0a3eea61-ec56-41f8-973a-4a91d5f3953b</vt:lpwstr>
  </property>
  <property fmtid="{D5CDD505-2E9C-101B-9397-08002B2CF9AE}" pid="11" name="MediaServiceImageTags">
    <vt:lpwstr/>
  </property>
</Properties>
</file>