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7980E" w14:textId="3BB40528" w:rsidR="003B61A8" w:rsidRDefault="003B61A8" w:rsidP="003B61A8">
      <w:pPr>
        <w:pStyle w:val="Header"/>
        <w:tabs>
          <w:tab w:val="right" w:pos="9356"/>
          <w:tab w:val="right" w:pos="10206"/>
        </w:tabs>
        <w:rPr>
          <w:rFonts w:cs="Arial"/>
          <w:i/>
          <w:sz w:val="24"/>
        </w:rPr>
      </w:pPr>
      <w:bookmarkStart w:id="0" w:name="_Toc491868096"/>
      <w:r>
        <w:rPr>
          <w:rFonts w:cs="Arial"/>
          <w:sz w:val="24"/>
        </w:rPr>
        <w:t xml:space="preserve">TSG-RAN Working Group 4 (Radio) meeting </w:t>
      </w:r>
      <w:r w:rsidR="00BF1C81">
        <w:rPr>
          <w:rFonts w:cs="Arial"/>
          <w:sz w:val="24"/>
        </w:rPr>
        <w:t>#</w:t>
      </w:r>
      <w:r w:rsidR="006C791A">
        <w:rPr>
          <w:rFonts w:cs="Arial"/>
          <w:sz w:val="24"/>
        </w:rPr>
        <w:t>107</w:t>
      </w:r>
      <w:r>
        <w:rPr>
          <w:rFonts w:cs="Arial"/>
          <w:i/>
          <w:sz w:val="24"/>
        </w:rPr>
        <w:tab/>
      </w:r>
      <w:r>
        <w:rPr>
          <w:rFonts w:cs="Arial"/>
          <w:iCs/>
          <w:sz w:val="24"/>
        </w:rPr>
        <w:t>R4-</w:t>
      </w:r>
      <w:r w:rsidR="00EF6D1F">
        <w:rPr>
          <w:rFonts w:cs="Arial"/>
          <w:sz w:val="24"/>
        </w:rPr>
        <w:t>2307694</w:t>
      </w:r>
    </w:p>
    <w:p w14:paraId="225BCA78" w14:textId="45812A72" w:rsidR="00070795" w:rsidRDefault="006C791A" w:rsidP="00070795">
      <w:pPr>
        <w:pStyle w:val="Header"/>
        <w:tabs>
          <w:tab w:val="right" w:pos="10206"/>
        </w:tabs>
        <w:spacing w:after="120"/>
        <w:rPr>
          <w:rFonts w:cs="Arial"/>
          <w:sz w:val="24"/>
        </w:rPr>
      </w:pPr>
      <w:r>
        <w:rPr>
          <w:rFonts w:cs="Arial"/>
          <w:sz w:val="24"/>
        </w:rPr>
        <w:t>Incheon, Korea</w:t>
      </w:r>
      <w:r w:rsidR="00070795">
        <w:rPr>
          <w:rFonts w:cs="Arial"/>
          <w:sz w:val="24"/>
        </w:rPr>
        <w:t>,</w:t>
      </w:r>
      <w:r w:rsidR="00E01242">
        <w:rPr>
          <w:rFonts w:cs="Arial"/>
          <w:sz w:val="24"/>
        </w:rPr>
        <w:t xml:space="preserve"> </w:t>
      </w:r>
      <w:r>
        <w:rPr>
          <w:rFonts w:cs="Arial"/>
          <w:sz w:val="24"/>
        </w:rPr>
        <w:t>22</w:t>
      </w:r>
      <w:r w:rsidRPr="00CE4DE3">
        <w:rPr>
          <w:rFonts w:cs="Arial"/>
          <w:sz w:val="24"/>
          <w:vertAlign w:val="superscript"/>
        </w:rPr>
        <w:t>nd</w:t>
      </w:r>
      <w:r>
        <w:rPr>
          <w:rFonts w:cs="Arial"/>
          <w:sz w:val="24"/>
        </w:rPr>
        <w:t xml:space="preserve"> to 26</w:t>
      </w:r>
      <w:r w:rsidRPr="00CE4DE3">
        <w:rPr>
          <w:rFonts w:cs="Arial"/>
          <w:sz w:val="24"/>
          <w:vertAlign w:val="superscript"/>
        </w:rPr>
        <w:t>th</w:t>
      </w:r>
      <w:r>
        <w:rPr>
          <w:rFonts w:cs="Arial"/>
          <w:sz w:val="24"/>
        </w:rPr>
        <w:t xml:space="preserve"> May</w:t>
      </w:r>
      <w:r w:rsidR="000D59CF">
        <w:rPr>
          <w:rFonts w:cs="Arial"/>
          <w:sz w:val="24"/>
        </w:rPr>
        <w:t xml:space="preserve"> 2023</w:t>
      </w:r>
      <w:r w:rsidR="00A81D3C">
        <w:rPr>
          <w:rFonts w:cs="Arial"/>
          <w:sz w:val="24"/>
          <w:vertAlign w:val="superscript"/>
        </w:rPr>
        <w:t xml:space="preserve"> </w:t>
      </w:r>
    </w:p>
    <w:p w14:paraId="5BE65FC9" w14:textId="77777777" w:rsidR="003B61A8" w:rsidRDefault="003B61A8" w:rsidP="003B61A8">
      <w:pPr>
        <w:spacing w:after="120"/>
        <w:ind w:left="1985" w:hanging="1985"/>
        <w:rPr>
          <w:rFonts w:ascii="Arial" w:hAnsi="Arial" w:cs="Arial"/>
          <w:b/>
        </w:rPr>
      </w:pPr>
    </w:p>
    <w:p w14:paraId="2FF594BC" w14:textId="1F88F97B"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r w:rsidR="00901204">
        <w:rPr>
          <w:rFonts w:ascii="Arial" w:hAnsi="Arial" w:cs="Arial"/>
          <w:bCs/>
        </w:rPr>
        <w:t>, NIST, Bluetest</w:t>
      </w:r>
    </w:p>
    <w:p w14:paraId="7B57CDA7" w14:textId="4F2E824E"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947DB9">
        <w:rPr>
          <w:rFonts w:ascii="Arial" w:hAnsi="Arial" w:cs="Arial"/>
        </w:rPr>
        <w:t>Improvement of RC test method description in TR 37.941</w:t>
      </w:r>
    </w:p>
    <w:p w14:paraId="72798C4E" w14:textId="4649C0CE" w:rsidR="003B61A8" w:rsidRPr="00070795" w:rsidRDefault="003B61A8" w:rsidP="003B61A8">
      <w:pPr>
        <w:spacing w:after="120"/>
        <w:ind w:left="1985" w:hanging="1985"/>
        <w:rPr>
          <w:rFonts w:ascii="Arial" w:hAnsi="Arial" w:cs="Arial"/>
          <w:bCs/>
          <w:color w:val="FF0000"/>
          <w:lang w:val="en-US"/>
        </w:rPr>
      </w:pPr>
      <w:r w:rsidRPr="00070795">
        <w:rPr>
          <w:rFonts w:ascii="Arial" w:hAnsi="Arial" w:cs="Arial"/>
          <w:b/>
          <w:lang w:val="en-US"/>
        </w:rPr>
        <w:t>Agenda item:</w:t>
      </w:r>
      <w:r w:rsidRPr="00070795">
        <w:rPr>
          <w:rFonts w:ascii="Arial" w:hAnsi="Arial" w:cs="Arial"/>
          <w:b/>
          <w:lang w:val="en-US"/>
        </w:rPr>
        <w:tab/>
      </w:r>
      <w:r w:rsidR="00533D65">
        <w:rPr>
          <w:rFonts w:ascii="Arial" w:hAnsi="Arial" w:cs="Arial"/>
          <w:bCs/>
          <w:lang w:val="en-US"/>
        </w:rPr>
        <w:t>5.2.10.1</w:t>
      </w:r>
    </w:p>
    <w:p w14:paraId="3C088A4A" w14:textId="39B633B7"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0062745C" w:rsidRPr="0062745C">
        <w:rPr>
          <w:rFonts w:ascii="Arial" w:hAnsi="Arial" w:cs="Arial"/>
        </w:rPr>
        <w:t>Discussion</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5B396288" w14:textId="128577E9" w:rsidR="003A79FF" w:rsidRDefault="003A79FF" w:rsidP="003A79FF">
      <w:pPr>
        <w:pStyle w:val="BodyText"/>
      </w:pPr>
      <w:r>
        <w:t xml:space="preserve">The Reverberation Chamber (RC) Technology provides efficient testing for Total Radiated Power (TRP) based requirements for </w:t>
      </w:r>
      <w:r w:rsidR="001F1621">
        <w:t xml:space="preserve">BS </w:t>
      </w:r>
      <w:r>
        <w:t xml:space="preserve">type 1-O and </w:t>
      </w:r>
      <w:r w:rsidR="001F1621">
        <w:t xml:space="preserve">BS type </w:t>
      </w:r>
      <w:r>
        <w:t xml:space="preserve">2-O </w:t>
      </w:r>
      <w:r w:rsidR="001F1621">
        <w:t xml:space="preserve">in </w:t>
      </w:r>
      <w:r>
        <w:t>TS 38.141-</w:t>
      </w:r>
      <w:r w:rsidR="001F1621">
        <w:t>2</w:t>
      </w:r>
      <w:r w:rsidR="005E130E">
        <w:t xml:space="preserve"> [1]</w:t>
      </w:r>
      <w:r>
        <w:t xml:space="preserve">. Compared to using the Indoor Anechoic Chamber (IAC) or the Compact Antenna Test Range (CATR) the RC is order of magnitudes faster which is crucial to practically manage to measure, </w:t>
      </w:r>
      <w:r w:rsidR="001F1621">
        <w:t>e.g.,</w:t>
      </w:r>
      <w:r>
        <w:t xml:space="preserve"> spurious emissions over large bandwidths. The RC technology is based on providing a spatially uniformly distributed field, by using one or many stirring mechanisms. The needed RC measurements are captured in the following four steps:</w:t>
      </w:r>
    </w:p>
    <w:p w14:paraId="097459A9" w14:textId="3F54EC56" w:rsidR="001F1621" w:rsidRDefault="003A79FF" w:rsidP="001F1621">
      <w:pPr>
        <w:pStyle w:val="BodyText"/>
        <w:numPr>
          <w:ilvl w:val="0"/>
          <w:numId w:val="7"/>
        </w:numPr>
      </w:pPr>
      <w:r>
        <w:t xml:space="preserve">Characterization, see TR 37.941, </w:t>
      </w:r>
      <w:r w:rsidR="00EB6BD7">
        <w:t>Subc</w:t>
      </w:r>
      <w:r>
        <w:t>lause 7.8.1</w:t>
      </w:r>
    </w:p>
    <w:p w14:paraId="46FB8560" w14:textId="27C11C3A" w:rsidR="001F1621" w:rsidRDefault="003A79FF" w:rsidP="006D0667">
      <w:pPr>
        <w:pStyle w:val="BodyText"/>
        <w:numPr>
          <w:ilvl w:val="0"/>
          <w:numId w:val="7"/>
        </w:numPr>
      </w:pPr>
      <w:r>
        <w:t xml:space="preserve">Calibration, see TR 37.941, </w:t>
      </w:r>
      <w:r w:rsidR="00EB6BD7">
        <w:t>Subc</w:t>
      </w:r>
      <w:r>
        <w:t>lause 8.8</w:t>
      </w:r>
    </w:p>
    <w:p w14:paraId="266F9CB1" w14:textId="1C8C7AEC" w:rsidR="001F1621" w:rsidRDefault="003A79FF" w:rsidP="006D0667">
      <w:pPr>
        <w:pStyle w:val="BodyText"/>
        <w:numPr>
          <w:ilvl w:val="0"/>
          <w:numId w:val="7"/>
        </w:numPr>
      </w:pPr>
      <w:r>
        <w:t xml:space="preserve">Ambient noise measurement, see TR 37.941, </w:t>
      </w:r>
      <w:r w:rsidR="00EB6BD7">
        <w:t>Subc</w:t>
      </w:r>
      <w:r>
        <w:t>lause 8.8</w:t>
      </w:r>
    </w:p>
    <w:p w14:paraId="28AE417C" w14:textId="71E2D92C" w:rsidR="003A79FF" w:rsidRDefault="003A79FF" w:rsidP="001F1621">
      <w:pPr>
        <w:pStyle w:val="BodyText"/>
        <w:numPr>
          <w:ilvl w:val="0"/>
          <w:numId w:val="7"/>
        </w:numPr>
      </w:pPr>
      <w:r>
        <w:t xml:space="preserve">TRP measurement, see TR 37.941, </w:t>
      </w:r>
      <w:r w:rsidR="00EB6BD7">
        <w:t>Subc</w:t>
      </w:r>
      <w:r>
        <w:t>lause 8.8</w:t>
      </w:r>
    </w:p>
    <w:p w14:paraId="4012F03D" w14:textId="4ECC25D4" w:rsidR="003A79FF" w:rsidRDefault="003A79FF" w:rsidP="003A79FF">
      <w:pPr>
        <w:pStyle w:val="BodyText"/>
      </w:pPr>
      <w:r>
        <w:t xml:space="preserve">A new characterization is needed when changes in the chamber or DUT could lead to reduced spatial degrees of freedom, quantified as number of independent samples. For example, when a new stirring mechanism is introduced or the loading in the chamber is increased by using a larger DUT or using more absorbers to get enough bandwidth for the measurement. A crucial result in the characterization is to </w:t>
      </w:r>
      <w:r w:rsidR="00C704B6">
        <w:t>reliably determine the number</w:t>
      </w:r>
      <w:r>
        <w:t xml:space="preserve"> of independent samples in order to control the accuracy in the estimation of the TRP. </w:t>
      </w:r>
      <w:r w:rsidR="00D42F9C" w:rsidRPr="00D42F9C">
        <w:t>Methods for accomplishing this are discussed.</w:t>
      </w:r>
      <w:r>
        <w:t xml:space="preserve">  </w:t>
      </w:r>
    </w:p>
    <w:p w14:paraId="3C1CDA65" w14:textId="46BC2F97" w:rsidR="003A79FF" w:rsidRPr="007D610C" w:rsidRDefault="00EB6BD7" w:rsidP="0062745C">
      <w:pPr>
        <w:pStyle w:val="BodyText"/>
      </w:pPr>
      <w:r>
        <w:t>In a companion contribution</w:t>
      </w:r>
      <w:r w:rsidR="007C2422">
        <w:t xml:space="preserve"> [</w:t>
      </w:r>
      <w:r w:rsidR="00D162EE">
        <w:t>2</w:t>
      </w:r>
      <w:r w:rsidR="007C2422">
        <w:t>]</w:t>
      </w:r>
      <w:r>
        <w:t xml:space="preserve"> </w:t>
      </w:r>
      <w:r w:rsidR="007C2422">
        <w:t>a</w:t>
      </w:r>
      <w:r>
        <w:t xml:space="preserve"> CR to </w:t>
      </w:r>
      <w:r w:rsidR="007C2422">
        <w:t xml:space="preserve">TR </w:t>
      </w:r>
      <w:r w:rsidR="007A5D9A">
        <w:t xml:space="preserve">37.941 updating the technical background information is provided for approval. </w:t>
      </w:r>
    </w:p>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0D8C3AD5" w14:textId="03E63CEF" w:rsidR="00615F29" w:rsidRDefault="00615F29" w:rsidP="00615F29">
      <w:pPr>
        <w:pStyle w:val="BodyText"/>
      </w:pPr>
      <w:r>
        <w:t xml:space="preserve">Correctly identifying the number of spatially uncorrelated (independent) samples </w:t>
      </w:r>
      <w:r w:rsidRPr="009729FD">
        <w:rPr>
          <w:rFonts w:ascii="Cambria Math" w:hAnsi="Cambria Math"/>
          <w:i/>
          <w:iCs/>
        </w:rPr>
        <w:t>N</w:t>
      </w:r>
      <w:r w:rsidRPr="009729FD">
        <w:rPr>
          <w:rFonts w:ascii="Cambria Math" w:hAnsi="Cambria Math"/>
          <w:i/>
          <w:iCs/>
          <w:vertAlign w:val="subscript"/>
        </w:rPr>
        <w:t>ind</w:t>
      </w:r>
      <w:r>
        <w:t xml:space="preserve"> in a reverberation chamber is essential for accurately estimating TRP and the corresponding uncertainty. If </w:t>
      </w:r>
      <w:r w:rsidRPr="009729FD">
        <w:rPr>
          <w:rFonts w:ascii="Cambria Math" w:hAnsi="Cambria Math"/>
          <w:i/>
          <w:iCs/>
        </w:rPr>
        <w:t>N</w:t>
      </w:r>
      <w:r w:rsidRPr="009729FD">
        <w:rPr>
          <w:rFonts w:ascii="Cambria Math" w:hAnsi="Cambria Math"/>
          <w:i/>
          <w:iCs/>
          <w:vertAlign w:val="subscript"/>
        </w:rPr>
        <w:t>ind</w:t>
      </w:r>
      <w:r>
        <w:t xml:space="preserve"> is incorrectly overestimated the uncertainty may be underestimated, which could lead to passing a device that should have failed the corresponding TRP test. On the other hand, if </w:t>
      </w:r>
      <w:r w:rsidRPr="009729FD">
        <w:rPr>
          <w:rFonts w:ascii="Cambria Math" w:hAnsi="Cambria Math"/>
          <w:i/>
          <w:iCs/>
        </w:rPr>
        <w:t>N</w:t>
      </w:r>
      <w:r w:rsidRPr="009729FD">
        <w:rPr>
          <w:rFonts w:ascii="Cambria Math" w:hAnsi="Cambria Math"/>
          <w:i/>
          <w:iCs/>
          <w:vertAlign w:val="subscript"/>
        </w:rPr>
        <w:t>ind</w:t>
      </w:r>
      <w:r>
        <w:t xml:space="preserve"> is underestimated, the chamber/stirring/DUT combination could be deemed not appropriate, whereas in reality it could be. Thus, a concise yet accurate method for finding </w:t>
      </w:r>
      <w:r w:rsidRPr="009729FD">
        <w:rPr>
          <w:rFonts w:ascii="Cambria Math" w:hAnsi="Cambria Math"/>
          <w:i/>
          <w:iCs/>
        </w:rPr>
        <w:t>N</w:t>
      </w:r>
      <w:r w:rsidRPr="009729FD">
        <w:rPr>
          <w:rFonts w:ascii="Cambria Math" w:hAnsi="Cambria Math"/>
          <w:i/>
          <w:iCs/>
          <w:vertAlign w:val="subscript"/>
        </w:rPr>
        <w:t>ind</w:t>
      </w:r>
      <w:r>
        <w:t xml:space="preserve"> is critical.</w:t>
      </w:r>
    </w:p>
    <w:p w14:paraId="57B9B20D" w14:textId="77777777" w:rsidR="00615F29" w:rsidRDefault="00615F29" w:rsidP="00615F29">
      <w:pPr>
        <w:pStyle w:val="BodyText"/>
      </w:pPr>
      <w:r w:rsidRPr="009729FD">
        <w:rPr>
          <w:b/>
          <w:bCs/>
          <w:u w:val="single"/>
        </w:rPr>
        <w:t>Observation 1:</w:t>
      </w:r>
      <w:r>
        <w:t xml:space="preserve"> Estimation of the number of independent samples is part of the characterization procedure for the Reverberation Chamber and needs to be revisited after adjustments that could lead to a reduction of the number of independent samples. </w:t>
      </w:r>
    </w:p>
    <w:p w14:paraId="09F0912A" w14:textId="77777777" w:rsidR="00615F29" w:rsidRDefault="00615F29" w:rsidP="00615F29">
      <w:pPr>
        <w:pStyle w:val="BodyText"/>
      </w:pPr>
      <w:r w:rsidRPr="009729FD">
        <w:rPr>
          <w:b/>
          <w:bCs/>
          <w:u w:val="single"/>
        </w:rPr>
        <w:t>Observation 2:</w:t>
      </w:r>
      <w:r>
        <w:t xml:space="preserve"> Inaccurately estimating the number of independent samples implies either passing of faulty devices or prohibition of the use of acceptable test environments.</w:t>
      </w:r>
    </w:p>
    <w:p w14:paraId="48651DD2" w14:textId="4A2A4E05" w:rsidR="004B372C" w:rsidRDefault="00615F29" w:rsidP="00615F29">
      <w:pPr>
        <w:pStyle w:val="BodyText"/>
      </w:pPr>
      <w:r>
        <w:t xml:space="preserve">The current method determines the separation (offset) </w:t>
      </w:r>
      <w:r w:rsidRPr="009729FD">
        <w:rPr>
          <w:rFonts w:ascii="Cambria Math" w:hAnsi="Cambria Math"/>
          <w:i/>
          <w:iCs/>
        </w:rPr>
        <w:t>k</w:t>
      </w:r>
      <w:r>
        <w:t xml:space="preserve"> between uncorrelated samples from the minimum </w:t>
      </w:r>
      <w:r w:rsidRPr="009729FD">
        <w:rPr>
          <w:rFonts w:ascii="Cambria Math" w:hAnsi="Cambria Math"/>
          <w:i/>
          <w:iCs/>
        </w:rPr>
        <w:t>k</w:t>
      </w:r>
      <w:r>
        <w:t xml:space="preserve">-value satisfying </w:t>
      </w:r>
      <w:r w:rsidRPr="009729FD">
        <w:rPr>
          <w:rFonts w:ascii="Cambria Math" w:hAnsi="Cambria Math"/>
          <w:i/>
          <w:iCs/>
        </w:rPr>
        <w:t>r(k)≤r</w:t>
      </w:r>
      <w:r w:rsidRPr="009729FD">
        <w:rPr>
          <w:rFonts w:ascii="Cambria Math" w:hAnsi="Cambria Math"/>
          <w:i/>
          <w:iCs/>
          <w:vertAlign w:val="subscript"/>
        </w:rPr>
        <w:t>lim</w:t>
      </w:r>
      <w:r>
        <w:t xml:space="preserve">. Here, </w:t>
      </w:r>
      <w:r w:rsidRPr="009729FD">
        <w:rPr>
          <w:rFonts w:ascii="Cambria Math" w:hAnsi="Cambria Math"/>
          <w:i/>
          <w:iCs/>
        </w:rPr>
        <w:t>r(k)</w:t>
      </w:r>
      <w:r>
        <w:t xml:space="preserve"> is the autocorrelation of the stirring sequence. </w:t>
      </w:r>
      <w:r w:rsidRPr="009729FD">
        <w:rPr>
          <w:rFonts w:ascii="Cambria Math" w:hAnsi="Cambria Math"/>
          <w:i/>
          <w:iCs/>
        </w:rPr>
        <w:t>N</w:t>
      </w:r>
      <w:r w:rsidRPr="009729FD">
        <w:rPr>
          <w:rFonts w:ascii="Cambria Math" w:hAnsi="Cambria Math"/>
          <w:i/>
          <w:iCs/>
          <w:vertAlign w:val="subscript"/>
        </w:rPr>
        <w:t>ind</w:t>
      </w:r>
      <w:r>
        <w:t xml:space="preserve"> is then found by dividing the total number of acquired samples </w:t>
      </w:r>
      <w:r w:rsidRPr="009729FD">
        <w:rPr>
          <w:rFonts w:ascii="Cambria Math" w:hAnsi="Cambria Math"/>
          <w:i/>
          <w:iCs/>
        </w:rPr>
        <w:t>N</w:t>
      </w:r>
      <w:r>
        <w:t xml:space="preserve"> by </w:t>
      </w:r>
      <w:r w:rsidRPr="009729FD">
        <w:rPr>
          <w:rFonts w:ascii="Cambria Math" w:hAnsi="Cambria Math"/>
          <w:i/>
          <w:iCs/>
        </w:rPr>
        <w:t>k</w:t>
      </w:r>
      <w:r>
        <w:t xml:space="preserve">. This method makes sense for stirring sequences where the correlation becomes successively smaller when comparing samples with increasing offset </w:t>
      </w:r>
      <w:r w:rsidRPr="009729FD">
        <w:rPr>
          <w:rFonts w:ascii="Cambria Math" w:hAnsi="Cambria Math"/>
          <w:i/>
          <w:iCs/>
        </w:rPr>
        <w:t>k</w:t>
      </w:r>
      <w:r>
        <w:t xml:space="preserve"> between measured samples. An example is a stirring sequence with a rotating mechanical mode-stirring paddle measured at consecutively increasing angles.</w:t>
      </w:r>
    </w:p>
    <w:p w14:paraId="6A35EB29" w14:textId="5E1A0CD6" w:rsidR="004B372C" w:rsidRDefault="009729FD" w:rsidP="00D85D56">
      <w:pPr>
        <w:pStyle w:val="BodyText"/>
        <w:jc w:val="center"/>
      </w:pPr>
      <w:r w:rsidRPr="00417475">
        <w:rPr>
          <w:rFonts w:eastAsiaTheme="minorEastAsia"/>
          <w:b/>
          <w:bCs/>
          <w:noProof/>
          <w:lang w:eastAsia="zh-CN"/>
        </w:rPr>
        <w:lastRenderedPageBreak/>
        <w:drawing>
          <wp:inline distT="0" distB="0" distL="0" distR="0" wp14:anchorId="286B5405" wp14:editId="38831B55">
            <wp:extent cx="3600000" cy="2722136"/>
            <wp:effectExtent l="0" t="0" r="635"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600000" cy="2722136"/>
                    </a:xfrm>
                    <a:prstGeom prst="rect">
                      <a:avLst/>
                    </a:prstGeom>
                  </pic:spPr>
                </pic:pic>
              </a:graphicData>
            </a:graphic>
          </wp:inline>
        </w:drawing>
      </w:r>
    </w:p>
    <w:p w14:paraId="24CA3834" w14:textId="1E909844" w:rsidR="00AC1947" w:rsidRDefault="00AC1947" w:rsidP="00AC1947">
      <w:pPr>
        <w:keepLines/>
        <w:spacing w:after="240"/>
        <w:jc w:val="center"/>
        <w:outlineLvl w:val="0"/>
        <w:rPr>
          <w:rFonts w:ascii="Arial" w:hAnsi="Arial"/>
          <w:b/>
          <w:lang w:eastAsia="x-none"/>
        </w:rPr>
      </w:pPr>
      <w:r>
        <w:rPr>
          <w:rFonts w:ascii="Arial" w:hAnsi="Arial"/>
          <w:b/>
          <w:lang w:eastAsia="x-none"/>
        </w:rPr>
        <w:t>Figure 2</w:t>
      </w:r>
      <w:r w:rsidRPr="009D1119">
        <w:rPr>
          <w:rFonts w:ascii="Arial" w:hAnsi="Arial"/>
          <w:b/>
          <w:lang w:eastAsia="x-none"/>
        </w:rPr>
        <w:t>-1:</w:t>
      </w:r>
      <w:r>
        <w:rPr>
          <w:rFonts w:ascii="Arial" w:hAnsi="Arial"/>
          <w:b/>
          <w:lang w:eastAsia="x-none"/>
        </w:rPr>
        <w:t xml:space="preserve"> </w:t>
      </w:r>
      <w:r w:rsidR="00EE3EE7" w:rsidRPr="00EE3EE7">
        <w:rPr>
          <w:rFonts w:ascii="Arial" w:hAnsi="Arial"/>
          <w:b/>
          <w:lang w:eastAsia="x-none"/>
        </w:rPr>
        <w:t>Autocorrelation for a stirring sequency consisting of a single rotating paddle. After</w:t>
      </w:r>
      <w:r w:rsidR="00EE3EE7">
        <w:rPr>
          <w:rFonts w:ascii="Arial" w:hAnsi="Arial"/>
          <w:b/>
          <w:lang w:eastAsia="x-none"/>
        </w:rPr>
        <w:t xml:space="preserve"> [</w:t>
      </w:r>
      <w:r w:rsidR="00605741">
        <w:rPr>
          <w:rFonts w:ascii="Arial" w:hAnsi="Arial"/>
          <w:b/>
          <w:lang w:eastAsia="x-none"/>
        </w:rPr>
        <w:t>3</w:t>
      </w:r>
      <w:r w:rsidR="00EE3EE7">
        <w:rPr>
          <w:rFonts w:ascii="Arial" w:hAnsi="Arial"/>
          <w:b/>
          <w:lang w:eastAsia="x-none"/>
        </w:rPr>
        <w:t>].</w:t>
      </w:r>
    </w:p>
    <w:p w14:paraId="4333FDD8" w14:textId="670A962D" w:rsidR="00EE5D8F" w:rsidRDefault="00EE5D8F" w:rsidP="00EE5D8F">
      <w:pPr>
        <w:pStyle w:val="BodyText"/>
      </w:pPr>
      <w:r w:rsidRPr="00D85D56">
        <w:rPr>
          <w:b/>
          <w:bCs/>
          <w:u w:val="single"/>
        </w:rPr>
        <w:t>Observation 3:</w:t>
      </w:r>
      <w:r>
        <w:t xml:space="preserve"> The </w:t>
      </w:r>
      <w:r w:rsidR="00543398">
        <w:t>current</w:t>
      </w:r>
      <w:r>
        <w:t xml:space="preserve"> method to calculate spatially independent samples is correct for stirring sequences in which the spatial correlation becomes successively smaller for values greater than</w:t>
      </w:r>
      <w:r w:rsidRPr="00D85D56">
        <w:rPr>
          <w:rFonts w:ascii="Cambria Math" w:hAnsi="Cambria Math"/>
          <w:i/>
          <w:iCs/>
        </w:rPr>
        <w:t xml:space="preserve"> r</w:t>
      </w:r>
      <w:r w:rsidR="00DC7114" w:rsidRPr="00D85D56">
        <w:rPr>
          <w:rFonts w:ascii="Cambria Math" w:hAnsi="Cambria Math"/>
          <w:i/>
          <w:iCs/>
          <w:vertAlign w:val="subscript"/>
        </w:rPr>
        <w:t>lim</w:t>
      </w:r>
      <w:r>
        <w:t xml:space="preserve"> for increasing values of separation (offset </w:t>
      </w:r>
      <w:r w:rsidRPr="00D85D56">
        <w:rPr>
          <w:rFonts w:ascii="Cambria Math" w:hAnsi="Cambria Math"/>
          <w:i/>
          <w:iCs/>
        </w:rPr>
        <w:t>k</w:t>
      </w:r>
      <w:r>
        <w:t xml:space="preserve">) between samples in the data record. </w:t>
      </w:r>
    </w:p>
    <w:p w14:paraId="3C9E17CB" w14:textId="77777777" w:rsidR="00EE5D8F" w:rsidRDefault="00EE5D8F" w:rsidP="00EE5D8F">
      <w:pPr>
        <w:pStyle w:val="BodyText"/>
      </w:pPr>
      <w:r>
        <w:t xml:space="preserve">The current method based on the autocorrelation function, using a circular shift of the measurement samples, makes sense for RCs that use repeating stirring sequences, such as rotational mode stirrers. Section A.3 of IEC 61000-4-21, from which the 3GPP autocorrelation method is derived, states that the method is limited to “equidistant tuner positions … for sufficiently high frequencies and for one tuner” [2][4]. </w:t>
      </w:r>
    </w:p>
    <w:p w14:paraId="180395CC" w14:textId="77777777" w:rsidR="00EE5D8F" w:rsidRDefault="00EE5D8F" w:rsidP="00EE5D8F">
      <w:pPr>
        <w:pStyle w:val="BodyText"/>
      </w:pPr>
      <w:r>
        <w:t xml:space="preserve">Other mode-stirring mechanisms such as antenna switches may work differently and often more efficiently, saving test time and money. Such stirring sequences obtain equal or lower uncertainty within the same amount of test time because multiple stirring mechanisms randomize the fields in the chamber more effectively. Thus, a more general method should be adopted to account for differences in mode-stirring sequences and thereby improvements in reverberation-chamber technology. </w:t>
      </w:r>
    </w:p>
    <w:p w14:paraId="5C967EC9" w14:textId="77777777" w:rsidR="00EE5D8F" w:rsidRDefault="00EE5D8F" w:rsidP="00EE5D8F">
      <w:pPr>
        <w:pStyle w:val="BodyText"/>
      </w:pPr>
      <w:r w:rsidRPr="00D85D56">
        <w:rPr>
          <w:b/>
          <w:bCs/>
          <w:u w:val="single"/>
        </w:rPr>
        <w:t>Observation 4:</w:t>
      </w:r>
      <w:r>
        <w:t xml:space="preserve"> The current method is not applicable for general stirring sequences, limiting the development of innovative, more efficient stirring sequences.</w:t>
      </w:r>
    </w:p>
    <w:p w14:paraId="148AD065" w14:textId="77777777" w:rsidR="00EE5D8F" w:rsidRDefault="00EE5D8F" w:rsidP="00EE5D8F">
      <w:pPr>
        <w:pStyle w:val="BodyText"/>
      </w:pPr>
      <w:r>
        <w:t xml:space="preserve">For chambers that employ multiple stirring mechanisms, it may be the case that spatial correlation is not monotonically decreasing with increasing sample separation </w:t>
      </w:r>
      <w:r w:rsidRPr="00D85D56">
        <w:rPr>
          <w:rFonts w:ascii="Cambria Math" w:hAnsi="Cambria Math"/>
          <w:i/>
          <w:iCs/>
        </w:rPr>
        <w:t>k</w:t>
      </w:r>
      <w:r>
        <w:t>. In these chambers, the current definition may overestimate the number of independent samples, and, thus, underestimate the uncertainty.</w:t>
      </w:r>
    </w:p>
    <w:p w14:paraId="5CA906C3" w14:textId="62F1E915" w:rsidR="007C2B83" w:rsidRDefault="00EE5D8F" w:rsidP="007C2B83">
      <w:pPr>
        <w:pStyle w:val="BodyText"/>
      </w:pPr>
      <w:r>
        <w:t xml:space="preserve">Below </w:t>
      </w:r>
      <w:r w:rsidR="005E6542">
        <w:t xml:space="preserve">in Sequence A </w:t>
      </w:r>
      <w:r>
        <w:t xml:space="preserve">is an example of </w:t>
      </w:r>
      <w:r w:rsidR="005E6542">
        <w:t xml:space="preserve">an efficient </w:t>
      </w:r>
      <w:r>
        <w:t>mode-stirring sequence for a chamber that has mechanical stirrers and a switch that selects between four receive antennas. In Sequence B, the switch has been disabled to purposely disrupt the stirring sequence</w:t>
      </w:r>
      <w:r w:rsidR="0040642A">
        <w:t xml:space="preserve"> to test the proposed </w:t>
      </w:r>
      <w:r w:rsidR="006962AC">
        <w:t xml:space="preserve">thresholded </w:t>
      </w:r>
      <w:r w:rsidR="0040642A">
        <w:t xml:space="preserve">correlation-matrix-based </w:t>
      </w:r>
      <w:r w:rsidR="00F950F6">
        <w:t>method</w:t>
      </w:r>
      <w:r>
        <w:t>.</w:t>
      </w:r>
    </w:p>
    <w:p w14:paraId="5B755DE6" w14:textId="66C2D072" w:rsidR="007C2B83" w:rsidRPr="003C0B2F" w:rsidRDefault="007C2B83" w:rsidP="007C2B83">
      <w:pPr>
        <w:keepNext/>
        <w:keepLines/>
        <w:spacing w:after="0"/>
        <w:jc w:val="center"/>
        <w:rPr>
          <w:rFonts w:ascii="Arial" w:eastAsia="SimSun" w:hAnsi="Arial"/>
          <w:b/>
        </w:rPr>
      </w:pPr>
      <w:r w:rsidRPr="003C0B2F">
        <w:rPr>
          <w:rFonts w:ascii="Arial" w:eastAsia="SimSun" w:hAnsi="Arial"/>
          <w:b/>
        </w:rPr>
        <w:t xml:space="preserve">Table 2-1: </w:t>
      </w:r>
      <w:r w:rsidR="002C7D9D" w:rsidRPr="002C7D9D">
        <w:rPr>
          <w:rFonts w:ascii="Arial" w:eastAsia="SimSun" w:hAnsi="Arial"/>
          <w:b/>
        </w:rPr>
        <w:t>Example mode-stirring sequence of N states and with a switch to select between four receive antennas.</w:t>
      </w:r>
    </w:p>
    <w:tbl>
      <w:tblPr>
        <w:tblW w:w="6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gridCol w:w="1955"/>
      </w:tblGrid>
      <w:tr w:rsidR="007C2B83" w:rsidRPr="000C0827" w14:paraId="22D6757A" w14:textId="77777777">
        <w:trPr>
          <w:tblHeader/>
          <w:jc w:val="center"/>
        </w:trPr>
        <w:tc>
          <w:tcPr>
            <w:tcW w:w="2667" w:type="dxa"/>
          </w:tcPr>
          <w:p w14:paraId="5CBC1CD9" w14:textId="31322BD6" w:rsidR="007C2B83" w:rsidRPr="0043205D" w:rsidRDefault="00711BDB">
            <w:pPr>
              <w:keepNext/>
              <w:keepLines/>
              <w:spacing w:after="0"/>
              <w:jc w:val="center"/>
              <w:rPr>
                <w:rFonts w:ascii="Arial" w:hAnsi="Arial" w:cs="Arial"/>
                <w:b/>
                <w:sz w:val="18"/>
                <w:szCs w:val="18"/>
              </w:rPr>
            </w:pPr>
            <w:r w:rsidRPr="0043205D">
              <w:rPr>
                <w:rFonts w:ascii="Arial" w:hAnsi="Arial" w:cs="Arial"/>
                <w:b/>
                <w:sz w:val="18"/>
                <w:szCs w:val="18"/>
              </w:rPr>
              <w:t>Mechanical stirrer position</w:t>
            </w:r>
          </w:p>
        </w:tc>
        <w:tc>
          <w:tcPr>
            <w:tcW w:w="1955" w:type="dxa"/>
            <w:shd w:val="clear" w:color="auto" w:fill="auto"/>
          </w:tcPr>
          <w:p w14:paraId="21302D45" w14:textId="77777777" w:rsidR="00F812A2" w:rsidRPr="0043205D" w:rsidRDefault="00F812A2" w:rsidP="00F812A2">
            <w:pPr>
              <w:keepNext/>
              <w:keepLines/>
              <w:spacing w:after="0"/>
              <w:jc w:val="center"/>
              <w:rPr>
                <w:rFonts w:ascii="Arial" w:hAnsi="Arial" w:cs="Arial"/>
                <w:b/>
                <w:sz w:val="18"/>
                <w:szCs w:val="18"/>
              </w:rPr>
            </w:pPr>
            <w:r w:rsidRPr="0043205D">
              <w:rPr>
                <w:rFonts w:ascii="Arial" w:hAnsi="Arial" w:cs="Arial"/>
                <w:b/>
                <w:sz w:val="18"/>
                <w:szCs w:val="18"/>
              </w:rPr>
              <w:t>Switch position (receive antenna)</w:t>
            </w:r>
          </w:p>
          <w:p w14:paraId="4DDC38A9" w14:textId="50458483" w:rsidR="007C2B83" w:rsidRPr="0043205D" w:rsidRDefault="00F812A2" w:rsidP="00F812A2">
            <w:pPr>
              <w:keepNext/>
              <w:keepLines/>
              <w:spacing w:after="0"/>
              <w:jc w:val="center"/>
              <w:rPr>
                <w:rFonts w:ascii="Arial" w:hAnsi="Arial" w:cs="Arial"/>
                <w:b/>
                <w:sz w:val="18"/>
                <w:szCs w:val="18"/>
              </w:rPr>
            </w:pPr>
            <w:r w:rsidRPr="0043205D">
              <w:rPr>
                <w:rFonts w:ascii="Arial" w:hAnsi="Arial" w:cs="Arial"/>
                <w:b/>
                <w:sz w:val="18"/>
                <w:szCs w:val="18"/>
              </w:rPr>
              <w:t>Sequence A</w:t>
            </w:r>
          </w:p>
        </w:tc>
        <w:tc>
          <w:tcPr>
            <w:tcW w:w="1955" w:type="dxa"/>
          </w:tcPr>
          <w:p w14:paraId="6DB0BF65" w14:textId="77777777" w:rsidR="0073720A" w:rsidRPr="0043205D" w:rsidRDefault="0073720A" w:rsidP="0073720A">
            <w:pPr>
              <w:keepNext/>
              <w:keepLines/>
              <w:spacing w:after="0"/>
              <w:jc w:val="center"/>
              <w:rPr>
                <w:rFonts w:ascii="Arial" w:hAnsi="Arial" w:cs="Arial"/>
                <w:b/>
                <w:sz w:val="18"/>
                <w:szCs w:val="18"/>
              </w:rPr>
            </w:pPr>
            <w:r w:rsidRPr="0043205D">
              <w:rPr>
                <w:rFonts w:ascii="Arial" w:hAnsi="Arial" w:cs="Arial"/>
                <w:b/>
                <w:sz w:val="18"/>
                <w:szCs w:val="18"/>
              </w:rPr>
              <w:t>Switch position (receive antenna)</w:t>
            </w:r>
          </w:p>
          <w:p w14:paraId="14768B9B" w14:textId="30AB8A04" w:rsidR="007C2B83" w:rsidRPr="0043205D" w:rsidRDefault="0073720A" w:rsidP="0073720A">
            <w:pPr>
              <w:keepNext/>
              <w:keepLines/>
              <w:spacing w:after="0"/>
              <w:jc w:val="center"/>
              <w:rPr>
                <w:rFonts w:ascii="Arial" w:hAnsi="Arial" w:cs="Arial"/>
                <w:b/>
                <w:sz w:val="18"/>
                <w:szCs w:val="18"/>
              </w:rPr>
            </w:pPr>
            <w:r w:rsidRPr="0043205D">
              <w:rPr>
                <w:rFonts w:ascii="Arial" w:hAnsi="Arial" w:cs="Arial"/>
                <w:b/>
                <w:sz w:val="18"/>
                <w:szCs w:val="18"/>
              </w:rPr>
              <w:t>Sequence B</w:t>
            </w:r>
          </w:p>
        </w:tc>
      </w:tr>
      <w:tr w:rsidR="0043205D" w:rsidRPr="000C0827" w14:paraId="2DA9949A" w14:textId="77777777">
        <w:trPr>
          <w:jc w:val="center"/>
        </w:trPr>
        <w:tc>
          <w:tcPr>
            <w:tcW w:w="2667" w:type="dxa"/>
          </w:tcPr>
          <w:p w14:paraId="18659DB1" w14:textId="561ED0A6" w:rsidR="0043205D" w:rsidRPr="0043205D" w:rsidRDefault="0043205D" w:rsidP="0043205D">
            <w:pPr>
              <w:keepNext/>
              <w:keepLines/>
              <w:spacing w:after="0"/>
              <w:jc w:val="center"/>
              <w:rPr>
                <w:rFonts w:ascii="Arial" w:hAnsi="Arial" w:cs="Arial"/>
                <w:sz w:val="18"/>
                <w:szCs w:val="18"/>
                <w:lang w:eastAsia="zh-CN"/>
              </w:rPr>
            </w:pPr>
            <w:r w:rsidRPr="00D85D56">
              <w:rPr>
                <w:rFonts w:ascii="Arial" w:eastAsiaTheme="minorEastAsia" w:hAnsi="Arial" w:cs="Arial"/>
                <w:sz w:val="18"/>
                <w:szCs w:val="18"/>
                <w:lang w:eastAsia="zh-CN"/>
              </w:rPr>
              <w:t>1</w:t>
            </w:r>
          </w:p>
        </w:tc>
        <w:tc>
          <w:tcPr>
            <w:tcW w:w="1955" w:type="dxa"/>
            <w:shd w:val="clear" w:color="auto" w:fill="auto"/>
          </w:tcPr>
          <w:p w14:paraId="0D5F5703" w14:textId="773763C4" w:rsidR="0043205D" w:rsidRPr="0043205D" w:rsidRDefault="0043205D" w:rsidP="0043205D">
            <w:pPr>
              <w:keepNext/>
              <w:keepLines/>
              <w:spacing w:after="0"/>
              <w:jc w:val="center"/>
              <w:rPr>
                <w:rFonts w:ascii="Arial" w:hAnsi="Arial" w:cs="Arial"/>
                <w:sz w:val="18"/>
                <w:szCs w:val="18"/>
                <w:lang w:eastAsia="zh-CN"/>
              </w:rPr>
            </w:pPr>
            <w:r w:rsidRPr="00D85D56">
              <w:rPr>
                <w:rFonts w:ascii="Arial" w:eastAsiaTheme="minorEastAsia" w:hAnsi="Arial" w:cs="Arial"/>
                <w:sz w:val="18"/>
                <w:szCs w:val="18"/>
                <w:lang w:eastAsia="zh-CN"/>
              </w:rPr>
              <w:t>1</w:t>
            </w:r>
          </w:p>
        </w:tc>
        <w:tc>
          <w:tcPr>
            <w:tcW w:w="1955" w:type="dxa"/>
          </w:tcPr>
          <w:p w14:paraId="1D99BB0D" w14:textId="22FB52E3" w:rsidR="0043205D" w:rsidRPr="0043205D" w:rsidRDefault="0043205D" w:rsidP="0043205D">
            <w:pPr>
              <w:keepNext/>
              <w:keepLines/>
              <w:spacing w:after="0"/>
              <w:jc w:val="center"/>
              <w:rPr>
                <w:rFonts w:ascii="Arial" w:hAnsi="Arial" w:cs="Arial"/>
                <w:sz w:val="18"/>
                <w:szCs w:val="18"/>
                <w:lang w:eastAsia="zh-CN"/>
              </w:rPr>
            </w:pPr>
            <w:r w:rsidRPr="00D85D56">
              <w:rPr>
                <w:rFonts w:ascii="Arial" w:eastAsiaTheme="minorEastAsia" w:hAnsi="Arial" w:cs="Arial"/>
                <w:sz w:val="18"/>
                <w:szCs w:val="18"/>
                <w:lang w:eastAsia="zh-CN"/>
              </w:rPr>
              <w:t>1</w:t>
            </w:r>
          </w:p>
        </w:tc>
      </w:tr>
      <w:tr w:rsidR="0043205D" w:rsidRPr="000C0827" w14:paraId="75A7E761" w14:textId="77777777">
        <w:trPr>
          <w:jc w:val="center"/>
        </w:trPr>
        <w:tc>
          <w:tcPr>
            <w:tcW w:w="2667" w:type="dxa"/>
          </w:tcPr>
          <w:p w14:paraId="5DB6983B" w14:textId="1EA78B89" w:rsidR="0043205D" w:rsidRPr="0043205D" w:rsidRDefault="0043205D" w:rsidP="0043205D">
            <w:pPr>
              <w:keepNext/>
              <w:keepLines/>
              <w:spacing w:after="0"/>
              <w:jc w:val="center"/>
              <w:rPr>
                <w:rFonts w:ascii="Arial" w:hAnsi="Arial" w:cs="Arial"/>
                <w:sz w:val="18"/>
                <w:szCs w:val="18"/>
                <w:lang w:eastAsia="x-none"/>
              </w:rPr>
            </w:pPr>
            <w:r w:rsidRPr="00D85D56">
              <w:rPr>
                <w:rFonts w:ascii="Arial" w:eastAsiaTheme="minorEastAsia" w:hAnsi="Arial" w:cs="Arial"/>
                <w:sz w:val="18"/>
                <w:szCs w:val="18"/>
                <w:lang w:eastAsia="zh-CN"/>
              </w:rPr>
              <w:t>1</w:t>
            </w:r>
          </w:p>
        </w:tc>
        <w:tc>
          <w:tcPr>
            <w:tcW w:w="1955" w:type="dxa"/>
            <w:shd w:val="clear" w:color="auto" w:fill="auto"/>
          </w:tcPr>
          <w:p w14:paraId="40FB09CB" w14:textId="1CA0BBAC" w:rsidR="0043205D" w:rsidRPr="0043205D" w:rsidRDefault="0043205D" w:rsidP="0043205D">
            <w:pPr>
              <w:keepNext/>
              <w:keepLines/>
              <w:spacing w:after="0"/>
              <w:jc w:val="center"/>
              <w:rPr>
                <w:rFonts w:ascii="Arial" w:hAnsi="Arial" w:cs="Arial"/>
                <w:sz w:val="18"/>
                <w:szCs w:val="18"/>
                <w:lang w:eastAsia="x-none"/>
              </w:rPr>
            </w:pPr>
            <w:r w:rsidRPr="00D85D56">
              <w:rPr>
                <w:rFonts w:ascii="Arial" w:eastAsiaTheme="minorEastAsia" w:hAnsi="Arial" w:cs="Arial"/>
                <w:sz w:val="18"/>
                <w:szCs w:val="18"/>
                <w:lang w:eastAsia="zh-CN"/>
              </w:rPr>
              <w:t>2</w:t>
            </w:r>
          </w:p>
        </w:tc>
        <w:tc>
          <w:tcPr>
            <w:tcW w:w="1955" w:type="dxa"/>
          </w:tcPr>
          <w:p w14:paraId="79B37BF9" w14:textId="5D4C721A" w:rsidR="0043205D" w:rsidRPr="0043205D" w:rsidRDefault="0043205D" w:rsidP="0043205D">
            <w:pPr>
              <w:keepNext/>
              <w:keepLines/>
              <w:spacing w:after="0"/>
              <w:jc w:val="center"/>
              <w:rPr>
                <w:rFonts w:ascii="Arial" w:hAnsi="Arial" w:cs="Arial"/>
                <w:sz w:val="18"/>
                <w:szCs w:val="18"/>
                <w:lang w:eastAsia="x-none"/>
              </w:rPr>
            </w:pPr>
            <w:r w:rsidRPr="00D85D56">
              <w:rPr>
                <w:rFonts w:ascii="Arial" w:eastAsiaTheme="minorEastAsia" w:hAnsi="Arial" w:cs="Arial"/>
                <w:sz w:val="18"/>
                <w:szCs w:val="18"/>
                <w:lang w:eastAsia="zh-CN"/>
              </w:rPr>
              <w:t>1</w:t>
            </w:r>
          </w:p>
        </w:tc>
      </w:tr>
      <w:tr w:rsidR="0043205D" w:rsidRPr="000C0827" w14:paraId="75FB2D35" w14:textId="77777777">
        <w:trPr>
          <w:jc w:val="center"/>
        </w:trPr>
        <w:tc>
          <w:tcPr>
            <w:tcW w:w="2667" w:type="dxa"/>
          </w:tcPr>
          <w:p w14:paraId="4564720B" w14:textId="58C22743" w:rsidR="0043205D" w:rsidRPr="0043205D" w:rsidRDefault="0043205D" w:rsidP="0043205D">
            <w:pPr>
              <w:keepNext/>
              <w:keepLines/>
              <w:spacing w:after="0"/>
              <w:jc w:val="center"/>
              <w:rPr>
                <w:rFonts w:ascii="Arial" w:hAnsi="Arial" w:cs="Arial"/>
                <w:sz w:val="18"/>
                <w:szCs w:val="18"/>
                <w:lang w:eastAsia="x-none"/>
              </w:rPr>
            </w:pPr>
            <w:r w:rsidRPr="00D85D56">
              <w:rPr>
                <w:rFonts w:ascii="Arial" w:eastAsiaTheme="minorEastAsia" w:hAnsi="Arial" w:cs="Arial"/>
                <w:sz w:val="18"/>
                <w:szCs w:val="18"/>
                <w:lang w:eastAsia="zh-CN"/>
              </w:rPr>
              <w:t>1</w:t>
            </w:r>
          </w:p>
        </w:tc>
        <w:tc>
          <w:tcPr>
            <w:tcW w:w="1955" w:type="dxa"/>
            <w:shd w:val="clear" w:color="auto" w:fill="auto"/>
          </w:tcPr>
          <w:p w14:paraId="3977E8F0" w14:textId="2B690AAF" w:rsidR="0043205D" w:rsidRPr="0043205D" w:rsidRDefault="0043205D" w:rsidP="0043205D">
            <w:pPr>
              <w:keepNext/>
              <w:keepLines/>
              <w:spacing w:after="0"/>
              <w:jc w:val="center"/>
              <w:rPr>
                <w:rFonts w:ascii="Arial" w:hAnsi="Arial" w:cs="Arial"/>
                <w:sz w:val="18"/>
                <w:szCs w:val="18"/>
                <w:lang w:eastAsia="x-none"/>
              </w:rPr>
            </w:pPr>
            <w:r w:rsidRPr="00D85D56">
              <w:rPr>
                <w:rFonts w:ascii="Arial" w:eastAsiaTheme="minorEastAsia" w:hAnsi="Arial" w:cs="Arial"/>
                <w:sz w:val="18"/>
                <w:szCs w:val="18"/>
                <w:lang w:eastAsia="zh-CN"/>
              </w:rPr>
              <w:t>3</w:t>
            </w:r>
          </w:p>
        </w:tc>
        <w:tc>
          <w:tcPr>
            <w:tcW w:w="1955" w:type="dxa"/>
          </w:tcPr>
          <w:p w14:paraId="483009F7" w14:textId="77CBB124" w:rsidR="0043205D" w:rsidRPr="0043205D" w:rsidRDefault="0043205D" w:rsidP="0043205D">
            <w:pPr>
              <w:keepNext/>
              <w:keepLines/>
              <w:spacing w:after="0"/>
              <w:jc w:val="center"/>
              <w:rPr>
                <w:rFonts w:ascii="Arial" w:hAnsi="Arial" w:cs="Arial"/>
                <w:sz w:val="18"/>
                <w:szCs w:val="18"/>
                <w:lang w:eastAsia="x-none"/>
              </w:rPr>
            </w:pPr>
            <w:r w:rsidRPr="00D85D56">
              <w:rPr>
                <w:rFonts w:ascii="Arial" w:eastAsiaTheme="minorEastAsia" w:hAnsi="Arial" w:cs="Arial"/>
                <w:sz w:val="18"/>
                <w:szCs w:val="18"/>
                <w:lang w:eastAsia="zh-CN"/>
              </w:rPr>
              <w:t>1</w:t>
            </w:r>
          </w:p>
        </w:tc>
      </w:tr>
      <w:tr w:rsidR="0043205D" w:rsidRPr="000C0827" w14:paraId="11BB0187" w14:textId="77777777">
        <w:trPr>
          <w:jc w:val="center"/>
        </w:trPr>
        <w:tc>
          <w:tcPr>
            <w:tcW w:w="2667" w:type="dxa"/>
          </w:tcPr>
          <w:p w14:paraId="6106D2CD" w14:textId="5C579C8D" w:rsidR="0043205D" w:rsidRPr="0043205D" w:rsidRDefault="0043205D" w:rsidP="0043205D">
            <w:pPr>
              <w:keepNext/>
              <w:keepLines/>
              <w:spacing w:after="0"/>
              <w:jc w:val="center"/>
              <w:rPr>
                <w:rFonts w:ascii="Arial" w:hAnsi="Arial" w:cs="Arial"/>
                <w:sz w:val="18"/>
                <w:szCs w:val="18"/>
                <w:lang w:eastAsia="x-none"/>
              </w:rPr>
            </w:pPr>
            <w:r w:rsidRPr="00D85D56">
              <w:rPr>
                <w:rFonts w:ascii="Arial" w:eastAsiaTheme="minorEastAsia" w:hAnsi="Arial" w:cs="Arial"/>
                <w:sz w:val="18"/>
                <w:szCs w:val="18"/>
                <w:lang w:eastAsia="zh-CN"/>
              </w:rPr>
              <w:t>1</w:t>
            </w:r>
          </w:p>
        </w:tc>
        <w:tc>
          <w:tcPr>
            <w:tcW w:w="1955" w:type="dxa"/>
            <w:shd w:val="clear" w:color="auto" w:fill="auto"/>
          </w:tcPr>
          <w:p w14:paraId="5DD1ECDF" w14:textId="281DAB69" w:rsidR="0043205D" w:rsidRPr="0043205D" w:rsidRDefault="0043205D" w:rsidP="0043205D">
            <w:pPr>
              <w:keepNext/>
              <w:keepLines/>
              <w:spacing w:after="0"/>
              <w:jc w:val="center"/>
              <w:rPr>
                <w:rFonts w:ascii="Arial" w:hAnsi="Arial" w:cs="Arial"/>
                <w:sz w:val="18"/>
                <w:szCs w:val="18"/>
                <w:lang w:eastAsia="x-none"/>
              </w:rPr>
            </w:pPr>
            <w:r w:rsidRPr="00D85D56">
              <w:rPr>
                <w:rFonts w:ascii="Arial" w:eastAsiaTheme="minorEastAsia" w:hAnsi="Arial" w:cs="Arial"/>
                <w:sz w:val="18"/>
                <w:szCs w:val="18"/>
                <w:lang w:eastAsia="zh-CN"/>
              </w:rPr>
              <w:t>4</w:t>
            </w:r>
          </w:p>
        </w:tc>
        <w:tc>
          <w:tcPr>
            <w:tcW w:w="1955" w:type="dxa"/>
          </w:tcPr>
          <w:p w14:paraId="5978FE27" w14:textId="15459AFD" w:rsidR="0043205D" w:rsidRPr="0043205D" w:rsidRDefault="0043205D" w:rsidP="0043205D">
            <w:pPr>
              <w:keepNext/>
              <w:keepLines/>
              <w:spacing w:after="0"/>
              <w:jc w:val="center"/>
              <w:rPr>
                <w:rFonts w:ascii="Arial" w:hAnsi="Arial" w:cs="Arial"/>
                <w:sz w:val="18"/>
                <w:szCs w:val="18"/>
                <w:lang w:eastAsia="x-none"/>
              </w:rPr>
            </w:pPr>
            <w:r w:rsidRPr="00D85D56">
              <w:rPr>
                <w:rFonts w:ascii="Arial" w:eastAsiaTheme="minorEastAsia" w:hAnsi="Arial" w:cs="Arial"/>
                <w:sz w:val="18"/>
                <w:szCs w:val="18"/>
                <w:lang w:eastAsia="zh-CN"/>
              </w:rPr>
              <w:t>1</w:t>
            </w:r>
          </w:p>
        </w:tc>
      </w:tr>
      <w:tr w:rsidR="0043205D" w:rsidRPr="000C0827" w14:paraId="4ECC6E31" w14:textId="77777777">
        <w:trPr>
          <w:jc w:val="center"/>
        </w:trPr>
        <w:tc>
          <w:tcPr>
            <w:tcW w:w="2667" w:type="dxa"/>
          </w:tcPr>
          <w:p w14:paraId="4E3645F9" w14:textId="2A578619" w:rsidR="0043205D" w:rsidRPr="0043205D" w:rsidRDefault="0043205D" w:rsidP="0043205D">
            <w:pPr>
              <w:keepNext/>
              <w:keepLines/>
              <w:spacing w:after="0"/>
              <w:jc w:val="center"/>
              <w:rPr>
                <w:rFonts w:ascii="Arial" w:hAnsi="Arial" w:cs="Arial"/>
                <w:sz w:val="18"/>
                <w:szCs w:val="18"/>
                <w:lang w:eastAsia="x-none"/>
              </w:rPr>
            </w:pPr>
            <w:r w:rsidRPr="00D85D56">
              <w:rPr>
                <w:rFonts w:ascii="Arial" w:eastAsiaTheme="minorEastAsia" w:hAnsi="Arial" w:cs="Arial"/>
                <w:sz w:val="18"/>
                <w:szCs w:val="18"/>
                <w:lang w:eastAsia="zh-CN"/>
              </w:rPr>
              <w:t>⁞</w:t>
            </w:r>
          </w:p>
        </w:tc>
        <w:tc>
          <w:tcPr>
            <w:tcW w:w="1955" w:type="dxa"/>
            <w:shd w:val="clear" w:color="auto" w:fill="auto"/>
          </w:tcPr>
          <w:p w14:paraId="13274890" w14:textId="7AC02AAB" w:rsidR="0043205D" w:rsidRPr="0043205D" w:rsidRDefault="0043205D" w:rsidP="0043205D">
            <w:pPr>
              <w:keepNext/>
              <w:keepLines/>
              <w:spacing w:after="0"/>
              <w:jc w:val="center"/>
              <w:rPr>
                <w:rFonts w:ascii="Arial" w:hAnsi="Arial" w:cs="Arial"/>
                <w:sz w:val="18"/>
                <w:szCs w:val="18"/>
                <w:lang w:eastAsia="x-none"/>
              </w:rPr>
            </w:pPr>
            <w:r w:rsidRPr="00D85D56">
              <w:rPr>
                <w:rFonts w:ascii="Arial" w:eastAsiaTheme="minorEastAsia" w:hAnsi="Arial" w:cs="Arial"/>
                <w:sz w:val="18"/>
                <w:szCs w:val="18"/>
                <w:lang w:eastAsia="zh-CN"/>
              </w:rPr>
              <w:t>⁞</w:t>
            </w:r>
          </w:p>
        </w:tc>
        <w:tc>
          <w:tcPr>
            <w:tcW w:w="1955" w:type="dxa"/>
          </w:tcPr>
          <w:p w14:paraId="65176D63" w14:textId="3931EE2A" w:rsidR="0043205D" w:rsidRPr="0043205D" w:rsidRDefault="0043205D" w:rsidP="0043205D">
            <w:pPr>
              <w:keepNext/>
              <w:keepLines/>
              <w:spacing w:after="0"/>
              <w:jc w:val="center"/>
              <w:rPr>
                <w:rFonts w:ascii="Arial" w:hAnsi="Arial" w:cs="Arial"/>
                <w:sz w:val="18"/>
                <w:szCs w:val="18"/>
                <w:lang w:eastAsia="x-none"/>
              </w:rPr>
            </w:pPr>
            <w:r w:rsidRPr="00D85D56">
              <w:rPr>
                <w:rFonts w:ascii="Arial" w:eastAsiaTheme="minorEastAsia" w:hAnsi="Arial" w:cs="Arial"/>
                <w:sz w:val="18"/>
                <w:szCs w:val="18"/>
                <w:lang w:eastAsia="zh-CN"/>
              </w:rPr>
              <w:t>⁞</w:t>
            </w:r>
          </w:p>
        </w:tc>
      </w:tr>
      <w:tr w:rsidR="0043205D" w:rsidRPr="000C0827" w14:paraId="62AA6E01" w14:textId="77777777">
        <w:trPr>
          <w:jc w:val="center"/>
        </w:trPr>
        <w:tc>
          <w:tcPr>
            <w:tcW w:w="2667" w:type="dxa"/>
          </w:tcPr>
          <w:p w14:paraId="13AC37FA" w14:textId="4B8A8777" w:rsidR="0043205D" w:rsidRPr="0043205D" w:rsidRDefault="0043205D" w:rsidP="0043205D">
            <w:pPr>
              <w:keepNext/>
              <w:keepLines/>
              <w:spacing w:after="0"/>
              <w:jc w:val="center"/>
              <w:rPr>
                <w:rFonts w:ascii="Arial" w:hAnsi="Arial" w:cs="Arial"/>
                <w:sz w:val="18"/>
                <w:szCs w:val="18"/>
                <w:lang w:eastAsia="x-none"/>
              </w:rPr>
            </w:pPr>
            <m:oMathPara>
              <m:oMath>
                <m:r>
                  <w:rPr>
                    <w:rFonts w:ascii="Cambria Math" w:eastAsiaTheme="minorEastAsia" w:hAnsi="Cambria Math" w:cs="Arial"/>
                    <w:sz w:val="18"/>
                    <w:szCs w:val="18"/>
                    <w:lang w:eastAsia="zh-CN"/>
                  </w:rPr>
                  <m:t>N/4</m:t>
                </m:r>
              </m:oMath>
            </m:oMathPara>
          </w:p>
        </w:tc>
        <w:tc>
          <w:tcPr>
            <w:tcW w:w="1955" w:type="dxa"/>
            <w:shd w:val="clear" w:color="auto" w:fill="auto"/>
          </w:tcPr>
          <w:p w14:paraId="50EC340E" w14:textId="1C7BC1A4" w:rsidR="0043205D" w:rsidRPr="0043205D" w:rsidRDefault="0043205D" w:rsidP="0043205D">
            <w:pPr>
              <w:keepNext/>
              <w:keepLines/>
              <w:spacing w:after="0"/>
              <w:jc w:val="center"/>
              <w:rPr>
                <w:rFonts w:ascii="Arial" w:hAnsi="Arial" w:cs="Arial"/>
                <w:sz w:val="18"/>
                <w:szCs w:val="18"/>
                <w:lang w:eastAsia="x-none"/>
              </w:rPr>
            </w:pPr>
            <w:r w:rsidRPr="00D85D56">
              <w:rPr>
                <w:rFonts w:ascii="Arial" w:eastAsiaTheme="minorEastAsia" w:hAnsi="Arial" w:cs="Arial"/>
                <w:sz w:val="18"/>
                <w:szCs w:val="18"/>
                <w:lang w:eastAsia="zh-CN"/>
              </w:rPr>
              <w:t>1</w:t>
            </w:r>
          </w:p>
        </w:tc>
        <w:tc>
          <w:tcPr>
            <w:tcW w:w="1955" w:type="dxa"/>
          </w:tcPr>
          <w:p w14:paraId="1095ECCF" w14:textId="52C06926" w:rsidR="0043205D" w:rsidRPr="0043205D" w:rsidRDefault="0043205D" w:rsidP="0043205D">
            <w:pPr>
              <w:keepNext/>
              <w:keepLines/>
              <w:spacing w:after="0"/>
              <w:jc w:val="center"/>
              <w:rPr>
                <w:rFonts w:ascii="Arial" w:hAnsi="Arial" w:cs="Arial"/>
                <w:sz w:val="18"/>
                <w:szCs w:val="18"/>
                <w:lang w:eastAsia="x-none"/>
              </w:rPr>
            </w:pPr>
            <w:r w:rsidRPr="00D85D56">
              <w:rPr>
                <w:rFonts w:ascii="Arial" w:eastAsiaTheme="minorEastAsia" w:hAnsi="Arial" w:cs="Arial"/>
                <w:sz w:val="18"/>
                <w:szCs w:val="18"/>
                <w:lang w:eastAsia="zh-CN"/>
              </w:rPr>
              <w:t>1</w:t>
            </w:r>
          </w:p>
        </w:tc>
      </w:tr>
      <w:tr w:rsidR="0043205D" w:rsidRPr="000C0827" w14:paraId="153B9AC2" w14:textId="77777777">
        <w:trPr>
          <w:jc w:val="center"/>
        </w:trPr>
        <w:tc>
          <w:tcPr>
            <w:tcW w:w="2667" w:type="dxa"/>
          </w:tcPr>
          <w:p w14:paraId="401351FC" w14:textId="3A8EB5F7" w:rsidR="0043205D" w:rsidRPr="0043205D" w:rsidRDefault="0043205D" w:rsidP="0043205D">
            <w:pPr>
              <w:keepNext/>
              <w:keepLines/>
              <w:spacing w:after="0"/>
              <w:jc w:val="center"/>
              <w:rPr>
                <w:rFonts w:ascii="Arial" w:hAnsi="Arial" w:cs="Arial"/>
                <w:sz w:val="18"/>
                <w:szCs w:val="18"/>
                <w:lang w:eastAsia="x-none"/>
              </w:rPr>
            </w:pPr>
            <m:oMathPara>
              <m:oMath>
                <m:r>
                  <w:rPr>
                    <w:rFonts w:ascii="Cambria Math" w:eastAsiaTheme="minorEastAsia" w:hAnsi="Cambria Math" w:cs="Arial"/>
                    <w:sz w:val="18"/>
                    <w:szCs w:val="18"/>
                    <w:lang w:eastAsia="zh-CN"/>
                  </w:rPr>
                  <m:t>N/4</m:t>
                </m:r>
              </m:oMath>
            </m:oMathPara>
          </w:p>
        </w:tc>
        <w:tc>
          <w:tcPr>
            <w:tcW w:w="1955" w:type="dxa"/>
            <w:shd w:val="clear" w:color="auto" w:fill="auto"/>
          </w:tcPr>
          <w:p w14:paraId="403D02BE" w14:textId="0FE7926F" w:rsidR="0043205D" w:rsidRPr="0043205D" w:rsidRDefault="0043205D" w:rsidP="0043205D">
            <w:pPr>
              <w:keepNext/>
              <w:keepLines/>
              <w:spacing w:after="0"/>
              <w:jc w:val="center"/>
              <w:rPr>
                <w:rFonts w:ascii="Arial" w:hAnsi="Arial" w:cs="Arial"/>
                <w:sz w:val="18"/>
                <w:szCs w:val="18"/>
                <w:lang w:eastAsia="x-none"/>
              </w:rPr>
            </w:pPr>
            <w:r w:rsidRPr="00D85D56">
              <w:rPr>
                <w:rFonts w:ascii="Arial" w:eastAsiaTheme="minorEastAsia" w:hAnsi="Arial" w:cs="Arial"/>
                <w:sz w:val="18"/>
                <w:szCs w:val="18"/>
                <w:lang w:eastAsia="zh-CN"/>
              </w:rPr>
              <w:t>2</w:t>
            </w:r>
          </w:p>
        </w:tc>
        <w:tc>
          <w:tcPr>
            <w:tcW w:w="1955" w:type="dxa"/>
          </w:tcPr>
          <w:p w14:paraId="7F9F16D3" w14:textId="41E96DA9" w:rsidR="0043205D" w:rsidRPr="0043205D" w:rsidRDefault="0043205D" w:rsidP="0043205D">
            <w:pPr>
              <w:keepNext/>
              <w:keepLines/>
              <w:spacing w:after="0"/>
              <w:jc w:val="center"/>
              <w:rPr>
                <w:rFonts w:ascii="Arial" w:hAnsi="Arial" w:cs="Arial"/>
                <w:sz w:val="18"/>
                <w:szCs w:val="18"/>
                <w:lang w:eastAsia="x-none"/>
              </w:rPr>
            </w:pPr>
            <w:r w:rsidRPr="00D85D56">
              <w:rPr>
                <w:rFonts w:ascii="Arial" w:eastAsiaTheme="minorEastAsia" w:hAnsi="Arial" w:cs="Arial"/>
                <w:sz w:val="18"/>
                <w:szCs w:val="18"/>
                <w:lang w:eastAsia="zh-CN"/>
              </w:rPr>
              <w:t>1</w:t>
            </w:r>
          </w:p>
        </w:tc>
      </w:tr>
      <w:tr w:rsidR="0043205D" w:rsidRPr="000C0827" w14:paraId="4CB03C5C" w14:textId="77777777">
        <w:trPr>
          <w:jc w:val="center"/>
        </w:trPr>
        <w:tc>
          <w:tcPr>
            <w:tcW w:w="2667" w:type="dxa"/>
          </w:tcPr>
          <w:p w14:paraId="2AACD2EE" w14:textId="3320D538" w:rsidR="0043205D" w:rsidRPr="0043205D" w:rsidRDefault="0043205D" w:rsidP="0043205D">
            <w:pPr>
              <w:keepNext/>
              <w:keepLines/>
              <w:spacing w:after="0"/>
              <w:jc w:val="center"/>
              <w:rPr>
                <w:rFonts w:ascii="Arial" w:hAnsi="Arial" w:cs="Arial"/>
                <w:sz w:val="18"/>
                <w:szCs w:val="18"/>
                <w:lang w:eastAsia="x-none"/>
              </w:rPr>
            </w:pPr>
            <m:oMathPara>
              <m:oMath>
                <m:r>
                  <w:rPr>
                    <w:rFonts w:ascii="Cambria Math" w:eastAsiaTheme="minorEastAsia" w:hAnsi="Cambria Math" w:cs="Arial"/>
                    <w:sz w:val="18"/>
                    <w:szCs w:val="18"/>
                    <w:lang w:eastAsia="zh-CN"/>
                  </w:rPr>
                  <m:t>N/4</m:t>
                </m:r>
              </m:oMath>
            </m:oMathPara>
          </w:p>
        </w:tc>
        <w:tc>
          <w:tcPr>
            <w:tcW w:w="1955" w:type="dxa"/>
            <w:shd w:val="clear" w:color="auto" w:fill="auto"/>
          </w:tcPr>
          <w:p w14:paraId="4324AEC1" w14:textId="0DA0A39B" w:rsidR="0043205D" w:rsidRPr="0043205D" w:rsidRDefault="0043205D" w:rsidP="0043205D">
            <w:pPr>
              <w:keepNext/>
              <w:keepLines/>
              <w:spacing w:after="0"/>
              <w:jc w:val="center"/>
              <w:rPr>
                <w:rFonts w:ascii="Arial" w:hAnsi="Arial" w:cs="Arial"/>
                <w:sz w:val="18"/>
                <w:szCs w:val="18"/>
                <w:lang w:eastAsia="x-none"/>
              </w:rPr>
            </w:pPr>
            <w:r w:rsidRPr="00D85D56">
              <w:rPr>
                <w:rFonts w:ascii="Arial" w:eastAsiaTheme="minorEastAsia" w:hAnsi="Arial" w:cs="Arial"/>
                <w:sz w:val="18"/>
                <w:szCs w:val="18"/>
                <w:lang w:eastAsia="zh-CN"/>
              </w:rPr>
              <w:t>3</w:t>
            </w:r>
          </w:p>
        </w:tc>
        <w:tc>
          <w:tcPr>
            <w:tcW w:w="1955" w:type="dxa"/>
          </w:tcPr>
          <w:p w14:paraId="71510817" w14:textId="66B1381D" w:rsidR="0043205D" w:rsidRPr="0043205D" w:rsidRDefault="0043205D" w:rsidP="0043205D">
            <w:pPr>
              <w:keepNext/>
              <w:keepLines/>
              <w:spacing w:after="0"/>
              <w:jc w:val="center"/>
              <w:rPr>
                <w:rFonts w:ascii="Arial" w:hAnsi="Arial" w:cs="Arial"/>
                <w:sz w:val="18"/>
                <w:szCs w:val="18"/>
                <w:lang w:eastAsia="x-none"/>
              </w:rPr>
            </w:pPr>
            <w:r w:rsidRPr="00D85D56">
              <w:rPr>
                <w:rFonts w:ascii="Arial" w:eastAsiaTheme="minorEastAsia" w:hAnsi="Arial" w:cs="Arial"/>
                <w:sz w:val="18"/>
                <w:szCs w:val="18"/>
                <w:lang w:eastAsia="zh-CN"/>
              </w:rPr>
              <w:t>1</w:t>
            </w:r>
          </w:p>
        </w:tc>
      </w:tr>
      <w:tr w:rsidR="0043205D" w:rsidRPr="000C0827" w14:paraId="42EABCBE" w14:textId="77777777">
        <w:trPr>
          <w:jc w:val="center"/>
        </w:trPr>
        <w:tc>
          <w:tcPr>
            <w:tcW w:w="2667" w:type="dxa"/>
          </w:tcPr>
          <w:p w14:paraId="200885BE" w14:textId="37C2A353" w:rsidR="0043205D" w:rsidRPr="0043205D" w:rsidRDefault="0043205D" w:rsidP="0043205D">
            <w:pPr>
              <w:keepNext/>
              <w:keepLines/>
              <w:spacing w:after="0"/>
              <w:jc w:val="center"/>
              <w:rPr>
                <w:rFonts w:ascii="Arial" w:hAnsi="Arial" w:cs="Arial"/>
                <w:sz w:val="18"/>
                <w:szCs w:val="18"/>
                <w:lang w:eastAsia="x-none"/>
              </w:rPr>
            </w:pPr>
            <m:oMathPara>
              <m:oMath>
                <m:r>
                  <w:rPr>
                    <w:rFonts w:ascii="Cambria Math" w:eastAsiaTheme="minorEastAsia" w:hAnsi="Cambria Math" w:cs="Arial"/>
                    <w:sz w:val="18"/>
                    <w:szCs w:val="18"/>
                    <w:lang w:eastAsia="zh-CN"/>
                  </w:rPr>
                  <m:t>N/4</m:t>
                </m:r>
              </m:oMath>
            </m:oMathPara>
          </w:p>
        </w:tc>
        <w:tc>
          <w:tcPr>
            <w:tcW w:w="1955" w:type="dxa"/>
            <w:shd w:val="clear" w:color="auto" w:fill="auto"/>
          </w:tcPr>
          <w:p w14:paraId="01FF8838" w14:textId="41008B7B" w:rsidR="0043205D" w:rsidRPr="0043205D" w:rsidRDefault="0043205D" w:rsidP="0043205D">
            <w:pPr>
              <w:keepNext/>
              <w:keepLines/>
              <w:spacing w:after="0"/>
              <w:jc w:val="center"/>
              <w:rPr>
                <w:rFonts w:ascii="Arial" w:hAnsi="Arial" w:cs="Arial"/>
                <w:sz w:val="18"/>
                <w:szCs w:val="18"/>
                <w:lang w:eastAsia="x-none"/>
              </w:rPr>
            </w:pPr>
            <w:r w:rsidRPr="00D85D56">
              <w:rPr>
                <w:rFonts w:ascii="Arial" w:eastAsiaTheme="minorEastAsia" w:hAnsi="Arial" w:cs="Arial"/>
                <w:sz w:val="18"/>
                <w:szCs w:val="18"/>
                <w:lang w:eastAsia="zh-CN"/>
              </w:rPr>
              <w:t>4</w:t>
            </w:r>
          </w:p>
        </w:tc>
        <w:tc>
          <w:tcPr>
            <w:tcW w:w="1955" w:type="dxa"/>
          </w:tcPr>
          <w:p w14:paraId="431976AE" w14:textId="4CF3CFD7" w:rsidR="0043205D" w:rsidRPr="0043205D" w:rsidRDefault="0043205D" w:rsidP="0043205D">
            <w:pPr>
              <w:keepNext/>
              <w:keepLines/>
              <w:spacing w:after="0"/>
              <w:jc w:val="center"/>
              <w:rPr>
                <w:rFonts w:ascii="Arial" w:hAnsi="Arial" w:cs="Arial"/>
                <w:sz w:val="18"/>
                <w:szCs w:val="18"/>
                <w:lang w:eastAsia="x-none"/>
              </w:rPr>
            </w:pPr>
            <w:r w:rsidRPr="00D85D56">
              <w:rPr>
                <w:rFonts w:ascii="Arial" w:eastAsiaTheme="minorEastAsia" w:hAnsi="Arial" w:cs="Arial"/>
                <w:sz w:val="18"/>
                <w:szCs w:val="18"/>
                <w:lang w:eastAsia="zh-CN"/>
              </w:rPr>
              <w:t>1</w:t>
            </w:r>
          </w:p>
        </w:tc>
      </w:tr>
    </w:tbl>
    <w:p w14:paraId="3746B5EC" w14:textId="77777777" w:rsidR="00A97059" w:rsidRDefault="00A97059" w:rsidP="00EE5D8F">
      <w:pPr>
        <w:pStyle w:val="BodyText"/>
      </w:pPr>
    </w:p>
    <w:p w14:paraId="5B4D2888" w14:textId="750D47FB" w:rsidR="00B80501" w:rsidRDefault="00B80501" w:rsidP="00EE5D8F">
      <w:pPr>
        <w:pStyle w:val="BodyText"/>
      </w:pPr>
      <w:r w:rsidRPr="00B80501">
        <w:t>Looking at the autocorrelation plot in Figure 2</w:t>
      </w:r>
      <w:r>
        <w:t>-2</w:t>
      </w:r>
      <w:r w:rsidRPr="00B80501">
        <w:t xml:space="preserve">, which corresponds to Sequence A in Table </w:t>
      </w:r>
      <w:r>
        <w:t>2-</w:t>
      </w:r>
      <w:r w:rsidRPr="00B80501">
        <w:t xml:space="preserve">1, we can see that the change of receive antenna effectively reduces autocorrelation between immediate neighbouring samples in the </w:t>
      </w:r>
      <w:r w:rsidRPr="00B80501">
        <w:lastRenderedPageBreak/>
        <w:t xml:space="preserve">sequence. But when the same switch position is resumed at the next mechanical position, we see that the autocorrelation is increased.  This gives rise to a pattern with multiple spikes in autocorrelation with a spacing of four samples. This stirring sequence is not currently described in the 3GPP technical background [2], and naïve application of the autocorrelation approach provides an </w:t>
      </w:r>
      <w:r w:rsidRPr="006C01ED">
        <w:rPr>
          <w:rFonts w:ascii="Cambria Math" w:hAnsi="Cambria Math"/>
          <w:i/>
        </w:rPr>
        <w:t>N</w:t>
      </w:r>
      <w:r w:rsidRPr="006C01ED">
        <w:rPr>
          <w:rFonts w:ascii="Cambria Math" w:hAnsi="Cambria Math"/>
          <w:i/>
          <w:vertAlign w:val="subscript"/>
        </w:rPr>
        <w:t>ind</w:t>
      </w:r>
      <w:r w:rsidRPr="00B80501">
        <w:t xml:space="preserve"> that is four times too high. To capture correlation between non-physically adjacent samples in the record, all stirring-sequence samples should be compared on a pairwise basis.</w:t>
      </w:r>
    </w:p>
    <w:p w14:paraId="78F938B9" w14:textId="0EF26DFF" w:rsidR="00B80501" w:rsidRDefault="007D2A5B" w:rsidP="006C01ED">
      <w:pPr>
        <w:pStyle w:val="BodyText"/>
        <w:jc w:val="center"/>
      </w:pPr>
      <w:r w:rsidRPr="00417475">
        <w:rPr>
          <w:rFonts w:eastAsiaTheme="minorEastAsia"/>
          <w:noProof/>
          <w:lang w:eastAsia="zh-CN"/>
        </w:rPr>
        <w:drawing>
          <wp:inline distT="0" distB="0" distL="0" distR="0" wp14:anchorId="0572934D" wp14:editId="1789A547">
            <wp:extent cx="3600000" cy="2772391"/>
            <wp:effectExtent l="0" t="0" r="63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00000" cy="2772391"/>
                    </a:xfrm>
                    <a:prstGeom prst="rect">
                      <a:avLst/>
                    </a:prstGeom>
                  </pic:spPr>
                </pic:pic>
              </a:graphicData>
            </a:graphic>
          </wp:inline>
        </w:drawing>
      </w:r>
    </w:p>
    <w:p w14:paraId="52B8215A" w14:textId="6A9A2B44" w:rsidR="00B80501" w:rsidRDefault="00B80501" w:rsidP="00B80501">
      <w:pPr>
        <w:keepLines/>
        <w:spacing w:after="240"/>
        <w:jc w:val="center"/>
        <w:outlineLvl w:val="0"/>
        <w:rPr>
          <w:rFonts w:ascii="Arial" w:hAnsi="Arial"/>
          <w:b/>
          <w:lang w:eastAsia="x-none"/>
        </w:rPr>
      </w:pPr>
      <w:r>
        <w:rPr>
          <w:rFonts w:ascii="Arial" w:hAnsi="Arial"/>
          <w:b/>
          <w:lang w:eastAsia="x-none"/>
        </w:rPr>
        <w:t>Figure 2</w:t>
      </w:r>
      <w:r w:rsidRPr="009D1119">
        <w:rPr>
          <w:rFonts w:ascii="Arial" w:hAnsi="Arial"/>
          <w:b/>
          <w:lang w:eastAsia="x-none"/>
        </w:rPr>
        <w:t>-</w:t>
      </w:r>
      <w:r>
        <w:rPr>
          <w:rFonts w:ascii="Arial" w:hAnsi="Arial"/>
          <w:b/>
          <w:lang w:eastAsia="x-none"/>
        </w:rPr>
        <w:t>2</w:t>
      </w:r>
      <w:r w:rsidRPr="009D1119">
        <w:rPr>
          <w:rFonts w:ascii="Arial" w:hAnsi="Arial"/>
          <w:b/>
          <w:lang w:eastAsia="x-none"/>
        </w:rPr>
        <w:t>:</w:t>
      </w:r>
      <w:r>
        <w:rPr>
          <w:rFonts w:ascii="Arial" w:hAnsi="Arial"/>
          <w:b/>
          <w:lang w:eastAsia="x-none"/>
        </w:rPr>
        <w:t xml:space="preserve"> </w:t>
      </w:r>
      <w:r w:rsidR="00B87F9A" w:rsidRPr="00B87F9A">
        <w:rPr>
          <w:rFonts w:ascii="Arial" w:hAnsi="Arial"/>
          <w:b/>
          <w:lang w:eastAsia="x-none"/>
        </w:rPr>
        <w:t>Autocorrelation plot for a stirring sequence with a four-port antenna switch and mechanical mode stirrers. After [3].</w:t>
      </w:r>
    </w:p>
    <w:p w14:paraId="64DC977B" w14:textId="24C687F2" w:rsidR="00185AFE" w:rsidRDefault="00185AFE" w:rsidP="00185AFE">
      <w:pPr>
        <w:pStyle w:val="BodyText"/>
      </w:pPr>
      <w:r w:rsidRPr="006C01ED">
        <w:rPr>
          <w:b/>
          <w:u w:val="single"/>
        </w:rPr>
        <w:t>Observation 5:</w:t>
      </w:r>
      <w:r>
        <w:t xml:space="preserve"> The </w:t>
      </w:r>
      <w:r w:rsidR="00543398">
        <w:t>current</w:t>
      </w:r>
      <w:r>
        <w:t xml:space="preserve"> method to calculate independent samples can lead to underestimated uncertainty and an incorrect pass verdict. </w:t>
      </w:r>
    </w:p>
    <w:p w14:paraId="7DAC2B50" w14:textId="3E83D2FC" w:rsidR="00185AFE" w:rsidRDefault="00185AFE" w:rsidP="00185AFE">
      <w:pPr>
        <w:pStyle w:val="BodyText"/>
      </w:pPr>
      <w:r>
        <w:t xml:space="preserve">Instead of using the single circular-shift autocorrelation function as in the current approach, an approach using a full correlation matrix can be used to assess the correlation between all pairs in the stirring sequence. For this case, the correlation matrix consists of an </w:t>
      </w:r>
      <w:r w:rsidRPr="006C01ED">
        <w:rPr>
          <w:rFonts w:ascii="Cambria Math" w:hAnsi="Cambria Math"/>
          <w:i/>
        </w:rPr>
        <w:t>N×N</w:t>
      </w:r>
      <w:r>
        <w:t xml:space="preserve"> matrix of complex correlation coefficients representing the pairwise spatial correlation between all </w:t>
      </w:r>
      <w:r w:rsidRPr="006C01ED">
        <w:rPr>
          <w:rFonts w:ascii="Cambria Math" w:hAnsi="Cambria Math"/>
          <w:i/>
        </w:rPr>
        <w:t>N</w:t>
      </w:r>
      <w:r>
        <w:t xml:space="preserve"> measured samples, even those recorded at non-spatially adjacent locations</w:t>
      </w:r>
      <w:r w:rsidR="00176719">
        <w:t xml:space="preserve"> [3]</w:t>
      </w:r>
      <w:r>
        <w:t>.</w:t>
      </w:r>
    </w:p>
    <w:p w14:paraId="257D5237" w14:textId="17369D0B" w:rsidR="00B80501" w:rsidRDefault="00185AFE" w:rsidP="00185AFE">
      <w:pPr>
        <w:pStyle w:val="BodyText"/>
      </w:pPr>
      <w:r>
        <w:t xml:space="preserve">With </w:t>
      </w:r>
      <w:r w:rsidRPr="006C01ED">
        <w:rPr>
          <w:rFonts w:ascii="Cambria Math" w:hAnsi="Cambria Math"/>
          <w:i/>
        </w:rPr>
        <w:t xml:space="preserve">σ </w:t>
      </w:r>
      <w:r>
        <w:t>the covariance matrix, the Pearson correlation coefficients are then calculated pairwise between the observations as</w:t>
      </w:r>
      <w:r w:rsidR="00FC7105">
        <w:t>:</w:t>
      </w:r>
    </w:p>
    <w:p w14:paraId="1FDC31A5" w14:textId="77777777" w:rsidR="000B05F6" w:rsidRDefault="00CD1C8A" w:rsidP="000B05F6">
      <w:pPr>
        <w:jc w:val="center"/>
      </w:pPr>
      <m:oMath>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ij</m:t>
                </m:r>
              </m:sub>
            </m:sSub>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σ</m:t>
                    </m:r>
                  </m:e>
                  <m:sub>
                    <m:r>
                      <w:rPr>
                        <w:rFonts w:ascii="Cambria Math" w:hAnsi="Cambria Math"/>
                      </w:rPr>
                      <m:t>ii</m:t>
                    </m:r>
                  </m:sub>
                </m:sSub>
                <m:sSub>
                  <m:sSubPr>
                    <m:ctrlPr>
                      <w:rPr>
                        <w:rFonts w:ascii="Cambria Math" w:hAnsi="Cambria Math"/>
                        <w:i/>
                      </w:rPr>
                    </m:ctrlPr>
                  </m:sSubPr>
                  <m:e>
                    <m:r>
                      <w:rPr>
                        <w:rFonts w:ascii="Cambria Math" w:hAnsi="Cambria Math"/>
                      </w:rPr>
                      <m:t>σ</m:t>
                    </m:r>
                  </m:e>
                  <m:sub>
                    <m:r>
                      <w:rPr>
                        <w:rFonts w:ascii="Cambria Math" w:hAnsi="Cambria Math"/>
                      </w:rPr>
                      <m:t>jj</m:t>
                    </m:r>
                  </m:sub>
                </m:sSub>
              </m:e>
            </m:rad>
          </m:den>
        </m:f>
      </m:oMath>
      <w:r w:rsidR="000B05F6">
        <w:t>,</w:t>
      </w:r>
    </w:p>
    <w:p w14:paraId="48182600" w14:textId="50B4590B" w:rsidR="007502E5" w:rsidRPr="007502E5" w:rsidRDefault="007502E5" w:rsidP="007502E5">
      <w:pPr>
        <w:pStyle w:val="BodyText"/>
        <w:rPr>
          <w:lang w:val="en-US"/>
        </w:rPr>
      </w:pPr>
      <w:r w:rsidRPr="007502E5">
        <w:rPr>
          <w:lang w:val="en-US"/>
        </w:rPr>
        <w:t xml:space="preserve">where </w:t>
      </w:r>
      <m:oMath>
        <m:r>
          <w:rPr>
            <w:rFonts w:ascii="Cambria Math" w:hAnsi="Cambria Math"/>
            <w:lang w:val="en-US"/>
          </w:rPr>
          <m:t>i</m:t>
        </m:r>
      </m:oMath>
      <w:r w:rsidRPr="007502E5">
        <w:rPr>
          <w:lang w:val="en-US"/>
        </w:rPr>
        <w:t xml:space="preserve"> represents the stirring-sequence sample </w:t>
      </w:r>
      <w:r w:rsidR="00616A47">
        <w:rPr>
          <w:lang w:val="en-US"/>
        </w:rPr>
        <w:t>column</w:t>
      </w:r>
      <w:r w:rsidRPr="007502E5">
        <w:rPr>
          <w:lang w:val="en-US"/>
        </w:rPr>
        <w:t xml:space="preserve"> index and </w:t>
      </w:r>
      <w:r w:rsidRPr="007502E5">
        <w:rPr>
          <w:i/>
          <w:iCs/>
          <w:lang w:val="en-US"/>
        </w:rPr>
        <w:t>j</w:t>
      </w:r>
      <w:r w:rsidRPr="007502E5">
        <w:rPr>
          <w:lang w:val="en-US"/>
        </w:rPr>
        <w:t xml:space="preserve"> the stirring-sequence sample column index for </w:t>
      </w:r>
      <w:r w:rsidRPr="007502E5">
        <w:rPr>
          <w:i/>
          <w:iCs/>
          <w:lang w:val="en-US"/>
        </w:rPr>
        <w:t>i</w:t>
      </w:r>
      <w:r w:rsidRPr="007502E5">
        <w:rPr>
          <w:lang w:val="en-US"/>
        </w:rPr>
        <w:t xml:space="preserve"> = 1, …, </w:t>
      </w:r>
      <w:r w:rsidRPr="007502E5">
        <w:rPr>
          <w:i/>
          <w:iCs/>
          <w:lang w:val="en-US"/>
        </w:rPr>
        <w:t>N</w:t>
      </w:r>
      <w:r w:rsidRPr="007502E5">
        <w:rPr>
          <w:lang w:val="en-US"/>
        </w:rPr>
        <w:t xml:space="preserve"> and </w:t>
      </w:r>
      <w:r w:rsidRPr="007502E5">
        <w:rPr>
          <w:i/>
          <w:iCs/>
          <w:lang w:val="en-US"/>
        </w:rPr>
        <w:t xml:space="preserve">j </w:t>
      </w:r>
      <w:r w:rsidRPr="007502E5">
        <w:rPr>
          <w:lang w:val="en-US"/>
        </w:rPr>
        <w:t xml:space="preserve">= 1, …, </w:t>
      </w:r>
      <w:r w:rsidRPr="007502E5">
        <w:rPr>
          <w:i/>
          <w:iCs/>
          <w:lang w:val="en-US"/>
        </w:rPr>
        <w:t>N</w:t>
      </w:r>
      <w:r w:rsidRPr="007502E5">
        <w:rPr>
          <w:lang w:val="en-US"/>
        </w:rPr>
        <w:t xml:space="preserve">. In many computational packages, the set of </w:t>
      </w:r>
      <w:r w:rsidRPr="007502E5">
        <w:rPr>
          <w:i/>
          <w:iCs/>
          <w:lang w:val="en-US"/>
        </w:rPr>
        <w:t xml:space="preserve">N </w:t>
      </w:r>
      <w:r w:rsidRPr="007502E5">
        <w:rPr>
          <w:lang w:val="en-US"/>
        </w:rPr>
        <w:t xml:space="preserve">× </w:t>
      </w:r>
      <w:r w:rsidRPr="007502E5">
        <w:rPr>
          <w:i/>
          <w:iCs/>
          <w:lang w:val="en-US"/>
        </w:rPr>
        <w:t>N</w:t>
      </w:r>
      <w:r w:rsidRPr="007502E5">
        <w:rPr>
          <w:lang w:val="en-US"/>
        </w:rPr>
        <w:t xml:space="preserve"> complex correlation coefficients may be readily obtained using built-in functions.</w:t>
      </w:r>
    </w:p>
    <w:p w14:paraId="6176BACB" w14:textId="2CDA061B" w:rsidR="007502E5" w:rsidRPr="007502E5" w:rsidRDefault="007502E5" w:rsidP="007502E5">
      <w:pPr>
        <w:pStyle w:val="BodyText"/>
        <w:rPr>
          <w:lang w:val="en-US"/>
        </w:rPr>
      </w:pPr>
      <w:r w:rsidRPr="007502E5">
        <w:rPr>
          <w:lang w:val="en-US"/>
        </w:rPr>
        <w:t xml:space="preserve">The threshold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lim</m:t>
            </m:r>
          </m:sub>
        </m:sSub>
      </m:oMath>
      <w:r w:rsidRPr="007502E5">
        <w:rPr>
          <w:lang w:val="en-US"/>
        </w:rPr>
        <w:t xml:space="preserve"> defined in the current standard is applied to the magnitude squared of each element in the correlation matrix by setting </w:t>
      </w:r>
      <w:r w:rsidRPr="007502E5">
        <w:rPr>
          <w:i/>
          <w:iCs/>
          <w:lang w:val="en-US"/>
        </w:rPr>
        <w:t>r</w:t>
      </w:r>
      <w:r w:rsidRPr="007502E5">
        <w:rPr>
          <w:i/>
          <w:iCs/>
          <w:vertAlign w:val="subscript"/>
          <w:lang w:val="en-US"/>
        </w:rPr>
        <w:t>ij</w:t>
      </w:r>
      <w:r w:rsidRPr="007502E5">
        <w:rPr>
          <w:lang w:val="en-US"/>
        </w:rPr>
        <w:t xml:space="preserve"> to zero if |</w:t>
      </w:r>
      <w:r w:rsidRPr="007502E5">
        <w:rPr>
          <w:i/>
          <w:iCs/>
          <w:lang w:val="en-US"/>
        </w:rPr>
        <w:t xml:space="preserve"> r</w:t>
      </w:r>
      <w:r w:rsidRPr="007502E5">
        <w:rPr>
          <w:i/>
          <w:iCs/>
          <w:vertAlign w:val="subscript"/>
          <w:lang w:val="en-US"/>
        </w:rPr>
        <w:t>ij</w:t>
      </w:r>
      <w:r w:rsidRPr="007502E5">
        <w:rPr>
          <w:lang w:val="en-US"/>
        </w:rPr>
        <w:t xml:space="preserve"> |</w:t>
      </w:r>
      <w:r w:rsidRPr="007502E5">
        <w:rPr>
          <w:vertAlign w:val="superscript"/>
          <w:lang w:val="en-US"/>
        </w:rPr>
        <w:t>2</w:t>
      </w:r>
      <w:r w:rsidRPr="007502E5">
        <w:rPr>
          <w:lang w:val="en-US"/>
        </w:rPr>
        <w:t xml:space="preserve"> ≤ </w:t>
      </w:r>
      <w:r w:rsidRPr="007502E5">
        <w:rPr>
          <w:i/>
          <w:iCs/>
          <w:lang w:val="en-US"/>
        </w:rPr>
        <w:t>r</w:t>
      </w:r>
      <w:r w:rsidRPr="007502E5">
        <w:rPr>
          <w:vertAlign w:val="subscript"/>
          <w:lang w:val="en-US"/>
        </w:rPr>
        <w:t>lim</w:t>
      </w:r>
      <w:r w:rsidRPr="007502E5">
        <w:rPr>
          <w:lang w:val="en-US"/>
        </w:rPr>
        <w:t>. The number of independent samples in the stirring sequence is then calculated as</w:t>
      </w:r>
    </w:p>
    <w:p w14:paraId="22E8F40F" w14:textId="747D4E43" w:rsidR="007502E5" w:rsidRPr="007502E5" w:rsidRDefault="00CD1C8A" w:rsidP="006C01ED">
      <w:pPr>
        <w:pStyle w:val="BodyText"/>
        <w:jc w:val="center"/>
        <w:rPr>
          <w:lang w:val="en-US"/>
        </w:rPr>
      </w:pPr>
      <m:oMath>
        <m:sSub>
          <m:sSubPr>
            <m:ctrlPr>
              <w:rPr>
                <w:rFonts w:ascii="Cambria Math" w:hAnsi="Cambria Math"/>
                <w:i/>
                <w:lang w:val="en-US"/>
              </w:rPr>
            </m:ctrlPr>
          </m:sSubPr>
          <m:e>
            <m:r>
              <w:rPr>
                <w:rFonts w:ascii="Cambria Math" w:hAnsi="Cambria Math"/>
                <w:lang w:val="en-US"/>
              </w:rPr>
              <m:t>N</m:t>
            </m:r>
          </m:e>
          <m:sub>
            <m:r>
              <m:rPr>
                <m:nor/>
              </m:rPr>
              <w:rPr>
                <w:lang w:val="en-US"/>
              </w:rPr>
              <m:t>ind</m:t>
            </m:r>
          </m:sub>
        </m:sSub>
        <m:r>
          <w:rPr>
            <w:rFonts w:ascii="Cambria Math" w:hAnsi="Cambria Math"/>
            <w:lang w:val="en-US"/>
          </w:rPr>
          <m:t>=</m:t>
        </m:r>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num>
          <m:den>
            <m:nary>
              <m:naryPr>
                <m:chr m:val="∑"/>
                <m:limLoc m:val="subSup"/>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nary>
                  <m:naryPr>
                    <m:chr m:val="∑"/>
                    <m:limLoc m:val="subSup"/>
                    <m:ctrlPr>
                      <w:rPr>
                        <w:rFonts w:ascii="Cambria Math" w:hAnsi="Cambria Math"/>
                        <w:i/>
                        <w:lang w:val="en-US"/>
                      </w:rPr>
                    </m:ctrlPr>
                  </m:naryPr>
                  <m:sub>
                    <m:r>
                      <w:rPr>
                        <w:rFonts w:ascii="Cambria Math" w:hAnsi="Cambria Math"/>
                        <w:lang w:val="en-US"/>
                      </w:rPr>
                      <m:t>j=1</m:t>
                    </m:r>
                  </m:sub>
                  <m:sup>
                    <m:r>
                      <w:rPr>
                        <w:rFonts w:ascii="Cambria Math" w:hAnsi="Cambria Math"/>
                        <w:lang w:val="en-US"/>
                      </w:rPr>
                      <m:t>N</m:t>
                    </m:r>
                  </m:sup>
                  <m:e>
                    <m:sSup>
                      <m:sSupPr>
                        <m:ctrlPr>
                          <w:rPr>
                            <w:rFonts w:ascii="Cambria Math" w:hAnsi="Cambria Math"/>
                            <w:i/>
                            <w:lang w:val="en-US"/>
                          </w:rPr>
                        </m:ctrlPr>
                      </m:sSupPr>
                      <m:e>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ij</m:t>
                                </m:r>
                              </m:sub>
                            </m:sSub>
                          </m:e>
                        </m:d>
                      </m:e>
                      <m:sup>
                        <m:r>
                          <w:rPr>
                            <w:rFonts w:ascii="Cambria Math" w:hAnsi="Cambria Math"/>
                            <w:lang w:val="en-US"/>
                          </w:rPr>
                          <m:t>2</m:t>
                        </m:r>
                      </m:sup>
                    </m:sSup>
                  </m:e>
                </m:nary>
              </m:e>
            </m:nary>
          </m:den>
        </m:f>
      </m:oMath>
      <w:r w:rsidR="007502E5" w:rsidRPr="007502E5">
        <w:rPr>
          <w:lang w:val="en-US"/>
        </w:rPr>
        <w:t>.</w:t>
      </w:r>
    </w:p>
    <w:p w14:paraId="5DE7B605" w14:textId="4433FD84" w:rsidR="007502E5" w:rsidRDefault="007502E5" w:rsidP="007502E5">
      <w:pPr>
        <w:pStyle w:val="BodyText"/>
        <w:rPr>
          <w:lang w:val="en-US"/>
        </w:rPr>
      </w:pPr>
      <w:r w:rsidRPr="007502E5">
        <w:rPr>
          <w:lang w:val="en-US"/>
        </w:rPr>
        <w:t>To illustrate the importance of using the correlation matrix method, we consider Sequence B from</w:t>
      </w:r>
      <w:r w:rsidR="005305F5">
        <w:rPr>
          <w:lang w:val="en-US"/>
        </w:rPr>
        <w:t xml:space="preserve"> Table 2-1</w:t>
      </w:r>
      <w:r w:rsidRPr="007502E5">
        <w:rPr>
          <w:lang w:val="en-US"/>
        </w:rPr>
        <w:t xml:space="preserve">, where the switch was intentionally disabled in order to create strong correlation between every four samples. Because of the order in which the samples are stored, this correlation appears every 150 samples in </w:t>
      </w:r>
      <w:r w:rsidR="001E197D">
        <w:rPr>
          <w:lang w:val="en-US"/>
        </w:rPr>
        <w:t>one row of the correlation matrix</w:t>
      </w:r>
      <w:r w:rsidRPr="007502E5">
        <w:rPr>
          <w:lang w:val="en-US"/>
        </w:rPr>
        <w:t>(see</w:t>
      </w:r>
      <w:r>
        <w:rPr>
          <w:lang w:val="en-US"/>
        </w:rPr>
        <w:t xml:space="preserve"> Figure 2-3</w:t>
      </w:r>
      <w:r w:rsidR="001E197D">
        <w:rPr>
          <w:lang w:val="en-US"/>
        </w:rPr>
        <w:t>, a representation similar to the auto</w:t>
      </w:r>
      <w:r w:rsidR="000C4CAE">
        <w:rPr>
          <w:lang w:val="en-US"/>
        </w:rPr>
        <w:t>correlation curve of Figure 2-2</w:t>
      </w:r>
      <w:r w:rsidRPr="007502E5">
        <w:rPr>
          <w:lang w:val="en-US"/>
        </w:rPr>
        <w:t xml:space="preserve">). </w:t>
      </w:r>
    </w:p>
    <w:p w14:paraId="35C4633C" w14:textId="6A3C99E7" w:rsidR="00486C25" w:rsidRPr="007502E5" w:rsidRDefault="00486C25" w:rsidP="006C01ED">
      <w:pPr>
        <w:pStyle w:val="BodyText"/>
        <w:jc w:val="center"/>
        <w:rPr>
          <w:lang w:val="en-US"/>
        </w:rPr>
      </w:pPr>
      <w:r>
        <w:rPr>
          <w:noProof/>
        </w:rPr>
        <w:lastRenderedPageBreak/>
        <w:drawing>
          <wp:inline distT="0" distB="0" distL="0" distR="0" wp14:anchorId="31E9124E" wp14:editId="556FF694">
            <wp:extent cx="3924010" cy="294322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5">
                      <a:extLst>
                        <a:ext uri="{28A0092B-C50C-407E-A947-70E740481C1C}">
                          <a14:useLocalDpi xmlns:a14="http://schemas.microsoft.com/office/drawing/2010/main" val="0"/>
                        </a:ext>
                      </a:extLst>
                    </a:blip>
                    <a:stretch>
                      <a:fillRect/>
                    </a:stretch>
                  </pic:blipFill>
                  <pic:spPr>
                    <a:xfrm>
                      <a:off x="0" y="0"/>
                      <a:ext cx="3927961" cy="2946189"/>
                    </a:xfrm>
                    <a:prstGeom prst="rect">
                      <a:avLst/>
                    </a:prstGeom>
                  </pic:spPr>
                </pic:pic>
              </a:graphicData>
            </a:graphic>
          </wp:inline>
        </w:drawing>
      </w:r>
    </w:p>
    <w:p w14:paraId="5C3CC6B9" w14:textId="16C371DA" w:rsidR="00977B5A" w:rsidRDefault="00977B5A" w:rsidP="00977B5A">
      <w:pPr>
        <w:keepLines/>
        <w:spacing w:after="240"/>
        <w:jc w:val="center"/>
        <w:outlineLvl w:val="0"/>
        <w:rPr>
          <w:rFonts w:ascii="Arial" w:hAnsi="Arial"/>
          <w:b/>
          <w:lang w:eastAsia="x-none"/>
        </w:rPr>
      </w:pPr>
      <w:r>
        <w:rPr>
          <w:rFonts w:ascii="Arial" w:hAnsi="Arial"/>
          <w:b/>
          <w:lang w:eastAsia="x-none"/>
        </w:rPr>
        <w:t>Figure 2</w:t>
      </w:r>
      <w:r w:rsidRPr="009D1119">
        <w:rPr>
          <w:rFonts w:ascii="Arial" w:hAnsi="Arial"/>
          <w:b/>
          <w:lang w:eastAsia="x-none"/>
        </w:rPr>
        <w:t>-</w:t>
      </w:r>
      <w:r>
        <w:rPr>
          <w:rFonts w:ascii="Arial" w:hAnsi="Arial"/>
          <w:b/>
          <w:lang w:eastAsia="x-none"/>
        </w:rPr>
        <w:t>3</w:t>
      </w:r>
      <w:r w:rsidRPr="009D1119">
        <w:rPr>
          <w:rFonts w:ascii="Arial" w:hAnsi="Arial"/>
          <w:b/>
          <w:lang w:eastAsia="x-none"/>
        </w:rPr>
        <w:t>:</w:t>
      </w:r>
      <w:r>
        <w:rPr>
          <w:rFonts w:ascii="Arial" w:hAnsi="Arial"/>
          <w:b/>
          <w:lang w:eastAsia="x-none"/>
        </w:rPr>
        <w:t xml:space="preserve"> </w:t>
      </w:r>
      <w:r w:rsidR="000C4CAE">
        <w:rPr>
          <w:rFonts w:ascii="Arial" w:hAnsi="Arial"/>
          <w:b/>
          <w:lang w:eastAsia="x-none"/>
        </w:rPr>
        <w:t>One row</w:t>
      </w:r>
      <w:r w:rsidR="000C4CAE" w:rsidRPr="00C34728">
        <w:rPr>
          <w:rFonts w:ascii="Arial" w:hAnsi="Arial"/>
          <w:b/>
          <w:lang w:eastAsia="x-none"/>
        </w:rPr>
        <w:t xml:space="preserve"> </w:t>
      </w:r>
      <w:r w:rsidR="00C34728" w:rsidRPr="00C34728">
        <w:rPr>
          <w:rFonts w:ascii="Arial" w:hAnsi="Arial"/>
          <w:b/>
          <w:lang w:eastAsia="x-none"/>
        </w:rPr>
        <w:t xml:space="preserve">of </w:t>
      </w:r>
      <w:r w:rsidR="000C4CAE">
        <w:rPr>
          <w:rFonts w:ascii="Arial" w:hAnsi="Arial"/>
          <w:b/>
          <w:lang w:eastAsia="x-none"/>
        </w:rPr>
        <w:t xml:space="preserve">the </w:t>
      </w:r>
      <w:r w:rsidR="00C34728" w:rsidRPr="00C34728">
        <w:rPr>
          <w:rFonts w:ascii="Arial" w:hAnsi="Arial"/>
          <w:b/>
          <w:lang w:eastAsia="x-none"/>
        </w:rPr>
        <w:t xml:space="preserve">correlation </w:t>
      </w:r>
      <w:r w:rsidR="000C4CAE">
        <w:rPr>
          <w:rFonts w:ascii="Arial" w:hAnsi="Arial"/>
          <w:b/>
          <w:lang w:eastAsia="x-none"/>
        </w:rPr>
        <w:t>matrix</w:t>
      </w:r>
      <w:r w:rsidR="000C4CAE" w:rsidRPr="00C34728">
        <w:rPr>
          <w:rFonts w:ascii="Arial" w:hAnsi="Arial"/>
          <w:b/>
          <w:lang w:eastAsia="x-none"/>
        </w:rPr>
        <w:t xml:space="preserve"> </w:t>
      </w:r>
      <w:r w:rsidR="00C34728" w:rsidRPr="00C34728">
        <w:rPr>
          <w:rFonts w:ascii="Arial" w:hAnsi="Arial"/>
          <w:b/>
          <w:lang w:eastAsia="x-none"/>
        </w:rPr>
        <w:t xml:space="preserve">at a center frequency of 650 MHz for Sequence B from Table </w:t>
      </w:r>
      <w:r w:rsidR="00BB3188">
        <w:rPr>
          <w:rFonts w:ascii="Arial" w:hAnsi="Arial"/>
          <w:b/>
          <w:lang w:eastAsia="x-none"/>
        </w:rPr>
        <w:t>2-</w:t>
      </w:r>
      <w:r w:rsidR="00C34728" w:rsidRPr="00C34728">
        <w:rPr>
          <w:rFonts w:ascii="Arial" w:hAnsi="Arial"/>
          <w:b/>
          <w:lang w:eastAsia="x-none"/>
        </w:rPr>
        <w:t>1. Note that because of the order in which the samples were stored, the correlation peaks appear every 150 samples. From [3].</w:t>
      </w:r>
    </w:p>
    <w:p w14:paraId="6293E726" w14:textId="32EBCF53" w:rsidR="00FC7105" w:rsidRDefault="008B215D" w:rsidP="00185AFE">
      <w:pPr>
        <w:pStyle w:val="BodyText"/>
        <w:rPr>
          <w:lang w:val="en-US"/>
        </w:rPr>
      </w:pPr>
      <w:r w:rsidRPr="008B215D">
        <w:rPr>
          <w:lang w:val="en-US"/>
        </w:rPr>
        <w:t>For th</w:t>
      </w:r>
      <w:r w:rsidR="00E261D2">
        <w:rPr>
          <w:lang w:val="en-US"/>
        </w:rPr>
        <w:t>e</w:t>
      </w:r>
      <w:r w:rsidRPr="008B215D">
        <w:rPr>
          <w:lang w:val="en-US"/>
        </w:rPr>
        <w:t xml:space="preserve"> case</w:t>
      </w:r>
      <w:r w:rsidR="00E261D2">
        <w:rPr>
          <w:lang w:val="en-US"/>
        </w:rPr>
        <w:t xml:space="preserve"> shown in Figure 2-3</w:t>
      </w:r>
      <w:r w:rsidRPr="008B215D">
        <w:rPr>
          <w:lang w:val="en-US"/>
        </w:rPr>
        <w:t xml:space="preserve"> (see [</w:t>
      </w:r>
      <w:r w:rsidR="00F22D38">
        <w:rPr>
          <w:lang w:val="en-US"/>
        </w:rPr>
        <w:t>3</w:t>
      </w:r>
      <w:r w:rsidRPr="008B215D">
        <w:rPr>
          <w:lang w:val="en-US"/>
        </w:rPr>
        <w:t xml:space="preserve">]), with N = 600, the correct value for </w:t>
      </w:r>
      <w:r w:rsidRPr="006C01ED">
        <w:rPr>
          <w:rFonts w:ascii="Cambria Math" w:hAnsi="Cambria Math"/>
          <w:i/>
          <w:lang w:val="en-US"/>
        </w:rPr>
        <w:t>N</w:t>
      </w:r>
      <w:r w:rsidRPr="006C01ED">
        <w:rPr>
          <w:rFonts w:ascii="Cambria Math" w:hAnsi="Cambria Math"/>
          <w:i/>
          <w:vertAlign w:val="subscript"/>
          <w:lang w:val="en-US"/>
        </w:rPr>
        <w:t>ind</w:t>
      </w:r>
      <w:r w:rsidRPr="008B215D">
        <w:rPr>
          <w:lang w:val="en-US"/>
        </w:rPr>
        <w:t xml:space="preserve"> is N/4 = 150. Figure </w:t>
      </w:r>
      <w:r w:rsidR="00AE5D28">
        <w:rPr>
          <w:lang w:val="en-US"/>
        </w:rPr>
        <w:t>2-</w:t>
      </w:r>
      <w:r w:rsidRPr="008B215D">
        <w:rPr>
          <w:lang w:val="en-US"/>
        </w:rPr>
        <w:t xml:space="preserve">4 compares </w:t>
      </w:r>
      <w:r w:rsidRPr="006C01ED">
        <w:rPr>
          <w:rFonts w:ascii="Cambria Math" w:hAnsi="Cambria Math"/>
          <w:i/>
          <w:lang w:val="en-US"/>
        </w:rPr>
        <w:t>N</w:t>
      </w:r>
      <w:r w:rsidRPr="006C01ED">
        <w:rPr>
          <w:rFonts w:ascii="Cambria Math" w:hAnsi="Cambria Math"/>
          <w:i/>
          <w:vertAlign w:val="subscript"/>
          <w:lang w:val="en-US"/>
        </w:rPr>
        <w:t>ind</w:t>
      </w:r>
      <w:r w:rsidRPr="008B215D">
        <w:rPr>
          <w:lang w:val="en-US"/>
        </w:rPr>
        <w:t xml:space="preserve"> calculated with the current method and the </w:t>
      </w:r>
      <w:r w:rsidR="00F950F6">
        <w:rPr>
          <w:lang w:val="en-US"/>
        </w:rPr>
        <w:t xml:space="preserve">thresholded </w:t>
      </w:r>
      <w:r w:rsidRPr="008B215D">
        <w:rPr>
          <w:lang w:val="en-US"/>
        </w:rPr>
        <w:t xml:space="preserve">correlation-matrix method as a function of frequency. Both methods are averaged over a 400 MHz bandwidth. The chamber is designed for operation above 750 MHz. Above 750 MHz, the current method incorrectly estimates </w:t>
      </w:r>
      <w:r w:rsidRPr="006C01ED">
        <w:rPr>
          <w:rFonts w:ascii="Cambria Math" w:hAnsi="Cambria Math"/>
          <w:i/>
          <w:lang w:val="en-US"/>
        </w:rPr>
        <w:t>N</w:t>
      </w:r>
      <w:r w:rsidRPr="006C01ED">
        <w:rPr>
          <w:rFonts w:ascii="Cambria Math" w:hAnsi="Cambria Math"/>
          <w:i/>
          <w:vertAlign w:val="subscript"/>
          <w:lang w:val="en-US"/>
        </w:rPr>
        <w:t>ind</w:t>
      </w:r>
      <w:r w:rsidRPr="008B215D">
        <w:rPr>
          <w:lang w:val="en-US"/>
        </w:rPr>
        <w:t xml:space="preserve"> = 600, whereas the correct value for this case is 150. If the current method were used, a device that should fail may actually pass the corresponding TRP test. Note that below 750 MHz, the frequency response of the chamber is evident, where a smaller number of independent samples are supported.</w:t>
      </w:r>
    </w:p>
    <w:p w14:paraId="578C320C" w14:textId="0EABE936" w:rsidR="00ED5F22" w:rsidRDefault="000434F8" w:rsidP="006C01ED">
      <w:pPr>
        <w:pStyle w:val="BodyText"/>
        <w:jc w:val="center"/>
        <w:rPr>
          <w:lang w:val="en-US"/>
        </w:rPr>
      </w:pPr>
      <w:r w:rsidRPr="00FC386D">
        <w:rPr>
          <w:noProof/>
          <w:vertAlign w:val="subscript"/>
        </w:rPr>
        <w:drawing>
          <wp:inline distT="0" distB="0" distL="0" distR="0" wp14:anchorId="741E84EC" wp14:editId="51DE3670">
            <wp:extent cx="2670048" cy="236489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670048" cy="2364899"/>
                    </a:xfrm>
                    <a:prstGeom prst="rect">
                      <a:avLst/>
                    </a:prstGeom>
                    <a:noFill/>
                    <a:ln>
                      <a:noFill/>
                    </a:ln>
                  </pic:spPr>
                </pic:pic>
              </a:graphicData>
            </a:graphic>
          </wp:inline>
        </w:drawing>
      </w:r>
    </w:p>
    <w:p w14:paraId="69CF6938" w14:textId="183EE6C2" w:rsidR="00BB3188" w:rsidRDefault="00BB3188" w:rsidP="00BB3188">
      <w:pPr>
        <w:keepLines/>
        <w:spacing w:after="240"/>
        <w:jc w:val="center"/>
        <w:outlineLvl w:val="0"/>
        <w:rPr>
          <w:rFonts w:ascii="Arial" w:hAnsi="Arial"/>
          <w:b/>
          <w:lang w:eastAsia="x-none"/>
        </w:rPr>
      </w:pPr>
      <w:r>
        <w:rPr>
          <w:rFonts w:ascii="Arial" w:hAnsi="Arial"/>
          <w:b/>
          <w:lang w:eastAsia="x-none"/>
        </w:rPr>
        <w:t>Figure 2</w:t>
      </w:r>
      <w:r w:rsidRPr="009D1119">
        <w:rPr>
          <w:rFonts w:ascii="Arial" w:hAnsi="Arial"/>
          <w:b/>
          <w:lang w:eastAsia="x-none"/>
        </w:rPr>
        <w:t>-</w:t>
      </w:r>
      <w:r>
        <w:rPr>
          <w:rFonts w:ascii="Arial" w:hAnsi="Arial"/>
          <w:b/>
          <w:lang w:eastAsia="x-none"/>
        </w:rPr>
        <w:t>4</w:t>
      </w:r>
      <w:r w:rsidRPr="009D1119">
        <w:rPr>
          <w:rFonts w:ascii="Arial" w:hAnsi="Arial"/>
          <w:b/>
          <w:lang w:eastAsia="x-none"/>
        </w:rPr>
        <w:t>:</w:t>
      </w:r>
      <w:r>
        <w:rPr>
          <w:rFonts w:ascii="Arial" w:hAnsi="Arial"/>
          <w:b/>
          <w:lang w:eastAsia="x-none"/>
        </w:rPr>
        <w:t xml:space="preserve"> </w:t>
      </w:r>
      <w:r w:rsidR="00ED5F22" w:rsidRPr="00ED5F22">
        <w:rPr>
          <w:rFonts w:ascii="Arial" w:hAnsi="Arial"/>
          <w:b/>
          <w:lang w:eastAsia="x-none"/>
        </w:rPr>
        <w:t xml:space="preserve">Independent samples </w:t>
      </w:r>
      <m:oMath>
        <m:sSub>
          <m:sSubPr>
            <m:ctrlPr>
              <w:rPr>
                <w:rFonts w:ascii="Cambria Math" w:hAnsi="Cambria Math"/>
                <w:b/>
                <w:i/>
                <w:lang w:eastAsia="x-none"/>
              </w:rPr>
            </m:ctrlPr>
          </m:sSubPr>
          <m:e>
            <m:r>
              <m:rPr>
                <m:sty m:val="bi"/>
              </m:rPr>
              <w:rPr>
                <w:rFonts w:ascii="Cambria Math" w:hAnsi="Cambria Math"/>
                <w:lang w:eastAsia="x-none"/>
              </w:rPr>
              <m:t>N</m:t>
            </m:r>
          </m:e>
          <m:sub>
            <m:r>
              <m:rPr>
                <m:sty m:val="p"/>
              </m:rPr>
              <w:rPr>
                <w:rFonts w:ascii="Cambria Math" w:hAnsi="Cambria Math"/>
                <w:lang w:eastAsia="x-none"/>
              </w:rPr>
              <m:t>ind</m:t>
            </m:r>
          </m:sub>
        </m:sSub>
      </m:oMath>
      <w:r w:rsidR="00ED5F22" w:rsidRPr="00ED5F22">
        <w:rPr>
          <w:rFonts w:ascii="Arial" w:hAnsi="Arial"/>
          <w:b/>
          <w:lang w:eastAsia="x-none"/>
        </w:rPr>
        <w:t xml:space="preserve"> predicted by the current 3GPP approach (circles) and </w:t>
      </w:r>
      <w:r w:rsidR="008438EF">
        <w:rPr>
          <w:rFonts w:ascii="Arial" w:hAnsi="Arial"/>
          <w:b/>
          <w:lang w:eastAsia="x-none"/>
        </w:rPr>
        <w:t xml:space="preserve">the thresholded </w:t>
      </w:r>
      <w:r w:rsidR="00ED5F22" w:rsidRPr="00ED5F22">
        <w:rPr>
          <w:rFonts w:ascii="Arial" w:hAnsi="Arial"/>
          <w:b/>
          <w:lang w:eastAsia="x-none"/>
        </w:rPr>
        <w:t xml:space="preserve">correlation-matrix </w:t>
      </w:r>
      <w:r w:rsidR="006D6A13">
        <w:rPr>
          <w:rFonts w:ascii="Arial" w:hAnsi="Arial"/>
          <w:b/>
          <w:lang w:eastAsia="x-none"/>
        </w:rPr>
        <w:t>based method</w:t>
      </w:r>
      <w:r w:rsidR="00ED5F22" w:rsidRPr="00ED5F22">
        <w:rPr>
          <w:rFonts w:ascii="Arial" w:hAnsi="Arial"/>
          <w:b/>
          <w:lang w:eastAsia="x-none"/>
        </w:rPr>
        <w:t xml:space="preserve"> (squares). Every four samples were duplicated, yielding a true value of </w:t>
      </w:r>
      <m:oMath>
        <m:r>
          <m:rPr>
            <m:sty m:val="bi"/>
          </m:rPr>
          <w:rPr>
            <w:rFonts w:ascii="Cambria Math" w:hAnsi="Cambria Math"/>
            <w:lang w:eastAsia="x-none"/>
          </w:rPr>
          <m:t>=</m:t>
        </m:r>
        <m:sSub>
          <m:sSubPr>
            <m:ctrlPr>
              <w:rPr>
                <w:rFonts w:ascii="Cambria Math" w:hAnsi="Cambria Math"/>
                <w:b/>
                <w:i/>
                <w:lang w:eastAsia="x-none"/>
              </w:rPr>
            </m:ctrlPr>
          </m:sSubPr>
          <m:e>
            <m:r>
              <m:rPr>
                <m:sty m:val="bi"/>
              </m:rPr>
              <w:rPr>
                <w:rFonts w:ascii="Cambria Math" w:hAnsi="Cambria Math"/>
                <w:lang w:eastAsia="x-none"/>
              </w:rPr>
              <m:t>N</m:t>
            </m:r>
          </m:e>
          <m:sub>
            <m:r>
              <m:rPr>
                <m:sty m:val="p"/>
              </m:rPr>
              <w:rPr>
                <w:rFonts w:ascii="Cambria Math" w:hAnsi="Cambria Math"/>
                <w:lang w:eastAsia="x-none"/>
              </w:rPr>
              <m:t>ind</m:t>
            </m:r>
          </m:sub>
        </m:sSub>
        <m:r>
          <m:rPr>
            <m:sty m:val="bi"/>
          </m:rPr>
          <w:rPr>
            <w:rFonts w:ascii="Cambria Math" w:hAnsi="Cambria Math"/>
            <w:lang w:eastAsia="x-none"/>
          </w:rPr>
          <m:t>=150</m:t>
        </m:r>
      </m:oMath>
      <w:r w:rsidR="00ED5F22" w:rsidRPr="00ED5F22">
        <w:rPr>
          <w:rFonts w:ascii="Arial" w:hAnsi="Arial"/>
          <w:b/>
          <w:lang w:eastAsia="x-none"/>
        </w:rPr>
        <w:t xml:space="preserve">. This stirring sequence intentionally fails to provide the minimum number of uncorrelated samples </w:t>
      </w:r>
      <m:oMath>
        <m:sSub>
          <m:sSubPr>
            <m:ctrlPr>
              <w:rPr>
                <w:rFonts w:ascii="Cambria Math" w:hAnsi="Cambria Math"/>
                <w:b/>
                <w:i/>
                <w:lang w:eastAsia="x-none"/>
              </w:rPr>
            </m:ctrlPr>
          </m:sSubPr>
          <m:e>
            <m:r>
              <m:rPr>
                <m:sty m:val="bi"/>
              </m:rPr>
              <w:rPr>
                <w:rFonts w:ascii="Cambria Math" w:hAnsi="Cambria Math"/>
                <w:lang w:eastAsia="x-none"/>
              </w:rPr>
              <m:t>N</m:t>
            </m:r>
          </m:e>
          <m:sub>
            <m:r>
              <m:rPr>
                <m:sty m:val="p"/>
              </m:rPr>
              <w:rPr>
                <w:rFonts w:ascii="Cambria Math" w:hAnsi="Cambria Math"/>
                <w:lang w:eastAsia="x-none"/>
              </w:rPr>
              <m:t>ind</m:t>
            </m:r>
          </m:sub>
        </m:sSub>
        <m:r>
          <m:rPr>
            <m:sty m:val="bi"/>
          </m:rPr>
          <w:rPr>
            <w:rFonts w:ascii="Cambria Math" w:hAnsi="Cambria Math"/>
            <w:lang w:eastAsia="x-none"/>
          </w:rPr>
          <m:t>=250</m:t>
        </m:r>
      </m:oMath>
      <w:r w:rsidR="00ED5F22" w:rsidRPr="00ED5F22">
        <w:rPr>
          <w:rFonts w:ascii="Arial" w:hAnsi="Arial"/>
          <w:b/>
          <w:lang w:eastAsia="x-none"/>
        </w:rPr>
        <w:t xml:space="preserve">. The upper curve is the existing 3GPP autocorrelation matrix approach, which overestimates the value of </w:t>
      </w:r>
      <m:oMath>
        <m:sSub>
          <m:sSubPr>
            <m:ctrlPr>
              <w:rPr>
                <w:rFonts w:ascii="Cambria Math" w:hAnsi="Cambria Math"/>
                <w:b/>
                <w:i/>
                <w:lang w:eastAsia="x-none"/>
              </w:rPr>
            </m:ctrlPr>
          </m:sSubPr>
          <m:e>
            <m:r>
              <m:rPr>
                <m:sty m:val="bi"/>
              </m:rPr>
              <w:rPr>
                <w:rFonts w:ascii="Cambria Math" w:hAnsi="Cambria Math"/>
                <w:lang w:eastAsia="x-none"/>
              </w:rPr>
              <m:t>N</m:t>
            </m:r>
          </m:e>
          <m:sub>
            <m:r>
              <m:rPr>
                <m:sty m:val="p"/>
              </m:rPr>
              <w:rPr>
                <w:rFonts w:ascii="Cambria Math" w:hAnsi="Cambria Math"/>
                <w:lang w:eastAsia="x-none"/>
              </w:rPr>
              <m:t>ind</m:t>
            </m:r>
          </m:sub>
        </m:sSub>
      </m:oMath>
      <w:r w:rsidR="00ED5F22" w:rsidRPr="00ED5F22">
        <w:rPr>
          <w:rFonts w:ascii="Arial" w:hAnsi="Arial"/>
          <w:b/>
          <w:lang w:eastAsia="x-none"/>
        </w:rPr>
        <w:t xml:space="preserve"> and would significantly underestimate the uncertainty. Using the existing 3GPP approach, this stirring sequence would be allowed. The lower curve is the </w:t>
      </w:r>
      <w:r w:rsidR="006D6A13">
        <w:rPr>
          <w:rFonts w:ascii="Arial" w:hAnsi="Arial"/>
          <w:b/>
          <w:lang w:eastAsia="x-none"/>
        </w:rPr>
        <w:t>thresholded</w:t>
      </w:r>
      <w:r w:rsidR="00ED5F22" w:rsidRPr="00ED5F22">
        <w:rPr>
          <w:rFonts w:ascii="Arial" w:hAnsi="Arial"/>
          <w:b/>
          <w:lang w:eastAsia="x-none"/>
        </w:rPr>
        <w:t xml:space="preserve"> correlation-matrix-based </w:t>
      </w:r>
      <w:r w:rsidR="00540F95">
        <w:rPr>
          <w:rFonts w:ascii="Arial" w:hAnsi="Arial"/>
          <w:b/>
          <w:lang w:eastAsia="x-none"/>
        </w:rPr>
        <w:t>method</w:t>
      </w:r>
      <w:r w:rsidR="00ED5F22" w:rsidRPr="00ED5F22">
        <w:rPr>
          <w:rFonts w:ascii="Arial" w:hAnsi="Arial"/>
          <w:b/>
          <w:lang w:eastAsia="x-none"/>
        </w:rPr>
        <w:t xml:space="preserve">, which provides the correct value for </w:t>
      </w:r>
      <m:oMath>
        <m:sSub>
          <m:sSubPr>
            <m:ctrlPr>
              <w:rPr>
                <w:rFonts w:ascii="Cambria Math" w:hAnsi="Cambria Math"/>
                <w:b/>
                <w:i/>
                <w:lang w:eastAsia="x-none"/>
              </w:rPr>
            </m:ctrlPr>
          </m:sSubPr>
          <m:e>
            <m:r>
              <m:rPr>
                <m:sty m:val="bi"/>
              </m:rPr>
              <w:rPr>
                <w:rFonts w:ascii="Cambria Math" w:hAnsi="Cambria Math"/>
                <w:lang w:eastAsia="x-none"/>
              </w:rPr>
              <m:t>N</m:t>
            </m:r>
          </m:e>
          <m:sub>
            <m:r>
              <m:rPr>
                <m:sty m:val="p"/>
              </m:rPr>
              <w:rPr>
                <w:rFonts w:ascii="Cambria Math" w:hAnsi="Cambria Math"/>
                <w:lang w:eastAsia="x-none"/>
              </w:rPr>
              <m:t>ind</m:t>
            </m:r>
          </m:sub>
        </m:sSub>
      </m:oMath>
      <w:r w:rsidR="00ED5F22" w:rsidRPr="00ED5F22">
        <w:rPr>
          <w:rFonts w:ascii="Arial" w:hAnsi="Arial"/>
          <w:b/>
          <w:lang w:eastAsia="x-none"/>
        </w:rPr>
        <w:t>, After [3].</w:t>
      </w:r>
    </w:p>
    <w:p w14:paraId="5811635E" w14:textId="40274CAF" w:rsidR="008B58D6" w:rsidRPr="008B58D6" w:rsidRDefault="008B58D6" w:rsidP="008B58D6">
      <w:pPr>
        <w:pStyle w:val="BodyText"/>
        <w:rPr>
          <w:lang w:val="en-US"/>
        </w:rPr>
      </w:pPr>
      <w:r w:rsidRPr="006C01ED">
        <w:rPr>
          <w:b/>
          <w:u w:val="single"/>
          <w:lang w:val="en-US"/>
        </w:rPr>
        <w:t>Observation 6:</w:t>
      </w:r>
      <w:r w:rsidRPr="008B58D6">
        <w:rPr>
          <w:lang w:val="en-US"/>
        </w:rPr>
        <w:t xml:space="preserve"> The thresholded correlation-matrix-based </w:t>
      </w:r>
      <w:r w:rsidR="00540F95">
        <w:rPr>
          <w:lang w:val="en-US"/>
        </w:rPr>
        <w:t>method</w:t>
      </w:r>
      <w:r w:rsidR="00540F95" w:rsidRPr="008B58D6">
        <w:rPr>
          <w:lang w:val="en-US"/>
        </w:rPr>
        <w:t xml:space="preserve"> </w:t>
      </w:r>
      <w:r w:rsidRPr="008B58D6">
        <w:rPr>
          <w:lang w:val="en-US"/>
        </w:rPr>
        <w:t>accurately estimates the number of independent samples from general stirring sequences, which is key for obtaining a controlled uncertainty.</w:t>
      </w:r>
    </w:p>
    <w:p w14:paraId="15606328" w14:textId="5C0E7C0E" w:rsidR="00BB3188" w:rsidRDefault="008B58D6" w:rsidP="008B58D6">
      <w:pPr>
        <w:pStyle w:val="BodyText"/>
        <w:rPr>
          <w:lang w:val="en-US"/>
        </w:rPr>
      </w:pPr>
      <w:r w:rsidRPr="008B58D6">
        <w:rPr>
          <w:lang w:val="en-US"/>
        </w:rPr>
        <w:t xml:space="preserve">The </w:t>
      </w:r>
      <w:r w:rsidR="00A728DA">
        <w:rPr>
          <w:lang w:val="en-US"/>
        </w:rPr>
        <w:t xml:space="preserve">thresholded </w:t>
      </w:r>
      <w:r w:rsidRPr="008B58D6">
        <w:rPr>
          <w:lang w:val="en-US"/>
        </w:rPr>
        <w:t xml:space="preserve">correlation-matrix-based </w:t>
      </w:r>
      <w:r w:rsidR="00A728DA">
        <w:rPr>
          <w:lang w:val="en-US"/>
        </w:rPr>
        <w:t>method</w:t>
      </w:r>
      <w:r w:rsidR="00A728DA" w:rsidRPr="008B58D6">
        <w:rPr>
          <w:lang w:val="en-US"/>
        </w:rPr>
        <w:t xml:space="preserve"> </w:t>
      </w:r>
      <w:r w:rsidRPr="008B58D6">
        <w:rPr>
          <w:lang w:val="en-US"/>
        </w:rPr>
        <w:t xml:space="preserve">is backward compatible with the existing 3GPP autocorrelation method, that is, it provides the correct number of independent samples for stirring sequences based on rotational stirrers. </w:t>
      </w:r>
      <w:r w:rsidRPr="008B58D6">
        <w:rPr>
          <w:lang w:val="en-US"/>
        </w:rPr>
        <w:lastRenderedPageBreak/>
        <w:t xml:space="preserve">This is shown in Figure </w:t>
      </w:r>
      <w:r>
        <w:rPr>
          <w:lang w:val="en-US"/>
        </w:rPr>
        <w:t>2-</w:t>
      </w:r>
      <w:r w:rsidRPr="008B58D6">
        <w:rPr>
          <w:lang w:val="en-US"/>
        </w:rPr>
        <w:t xml:space="preserve">5, where good agreement is seen between the existing 3GPP method and the </w:t>
      </w:r>
      <w:r w:rsidR="0038039A">
        <w:rPr>
          <w:lang w:val="en-US"/>
        </w:rPr>
        <w:t xml:space="preserve">thresholded </w:t>
      </w:r>
      <w:r w:rsidRPr="008B58D6">
        <w:rPr>
          <w:lang w:val="en-US"/>
        </w:rPr>
        <w:t xml:space="preserve">correlation-matrix-based </w:t>
      </w:r>
      <w:r w:rsidR="0038039A">
        <w:rPr>
          <w:lang w:val="en-US"/>
        </w:rPr>
        <w:t>method</w:t>
      </w:r>
      <w:r w:rsidR="0038039A" w:rsidRPr="008B58D6">
        <w:rPr>
          <w:lang w:val="en-US"/>
        </w:rPr>
        <w:t xml:space="preserve"> </w:t>
      </w:r>
      <w:r w:rsidRPr="008B58D6">
        <w:rPr>
          <w:lang w:val="en-US"/>
        </w:rPr>
        <w:t>(“Full Corr”).</w:t>
      </w:r>
    </w:p>
    <w:p w14:paraId="6630CA24" w14:textId="29E6164A" w:rsidR="001E40FF" w:rsidRDefault="00647F17" w:rsidP="006C01ED">
      <w:pPr>
        <w:pStyle w:val="BodyText"/>
        <w:jc w:val="center"/>
        <w:rPr>
          <w:lang w:val="en-US"/>
        </w:rPr>
      </w:pPr>
      <w:r>
        <w:rPr>
          <w:noProof/>
        </w:rPr>
        <w:drawing>
          <wp:inline distT="0" distB="0" distL="0" distR="0" wp14:anchorId="64529C4E" wp14:editId="504344A3">
            <wp:extent cx="3600000" cy="2610060"/>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00000" cy="2610060"/>
                    </a:xfrm>
                    <a:prstGeom prst="rect">
                      <a:avLst/>
                    </a:prstGeom>
                    <a:noFill/>
                    <a:ln>
                      <a:noFill/>
                    </a:ln>
                  </pic:spPr>
                </pic:pic>
              </a:graphicData>
            </a:graphic>
          </wp:inline>
        </w:drawing>
      </w:r>
    </w:p>
    <w:p w14:paraId="04BD7963" w14:textId="19CD94F2" w:rsidR="001E40FF" w:rsidRDefault="001E40FF" w:rsidP="001E40FF">
      <w:pPr>
        <w:keepLines/>
        <w:spacing w:after="240"/>
        <w:jc w:val="center"/>
        <w:outlineLvl w:val="0"/>
        <w:rPr>
          <w:rFonts w:ascii="Arial" w:hAnsi="Arial"/>
          <w:b/>
          <w:lang w:eastAsia="x-none"/>
        </w:rPr>
      </w:pPr>
      <w:r>
        <w:rPr>
          <w:rFonts w:ascii="Arial" w:hAnsi="Arial"/>
          <w:b/>
          <w:lang w:eastAsia="x-none"/>
        </w:rPr>
        <w:t>Figure 2</w:t>
      </w:r>
      <w:r w:rsidRPr="009D1119">
        <w:rPr>
          <w:rFonts w:ascii="Arial" w:hAnsi="Arial"/>
          <w:b/>
          <w:lang w:eastAsia="x-none"/>
        </w:rPr>
        <w:t>-</w:t>
      </w:r>
      <w:r>
        <w:rPr>
          <w:rFonts w:ascii="Arial" w:hAnsi="Arial"/>
          <w:b/>
          <w:lang w:eastAsia="x-none"/>
        </w:rPr>
        <w:t>5</w:t>
      </w:r>
      <w:r w:rsidRPr="009D1119">
        <w:rPr>
          <w:rFonts w:ascii="Arial" w:hAnsi="Arial"/>
          <w:b/>
          <w:lang w:eastAsia="x-none"/>
        </w:rPr>
        <w:t>:</w:t>
      </w:r>
      <w:r>
        <w:rPr>
          <w:rFonts w:ascii="Arial" w:hAnsi="Arial"/>
          <w:b/>
          <w:lang w:eastAsia="x-none"/>
        </w:rPr>
        <w:t xml:space="preserve"> </w:t>
      </w:r>
      <w:r w:rsidR="00011A65" w:rsidRPr="00011A65">
        <w:rPr>
          <w:rFonts w:ascii="Arial" w:hAnsi="Arial"/>
          <w:b/>
          <w:lang w:eastAsia="x-none"/>
        </w:rPr>
        <w:t xml:space="preserve">Number of independent samples </w:t>
      </w:r>
      <m:oMath>
        <m:sSub>
          <m:sSubPr>
            <m:ctrlPr>
              <w:rPr>
                <w:rFonts w:ascii="Cambria Math" w:hAnsi="Cambria Math"/>
                <w:b/>
                <w:i/>
                <w:lang w:eastAsia="x-none"/>
              </w:rPr>
            </m:ctrlPr>
          </m:sSubPr>
          <m:e>
            <m:r>
              <m:rPr>
                <m:sty m:val="bi"/>
              </m:rPr>
              <w:rPr>
                <w:rFonts w:ascii="Cambria Math" w:hAnsi="Cambria Math"/>
                <w:lang w:eastAsia="x-none"/>
              </w:rPr>
              <m:t>N</m:t>
            </m:r>
          </m:e>
          <m:sub>
            <m:r>
              <m:rPr>
                <m:sty m:val="p"/>
              </m:rPr>
              <w:rPr>
                <w:rFonts w:ascii="Cambria Math" w:hAnsi="Cambria Math"/>
                <w:lang w:eastAsia="x-none"/>
              </w:rPr>
              <m:t>ind</m:t>
            </m:r>
          </m:sub>
        </m:sSub>
      </m:oMath>
      <w:r w:rsidR="00E13595">
        <w:rPr>
          <w:rFonts w:ascii="Arial" w:hAnsi="Arial"/>
          <w:b/>
          <w:lang w:eastAsia="x-none"/>
        </w:rPr>
        <w:t xml:space="preserve"> </w:t>
      </w:r>
      <w:r w:rsidR="00011A65" w:rsidRPr="00011A65">
        <w:rPr>
          <w:rFonts w:ascii="Arial" w:hAnsi="Arial"/>
          <w:b/>
          <w:lang w:eastAsia="x-none"/>
        </w:rPr>
        <w:t xml:space="preserve">for a reverberation chamber stirring sequence consisting of only rotational stirring mechanisms. Good agreement is seen between the existing 3GPP autocorrelation matrix approach and the </w:t>
      </w:r>
      <w:r w:rsidR="0038039A">
        <w:rPr>
          <w:rFonts w:ascii="Arial" w:hAnsi="Arial"/>
          <w:b/>
          <w:lang w:eastAsia="x-none"/>
        </w:rPr>
        <w:t>thresholded</w:t>
      </w:r>
      <w:r w:rsidR="00011A65" w:rsidRPr="00011A65">
        <w:rPr>
          <w:rFonts w:ascii="Arial" w:hAnsi="Arial"/>
          <w:b/>
          <w:lang w:eastAsia="x-none"/>
        </w:rPr>
        <w:t xml:space="preserve"> correlation-matrix-based </w:t>
      </w:r>
      <w:r w:rsidR="0038039A">
        <w:rPr>
          <w:rFonts w:ascii="Arial" w:hAnsi="Arial"/>
          <w:b/>
          <w:lang w:eastAsia="x-none"/>
        </w:rPr>
        <w:t>method</w:t>
      </w:r>
      <w:r w:rsidR="0038039A" w:rsidRPr="00011A65">
        <w:rPr>
          <w:rFonts w:ascii="Arial" w:hAnsi="Arial"/>
          <w:b/>
          <w:lang w:eastAsia="x-none"/>
        </w:rPr>
        <w:t xml:space="preserve"> </w:t>
      </w:r>
      <w:r w:rsidR="00011A65" w:rsidRPr="00011A65">
        <w:rPr>
          <w:rFonts w:ascii="Arial" w:hAnsi="Arial"/>
          <w:b/>
          <w:lang w:eastAsia="x-none"/>
        </w:rPr>
        <w:t>denoted “Full Corr” in the graph. After [3].</w:t>
      </w:r>
    </w:p>
    <w:p w14:paraId="78D7A822" w14:textId="7ED7CBA5" w:rsidR="005C2DAD" w:rsidRDefault="005C2DAD" w:rsidP="005C2DAD">
      <w:pPr>
        <w:pStyle w:val="BodyText"/>
      </w:pPr>
      <w:r w:rsidRPr="006C01ED">
        <w:rPr>
          <w:b/>
          <w:u w:val="single"/>
        </w:rPr>
        <w:t>Observation 7:</w:t>
      </w:r>
      <w:r>
        <w:t xml:space="preserve"> The </w:t>
      </w:r>
      <w:r w:rsidR="00CA46F2">
        <w:t xml:space="preserve">thresholded </w:t>
      </w:r>
      <w:r>
        <w:t xml:space="preserve">correlation-matrix-based </w:t>
      </w:r>
      <w:r w:rsidR="009834EC">
        <w:t xml:space="preserve">method </w:t>
      </w:r>
      <w:r>
        <w:t>to calculate independent samples also works for the case of monotonically decreasing correlation (i.e., is backward compatible).</w:t>
      </w:r>
    </w:p>
    <w:p w14:paraId="4E607B63" w14:textId="37AC80F0" w:rsidR="003B61A8" w:rsidRDefault="005C2DAD" w:rsidP="003B61A8">
      <w:pPr>
        <w:pBdr>
          <w:bottom w:val="single" w:sz="4" w:space="1" w:color="auto"/>
        </w:pBdr>
      </w:pPr>
      <w:r>
        <w:t xml:space="preserve">Use of the </w:t>
      </w:r>
      <w:r w:rsidR="00CA46F2">
        <w:t xml:space="preserve">thresholded </w:t>
      </w:r>
      <w:r>
        <w:t xml:space="preserve">correlation-matrix-based </w:t>
      </w:r>
      <w:r w:rsidR="00CA46F2">
        <w:t xml:space="preserve">method </w:t>
      </w:r>
      <w:r>
        <w:t>allow the development of innovative, efficient stirring sequences that can provide equal or lower uncertainty without increasing test time due to the enhanced randomization of the fields in the chamber.</w:t>
      </w:r>
    </w:p>
    <w:p w14:paraId="5BEC408C" w14:textId="77777777" w:rsidR="00125FDA" w:rsidRDefault="00125FDA" w:rsidP="003B61A8">
      <w:pPr>
        <w:pBdr>
          <w:bottom w:val="single" w:sz="4" w:space="1" w:color="auto"/>
        </w:pBdr>
      </w:pPr>
    </w:p>
    <w:p w14:paraId="7AEE2948" w14:textId="77777777" w:rsidR="00125FDA" w:rsidRDefault="00125FDA" w:rsidP="003B61A8">
      <w:pPr>
        <w:pBdr>
          <w:bottom w:val="single" w:sz="4" w:space="1" w:color="auto"/>
        </w:pBdr>
      </w:pPr>
    </w:p>
    <w:p w14:paraId="463822DF" w14:textId="77777777" w:rsidR="00125FDA" w:rsidRDefault="00125FDA" w:rsidP="003B61A8">
      <w:pPr>
        <w:pBdr>
          <w:bottom w:val="single" w:sz="4" w:space="1" w:color="auto"/>
        </w:pBdr>
      </w:pPr>
    </w:p>
    <w:p w14:paraId="588AF76D" w14:textId="77777777" w:rsidR="00125FDA" w:rsidRDefault="00125FDA" w:rsidP="003B61A8">
      <w:pPr>
        <w:pBdr>
          <w:bottom w:val="single" w:sz="4" w:space="1" w:color="auto"/>
        </w:pBdr>
      </w:pPr>
    </w:p>
    <w:p w14:paraId="1DCC410F" w14:textId="77777777" w:rsidR="00125FDA" w:rsidRDefault="00125FDA" w:rsidP="003B61A8">
      <w:pPr>
        <w:pBdr>
          <w:bottom w:val="single" w:sz="4" w:space="1" w:color="auto"/>
        </w:pBdr>
      </w:pPr>
    </w:p>
    <w:p w14:paraId="20DEF37C" w14:textId="77777777" w:rsidR="00125FDA" w:rsidRDefault="00125FDA" w:rsidP="003B61A8">
      <w:pPr>
        <w:pBdr>
          <w:bottom w:val="single" w:sz="4" w:space="1" w:color="auto"/>
        </w:pBdr>
      </w:pPr>
    </w:p>
    <w:p w14:paraId="1F18C069" w14:textId="77777777" w:rsidR="00125FDA" w:rsidRDefault="00125FDA" w:rsidP="003B61A8">
      <w:pPr>
        <w:pBdr>
          <w:bottom w:val="single" w:sz="4" w:space="1" w:color="auto"/>
        </w:pBdr>
      </w:pPr>
    </w:p>
    <w:p w14:paraId="2C96F717" w14:textId="77777777" w:rsidR="00125FDA" w:rsidRDefault="00125FDA" w:rsidP="003B61A8">
      <w:pPr>
        <w:pBdr>
          <w:bottom w:val="single" w:sz="4" w:space="1" w:color="auto"/>
        </w:pBdr>
      </w:pPr>
    </w:p>
    <w:p w14:paraId="01903ADA" w14:textId="77777777" w:rsidR="00125FDA" w:rsidRDefault="00125FDA" w:rsidP="003B61A8">
      <w:pPr>
        <w:pBdr>
          <w:bottom w:val="single" w:sz="4" w:space="1" w:color="auto"/>
        </w:pBdr>
      </w:pPr>
    </w:p>
    <w:p w14:paraId="39D5C13C" w14:textId="77777777" w:rsidR="00125FDA" w:rsidRDefault="00125FDA" w:rsidP="003B61A8">
      <w:pPr>
        <w:pBdr>
          <w:bottom w:val="single" w:sz="4" w:space="1" w:color="auto"/>
        </w:pBdr>
      </w:pPr>
    </w:p>
    <w:p w14:paraId="4FD41621" w14:textId="77777777" w:rsidR="00125FDA" w:rsidRDefault="00125FDA" w:rsidP="003B61A8">
      <w:pPr>
        <w:pBdr>
          <w:bottom w:val="single" w:sz="4" w:space="1" w:color="auto"/>
        </w:pBdr>
      </w:pPr>
    </w:p>
    <w:p w14:paraId="043AECAE" w14:textId="77777777" w:rsidR="00125FDA" w:rsidRDefault="00125FDA" w:rsidP="003B61A8">
      <w:pPr>
        <w:pBdr>
          <w:bottom w:val="single" w:sz="4" w:space="1" w:color="auto"/>
        </w:pBdr>
      </w:pPr>
    </w:p>
    <w:p w14:paraId="0618A95D" w14:textId="77777777" w:rsidR="00125FDA" w:rsidRDefault="00125FDA" w:rsidP="003B61A8">
      <w:pPr>
        <w:pBdr>
          <w:bottom w:val="single" w:sz="4" w:space="1" w:color="auto"/>
        </w:pBdr>
      </w:pPr>
    </w:p>
    <w:p w14:paraId="7DF8F2C1" w14:textId="77777777" w:rsidR="00125FDA" w:rsidRDefault="00125FDA" w:rsidP="003B61A8">
      <w:pPr>
        <w:pBdr>
          <w:bottom w:val="single" w:sz="4" w:space="1" w:color="auto"/>
        </w:pBdr>
      </w:pPr>
    </w:p>
    <w:p w14:paraId="707B68B3" w14:textId="77777777" w:rsidR="00125FDA" w:rsidRDefault="00125FDA" w:rsidP="003B61A8">
      <w:pPr>
        <w:pBdr>
          <w:bottom w:val="single" w:sz="4" w:space="1" w:color="auto"/>
        </w:pBdr>
      </w:pPr>
    </w:p>
    <w:p w14:paraId="099A786A" w14:textId="77777777" w:rsidR="00125FDA" w:rsidRDefault="00125FDA" w:rsidP="003B61A8">
      <w:pPr>
        <w:pBdr>
          <w:bottom w:val="single" w:sz="4" w:space="1" w:color="auto"/>
        </w:pBdr>
      </w:pPr>
    </w:p>
    <w:p w14:paraId="3206A5DE" w14:textId="77777777" w:rsidR="00125FDA" w:rsidRDefault="00125FDA" w:rsidP="003B61A8">
      <w:pPr>
        <w:pBdr>
          <w:bottom w:val="single" w:sz="4" w:space="1" w:color="auto"/>
        </w:pBdr>
      </w:pPr>
    </w:p>
    <w:p w14:paraId="77DBDB7C" w14:textId="77777777" w:rsidR="006C01ED" w:rsidRDefault="006C01ED" w:rsidP="003B61A8">
      <w:pPr>
        <w:pBdr>
          <w:bottom w:val="single" w:sz="4" w:space="1" w:color="auto"/>
        </w:pBdr>
        <w:rPr>
          <w:rFonts w:ascii="Arial" w:hAnsi="Arial" w:cs="Arial"/>
        </w:rPr>
      </w:pPr>
    </w:p>
    <w:p w14:paraId="666A56A2"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5FD17FF7" w14:textId="079F7E27" w:rsidR="00C457EA" w:rsidRDefault="00B925DE" w:rsidP="003B61A8">
      <w:pPr>
        <w:pStyle w:val="BodyText"/>
      </w:pPr>
      <w:r>
        <w:t>A</w:t>
      </w:r>
      <w:r w:rsidR="00C05E5E">
        <w:t xml:space="preserve"> </w:t>
      </w:r>
      <w:r w:rsidR="00144D25">
        <w:t xml:space="preserve">generalized </w:t>
      </w:r>
      <w:r w:rsidR="003257DF">
        <w:t>method</w:t>
      </w:r>
      <w:r w:rsidR="00AC764E">
        <w:t>, the “</w:t>
      </w:r>
      <w:r w:rsidR="000366F4">
        <w:t>thresholded c</w:t>
      </w:r>
      <w:r w:rsidR="00AC764E">
        <w:t>orrelation</w:t>
      </w:r>
      <w:r w:rsidR="000366F4">
        <w:t>-m</w:t>
      </w:r>
      <w:r w:rsidR="00AC764E">
        <w:t>atrix</w:t>
      </w:r>
      <w:r w:rsidR="000366F4">
        <w:t>-b</w:t>
      </w:r>
      <w:r w:rsidR="00FE4F03">
        <w:t xml:space="preserve">ased </w:t>
      </w:r>
      <w:r w:rsidR="008A302E">
        <w:t>method</w:t>
      </w:r>
      <w:r w:rsidR="00AC764E">
        <w:t>”,</w:t>
      </w:r>
      <w:r w:rsidR="002F7EA0">
        <w:t xml:space="preserve"> </w:t>
      </w:r>
      <w:r w:rsidR="00FF35FC">
        <w:t xml:space="preserve">for </w:t>
      </w:r>
      <w:r w:rsidR="00CA4B84">
        <w:t>characteriz</w:t>
      </w:r>
      <w:r w:rsidR="00D02340">
        <w:t xml:space="preserve">ation of </w:t>
      </w:r>
      <w:r w:rsidR="0017474E">
        <w:t xml:space="preserve">an </w:t>
      </w:r>
      <w:r w:rsidR="00AA69CF">
        <w:t>RC</w:t>
      </w:r>
      <w:r w:rsidR="00A11619">
        <w:t xml:space="preserve"> test </w:t>
      </w:r>
      <w:r w:rsidR="002A3FC4">
        <w:t>environment</w:t>
      </w:r>
      <w:r>
        <w:t xml:space="preserve"> </w:t>
      </w:r>
      <w:r w:rsidR="00B65035">
        <w:t>has been</w:t>
      </w:r>
      <w:r>
        <w:t xml:space="preserve"> presented</w:t>
      </w:r>
      <w:r w:rsidR="002E0198">
        <w:t>.</w:t>
      </w:r>
      <w:r w:rsidR="00243E66">
        <w:t xml:space="preserve"> </w:t>
      </w:r>
      <w:r w:rsidR="008C0014">
        <w:t>This</w:t>
      </w:r>
      <w:r w:rsidR="001D51EE">
        <w:t xml:space="preserve"> </w:t>
      </w:r>
      <w:r w:rsidR="00CB138B">
        <w:t xml:space="preserve">method </w:t>
      </w:r>
      <w:r w:rsidR="00B047D5">
        <w:t xml:space="preserve">removes limitations of the </w:t>
      </w:r>
      <w:r w:rsidR="00543398">
        <w:t>current</w:t>
      </w:r>
      <w:r w:rsidR="00620C26">
        <w:t xml:space="preserve"> </w:t>
      </w:r>
      <w:r w:rsidR="00B13244">
        <w:t xml:space="preserve">method and </w:t>
      </w:r>
      <w:r w:rsidR="00960274">
        <w:t>provides a more accurate result</w:t>
      </w:r>
      <w:r w:rsidR="00E74DE3">
        <w:t xml:space="preserve"> in terms of the number of independent samples</w:t>
      </w:r>
      <w:r w:rsidR="0015583E">
        <w:t xml:space="preserve">, which is instrumental for </w:t>
      </w:r>
      <w:r w:rsidR="00433B28">
        <w:t>controlling measurement uncertainty</w:t>
      </w:r>
      <w:r w:rsidR="000812DC">
        <w:t>.</w:t>
      </w:r>
      <w:r w:rsidR="00711F11">
        <w:t xml:space="preserve"> </w:t>
      </w:r>
      <w:r w:rsidR="00C31A07">
        <w:t>The followin</w:t>
      </w:r>
      <w:r w:rsidR="00C457EA">
        <w:t>g observations have been made:</w:t>
      </w:r>
    </w:p>
    <w:p w14:paraId="5982D1F9" w14:textId="0A5AD8A6" w:rsidR="00FF7630" w:rsidRDefault="00FF7630" w:rsidP="00FF7630">
      <w:pPr>
        <w:pStyle w:val="BodyText"/>
      </w:pPr>
      <w:r w:rsidRPr="00C027CB">
        <w:rPr>
          <w:b/>
          <w:u w:val="single"/>
        </w:rPr>
        <w:t>Observation 1:</w:t>
      </w:r>
      <w:r>
        <w:t xml:space="preserve"> Estimation of the number of independent samples is part of the characterization procedure for the Reverberation Chamber and needs to be revisited e.g., when the chamber is adjusted for measurements over larger bandwidths.</w:t>
      </w:r>
    </w:p>
    <w:p w14:paraId="0ABE102E" w14:textId="77777777" w:rsidR="00FF7630" w:rsidRDefault="00FF7630" w:rsidP="00FF7630">
      <w:pPr>
        <w:pStyle w:val="BodyText"/>
      </w:pPr>
      <w:r w:rsidRPr="00C027CB">
        <w:rPr>
          <w:b/>
          <w:u w:val="single"/>
        </w:rPr>
        <w:t>Observation 2:</w:t>
      </w:r>
      <w:r>
        <w:t xml:space="preserve"> Inaccurately estimating the number of independent samples implies either passing of faulty devices or prohibition of the use of acceptable test environments.</w:t>
      </w:r>
    </w:p>
    <w:p w14:paraId="387F7C91" w14:textId="26283F37" w:rsidR="00FF7630" w:rsidRDefault="00FF7630" w:rsidP="00FF7630">
      <w:pPr>
        <w:pStyle w:val="BodyText"/>
      </w:pPr>
      <w:r w:rsidRPr="00C027CB">
        <w:rPr>
          <w:b/>
          <w:u w:val="single"/>
        </w:rPr>
        <w:t>Observation 3:</w:t>
      </w:r>
      <w:r>
        <w:t xml:space="preserve"> The </w:t>
      </w:r>
      <w:r w:rsidR="00543398">
        <w:t>current</w:t>
      </w:r>
      <w:r>
        <w:t xml:space="preserve"> method to calculate spatially independent samples is correct for stirring sequences in which the spatial correlation becomes successively smaller for increasing values of separation (offset k) between samples in the data record. </w:t>
      </w:r>
    </w:p>
    <w:p w14:paraId="0DDAA7F0" w14:textId="3F7CEB47" w:rsidR="00FF7630" w:rsidRDefault="00FF7630" w:rsidP="00FF7630">
      <w:pPr>
        <w:pStyle w:val="BodyText"/>
      </w:pPr>
      <w:r w:rsidRPr="00C027CB">
        <w:rPr>
          <w:b/>
          <w:u w:val="single"/>
        </w:rPr>
        <w:t>Observation 4:</w:t>
      </w:r>
      <w:r>
        <w:t xml:space="preserve"> The </w:t>
      </w:r>
      <w:r w:rsidR="002F7EA0">
        <w:t>current</w:t>
      </w:r>
      <w:r>
        <w:t xml:space="preserve"> method is not applicable for general stirring sequences, limiting the development of innovative, more efficient stirring sequences.</w:t>
      </w:r>
    </w:p>
    <w:p w14:paraId="18694CD3" w14:textId="17852599" w:rsidR="00FF7630" w:rsidRDefault="00FF7630" w:rsidP="00FF7630">
      <w:pPr>
        <w:pStyle w:val="BodyText"/>
      </w:pPr>
      <w:r w:rsidRPr="00C027CB">
        <w:rPr>
          <w:b/>
          <w:u w:val="single"/>
        </w:rPr>
        <w:t>Observation 5:</w:t>
      </w:r>
      <w:r>
        <w:t xml:space="preserve"> The </w:t>
      </w:r>
      <w:r w:rsidR="00543398">
        <w:t>current</w:t>
      </w:r>
      <w:r>
        <w:t xml:space="preserve"> method to calculate independent samples can lead to underestimated uncertainty and an incorrect pass verdict. </w:t>
      </w:r>
    </w:p>
    <w:p w14:paraId="1AB4FBB1" w14:textId="05F68074" w:rsidR="00FF7630" w:rsidRDefault="00FF7630" w:rsidP="00FF7630">
      <w:pPr>
        <w:pStyle w:val="BodyText"/>
      </w:pPr>
      <w:r w:rsidRPr="00C027CB">
        <w:rPr>
          <w:b/>
          <w:u w:val="single"/>
        </w:rPr>
        <w:t>Observation 6:</w:t>
      </w:r>
      <w:r>
        <w:t xml:space="preserve"> The thresholded correlation-matrix-based </w:t>
      </w:r>
      <w:r w:rsidR="00540F95">
        <w:t xml:space="preserve">method </w:t>
      </w:r>
      <w:r>
        <w:t>accurately estimates the number of independent samples from general stirring sequences, which is key for obtaining a controlled uncertainty.</w:t>
      </w:r>
    </w:p>
    <w:p w14:paraId="188A849B" w14:textId="2194FDAF" w:rsidR="003B61A8" w:rsidRPr="007D610C" w:rsidRDefault="00FF7630" w:rsidP="003B61A8">
      <w:pPr>
        <w:pStyle w:val="BodyText"/>
      </w:pPr>
      <w:r w:rsidRPr="00C027CB">
        <w:rPr>
          <w:b/>
          <w:u w:val="single"/>
        </w:rPr>
        <w:t>Observation 7:</w:t>
      </w:r>
      <w:r>
        <w:t xml:space="preserve"> The </w:t>
      </w:r>
      <w:r w:rsidR="00802387">
        <w:t xml:space="preserve">thresholded </w:t>
      </w:r>
      <w:r>
        <w:t xml:space="preserve">correlation-matrix-based </w:t>
      </w:r>
      <w:r w:rsidR="009834EC">
        <w:t xml:space="preserve">method </w:t>
      </w:r>
      <w:r>
        <w:t>to calculate independent samples also works for the case of monotonically decreasing correlation (i.e., is backward compatible).</w:t>
      </w:r>
    </w:p>
    <w:p w14:paraId="1B90C284" w14:textId="77777777" w:rsidR="00FF7630" w:rsidRDefault="00FF7630" w:rsidP="00FF7630">
      <w:pPr>
        <w:pStyle w:val="BodyText"/>
      </w:pPr>
    </w:p>
    <w:p w14:paraId="58912446" w14:textId="4F5E23D0" w:rsidR="00FF7630" w:rsidRDefault="00FF7630" w:rsidP="00FF7630">
      <w:pPr>
        <w:pStyle w:val="BodyText"/>
      </w:pPr>
      <w:r>
        <w:t>Based on the observations we propose following</w:t>
      </w:r>
      <w:r w:rsidR="000C7A74">
        <w:t>:</w:t>
      </w:r>
    </w:p>
    <w:p w14:paraId="7B6980D9" w14:textId="684EDE71" w:rsidR="00CE1733" w:rsidRDefault="00CE1733" w:rsidP="00CE1733">
      <w:pPr>
        <w:pStyle w:val="BodyText"/>
      </w:pPr>
      <w:r w:rsidRPr="00C027CB">
        <w:rPr>
          <w:b/>
          <w:u w:val="single"/>
        </w:rPr>
        <w:t>Proposal 1:</w:t>
      </w:r>
      <w:r>
        <w:t xml:space="preserve"> Add the </w:t>
      </w:r>
      <w:r w:rsidR="00C502C2">
        <w:t xml:space="preserve">thresholded </w:t>
      </w:r>
      <w:r>
        <w:t xml:space="preserve">correlation-matrix-based </w:t>
      </w:r>
      <w:r w:rsidR="001A5D9A">
        <w:t xml:space="preserve">method </w:t>
      </w:r>
      <w:r>
        <w:t>for calculation of number of independent samples in reverberation-chamber measurements to TR 37.941</w:t>
      </w:r>
      <w:r w:rsidR="00A33B0E">
        <w:t>.</w:t>
      </w:r>
    </w:p>
    <w:p w14:paraId="6C8727EF" w14:textId="1A8DCF90" w:rsidR="000C7A74" w:rsidRPr="007D610C" w:rsidRDefault="00CE1733" w:rsidP="00CE1733">
      <w:pPr>
        <w:pStyle w:val="BodyText"/>
      </w:pPr>
      <w:r w:rsidRPr="00C027CB">
        <w:rPr>
          <w:b/>
          <w:u w:val="single"/>
        </w:rPr>
        <w:t>Proposal 2:</w:t>
      </w:r>
      <w:r>
        <w:t xml:space="preserve"> Keep the current method and add text to TR 37.941 to describe its limitations and applicability</w:t>
      </w:r>
      <w:r w:rsidR="002F7EA0">
        <w:t>.</w:t>
      </w:r>
    </w:p>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166C3ADE" w14:textId="6F76DC35" w:rsidR="00F036F1" w:rsidRDefault="003B61A8" w:rsidP="003B61A8">
      <w:pPr>
        <w:ind w:left="709" w:hanging="709"/>
      </w:pPr>
      <w:r>
        <w:t>[1]</w:t>
      </w:r>
      <w:r>
        <w:tab/>
      </w:r>
      <w:r w:rsidR="00D162EE">
        <w:t xml:space="preserve">TS </w:t>
      </w:r>
      <w:r w:rsidR="00F903F4" w:rsidRPr="00F903F4">
        <w:t>38.141-2</w:t>
      </w:r>
      <w:r w:rsidR="00D162EE">
        <w:t xml:space="preserve">, </w:t>
      </w:r>
      <w:r w:rsidR="00F903F4" w:rsidRPr="00F903F4">
        <w:t>“Base Station (BS) conformance testing. Part 2. Radiated conformance testing”</w:t>
      </w:r>
      <w:r w:rsidR="00D162EE">
        <w:t>, 3GPP</w:t>
      </w:r>
    </w:p>
    <w:p w14:paraId="4794E3A8" w14:textId="04369332" w:rsidR="003B61A8" w:rsidRDefault="00D162EE" w:rsidP="003B61A8">
      <w:pPr>
        <w:ind w:left="709" w:hanging="709"/>
      </w:pPr>
      <w:r w:rsidRPr="00125FDA">
        <w:t>[2]</w:t>
      </w:r>
      <w:r w:rsidRPr="00125FDA">
        <w:tab/>
      </w:r>
      <w:r w:rsidR="007C2422" w:rsidRPr="00C834F7">
        <w:t>R4-</w:t>
      </w:r>
      <w:r w:rsidR="00EF6D1F" w:rsidRPr="00C834F7">
        <w:t>230</w:t>
      </w:r>
      <w:r w:rsidR="00C834F7" w:rsidRPr="00C834F7">
        <w:t>7695</w:t>
      </w:r>
      <w:r w:rsidR="007C2422" w:rsidRPr="00C834F7">
        <w:t>, “</w:t>
      </w:r>
      <w:r w:rsidR="00D5541C" w:rsidRPr="00D5541C">
        <w:t>CR to TR 37.941: Improvement of RC description in sub-clause 7.8</w:t>
      </w:r>
      <w:r w:rsidR="007C2422">
        <w:t>”, Ericsson</w:t>
      </w:r>
    </w:p>
    <w:p w14:paraId="35EE84EA" w14:textId="7E52E0C7" w:rsidR="003B61A8" w:rsidRDefault="003B61A8" w:rsidP="003B61A8">
      <w:pPr>
        <w:ind w:left="709" w:hanging="709"/>
      </w:pPr>
      <w:r>
        <w:t>[</w:t>
      </w:r>
      <w:r w:rsidR="00D162EE">
        <w:t>3</w:t>
      </w:r>
      <w:r>
        <w:t xml:space="preserve">] </w:t>
      </w:r>
      <w:r>
        <w:tab/>
      </w:r>
      <w:r w:rsidR="00BC48DE" w:rsidRPr="00BC48DE">
        <w:t>K. A. Remley, S. Catteau, A. Hussain, C. Nogueira, M. Kristoffersen, J. Kvarnstrand, B. Horrocks, J. Friden, R. D. Horansky and D. F. Williams, "Practical Correlation-Matrix Approaches for Standardized Testing of Wireless Devices in Reverberation Chambers," IEEE Open Journal of Antennas and Propagation, 2023.</w:t>
      </w:r>
    </w:p>
    <w:p w14:paraId="6698C1C6" w14:textId="26480DA8" w:rsidR="00BC48DE" w:rsidRDefault="00BC48DE" w:rsidP="003B61A8">
      <w:pPr>
        <w:ind w:left="709" w:hanging="709"/>
      </w:pPr>
      <w:r>
        <w:t>[4]</w:t>
      </w:r>
      <w:r>
        <w:tab/>
      </w:r>
      <w:r w:rsidR="007F3561" w:rsidRPr="007F3561">
        <w:t>International Electrotechnical Com</w:t>
      </w:r>
      <w:r w:rsidR="00793EE4">
        <w:t>m</w:t>
      </w:r>
      <w:r w:rsidR="007F3561" w:rsidRPr="007F3561">
        <w:t>ission Std., "IEC 61000-4-21 Electromagnetic Compatibility (EMC)-Part 4. 21: Testing and Measurement Techniques-Reverberation chamber test methods," IEC, Geneva, Switzerland, 2011.</w:t>
      </w:r>
    </w:p>
    <w:bookmarkEnd w:id="0"/>
    <w:p w14:paraId="7185828F" w14:textId="77777777" w:rsidR="005C7173" w:rsidRDefault="005C7173" w:rsidP="005C7173"/>
    <w:sectPr w:rsidR="005C7173">
      <w:headerReference w:type="default" r:id="rId18"/>
      <w:footerReference w:type="default" r:id="rId1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7E5A70" w14:textId="77777777" w:rsidR="0013707E" w:rsidRDefault="0013707E">
      <w:r>
        <w:separator/>
      </w:r>
    </w:p>
  </w:endnote>
  <w:endnote w:type="continuationSeparator" w:id="0">
    <w:p w14:paraId="6C2C8775" w14:textId="77777777" w:rsidR="0013707E" w:rsidRDefault="0013707E">
      <w:r>
        <w:continuationSeparator/>
      </w:r>
    </w:p>
  </w:endnote>
  <w:endnote w:type="continuationNotice" w:id="1">
    <w:p w14:paraId="03782ADE" w14:textId="77777777" w:rsidR="0013707E" w:rsidRDefault="0013707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869BAC" w14:textId="77777777" w:rsidR="0013707E" w:rsidRDefault="0013707E">
      <w:r>
        <w:separator/>
      </w:r>
    </w:p>
  </w:footnote>
  <w:footnote w:type="continuationSeparator" w:id="0">
    <w:p w14:paraId="4EF95019" w14:textId="77777777" w:rsidR="0013707E" w:rsidRDefault="0013707E">
      <w:r>
        <w:continuationSeparator/>
      </w:r>
    </w:p>
  </w:footnote>
  <w:footnote w:type="continuationNotice" w:id="1">
    <w:p w14:paraId="28B6D5FC" w14:textId="77777777" w:rsidR="0013707E" w:rsidRDefault="0013707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48B209C6"/>
    <w:multiLevelType w:val="hybridMultilevel"/>
    <w:tmpl w:val="BBF2B46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58625D42"/>
    <w:multiLevelType w:val="hybridMultilevel"/>
    <w:tmpl w:val="92926890"/>
    <w:lvl w:ilvl="0" w:tplc="2000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3632977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8607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613212">
    <w:abstractNumId w:val="1"/>
  </w:num>
  <w:num w:numId="4" w16cid:durableId="458424953">
    <w:abstractNumId w:val="2"/>
  </w:num>
  <w:num w:numId="5" w16cid:durableId="922879894">
    <w:abstractNumId w:val="3"/>
  </w:num>
  <w:num w:numId="6" w16cid:durableId="1466200772">
    <w:abstractNumId w:val="5"/>
  </w:num>
  <w:num w:numId="7" w16cid:durableId="5330065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0F"/>
    <w:rsid w:val="00005FEE"/>
    <w:rsid w:val="00011A65"/>
    <w:rsid w:val="00011C1E"/>
    <w:rsid w:val="00013B9C"/>
    <w:rsid w:val="00017537"/>
    <w:rsid w:val="000246AA"/>
    <w:rsid w:val="0002660B"/>
    <w:rsid w:val="00033397"/>
    <w:rsid w:val="000366F4"/>
    <w:rsid w:val="00040095"/>
    <w:rsid w:val="000434F8"/>
    <w:rsid w:val="0005049F"/>
    <w:rsid w:val="00050E59"/>
    <w:rsid w:val="00051834"/>
    <w:rsid w:val="00054A22"/>
    <w:rsid w:val="000560CC"/>
    <w:rsid w:val="000604B6"/>
    <w:rsid w:val="000655A6"/>
    <w:rsid w:val="00066E98"/>
    <w:rsid w:val="00070795"/>
    <w:rsid w:val="00076BFA"/>
    <w:rsid w:val="00080512"/>
    <w:rsid w:val="000812DC"/>
    <w:rsid w:val="00091EA0"/>
    <w:rsid w:val="00094D53"/>
    <w:rsid w:val="00096009"/>
    <w:rsid w:val="00096037"/>
    <w:rsid w:val="000B05F6"/>
    <w:rsid w:val="000B0C06"/>
    <w:rsid w:val="000C4CAE"/>
    <w:rsid w:val="000C7A74"/>
    <w:rsid w:val="000D448F"/>
    <w:rsid w:val="000D58AB"/>
    <w:rsid w:val="000D59CF"/>
    <w:rsid w:val="000D696C"/>
    <w:rsid w:val="000E15A6"/>
    <w:rsid w:val="000E1DEA"/>
    <w:rsid w:val="000E632F"/>
    <w:rsid w:val="000E7CBB"/>
    <w:rsid w:val="000F0805"/>
    <w:rsid w:val="000F78D2"/>
    <w:rsid w:val="00104C97"/>
    <w:rsid w:val="00105224"/>
    <w:rsid w:val="00106065"/>
    <w:rsid w:val="00106F91"/>
    <w:rsid w:val="0011073A"/>
    <w:rsid w:val="00125FDA"/>
    <w:rsid w:val="001263E0"/>
    <w:rsid w:val="0013707E"/>
    <w:rsid w:val="00144D25"/>
    <w:rsid w:val="0015583E"/>
    <w:rsid w:val="00155B44"/>
    <w:rsid w:val="00166C58"/>
    <w:rsid w:val="00171B38"/>
    <w:rsid w:val="0017474E"/>
    <w:rsid w:val="00176719"/>
    <w:rsid w:val="00176C71"/>
    <w:rsid w:val="001807D3"/>
    <w:rsid w:val="00181EB5"/>
    <w:rsid w:val="00185AFE"/>
    <w:rsid w:val="001862BC"/>
    <w:rsid w:val="00191AAA"/>
    <w:rsid w:val="00191E6B"/>
    <w:rsid w:val="00195356"/>
    <w:rsid w:val="00196273"/>
    <w:rsid w:val="0019751E"/>
    <w:rsid w:val="001A14A8"/>
    <w:rsid w:val="001A2ED8"/>
    <w:rsid w:val="001A5D9A"/>
    <w:rsid w:val="001A698E"/>
    <w:rsid w:val="001A7CA7"/>
    <w:rsid w:val="001B0597"/>
    <w:rsid w:val="001B13D5"/>
    <w:rsid w:val="001B2250"/>
    <w:rsid w:val="001B3783"/>
    <w:rsid w:val="001C1DF4"/>
    <w:rsid w:val="001C311A"/>
    <w:rsid w:val="001C347D"/>
    <w:rsid w:val="001D02C2"/>
    <w:rsid w:val="001D3408"/>
    <w:rsid w:val="001D51EE"/>
    <w:rsid w:val="001D545F"/>
    <w:rsid w:val="001E197D"/>
    <w:rsid w:val="001E395C"/>
    <w:rsid w:val="001E40FF"/>
    <w:rsid w:val="001E4D49"/>
    <w:rsid w:val="001E62AA"/>
    <w:rsid w:val="001F1621"/>
    <w:rsid w:val="001F168B"/>
    <w:rsid w:val="001F1C2F"/>
    <w:rsid w:val="001F33FD"/>
    <w:rsid w:val="00201489"/>
    <w:rsid w:val="00214458"/>
    <w:rsid w:val="00222C89"/>
    <w:rsid w:val="00231DE5"/>
    <w:rsid w:val="0023254C"/>
    <w:rsid w:val="002347A2"/>
    <w:rsid w:val="0024000C"/>
    <w:rsid w:val="00241D8F"/>
    <w:rsid w:val="00243290"/>
    <w:rsid w:val="00243E66"/>
    <w:rsid w:val="002502AF"/>
    <w:rsid w:val="0027787D"/>
    <w:rsid w:val="00280CDB"/>
    <w:rsid w:val="00286B90"/>
    <w:rsid w:val="002971D7"/>
    <w:rsid w:val="002A0978"/>
    <w:rsid w:val="002A3FC4"/>
    <w:rsid w:val="002A682D"/>
    <w:rsid w:val="002B067D"/>
    <w:rsid w:val="002B0AA9"/>
    <w:rsid w:val="002B0B48"/>
    <w:rsid w:val="002B3568"/>
    <w:rsid w:val="002C1D26"/>
    <w:rsid w:val="002C7D9D"/>
    <w:rsid w:val="002E0198"/>
    <w:rsid w:val="002E2D39"/>
    <w:rsid w:val="002E6577"/>
    <w:rsid w:val="002F1E03"/>
    <w:rsid w:val="002F7EA0"/>
    <w:rsid w:val="0031274E"/>
    <w:rsid w:val="00316858"/>
    <w:rsid w:val="003172DC"/>
    <w:rsid w:val="00324F07"/>
    <w:rsid w:val="003257DF"/>
    <w:rsid w:val="003348D7"/>
    <w:rsid w:val="0033671C"/>
    <w:rsid w:val="003416E3"/>
    <w:rsid w:val="0035462D"/>
    <w:rsid w:val="0036069B"/>
    <w:rsid w:val="00361E87"/>
    <w:rsid w:val="00367B5A"/>
    <w:rsid w:val="003743A7"/>
    <w:rsid w:val="0038039A"/>
    <w:rsid w:val="00381018"/>
    <w:rsid w:val="00381D0D"/>
    <w:rsid w:val="00394C9E"/>
    <w:rsid w:val="003A2576"/>
    <w:rsid w:val="003A79FF"/>
    <w:rsid w:val="003B1D4A"/>
    <w:rsid w:val="003B61A8"/>
    <w:rsid w:val="003C09CE"/>
    <w:rsid w:val="003C0B2F"/>
    <w:rsid w:val="003C3971"/>
    <w:rsid w:val="003F17A2"/>
    <w:rsid w:val="003F299C"/>
    <w:rsid w:val="003F4D11"/>
    <w:rsid w:val="003F7077"/>
    <w:rsid w:val="0040322D"/>
    <w:rsid w:val="0040642A"/>
    <w:rsid w:val="00410D2B"/>
    <w:rsid w:val="0041417C"/>
    <w:rsid w:val="00417192"/>
    <w:rsid w:val="00423391"/>
    <w:rsid w:val="004239C7"/>
    <w:rsid w:val="00424BFB"/>
    <w:rsid w:val="00431137"/>
    <w:rsid w:val="0043205D"/>
    <w:rsid w:val="00433B28"/>
    <w:rsid w:val="0043722A"/>
    <w:rsid w:val="004420C1"/>
    <w:rsid w:val="00442582"/>
    <w:rsid w:val="00445137"/>
    <w:rsid w:val="00457CBA"/>
    <w:rsid w:val="004602D1"/>
    <w:rsid w:val="00460E9A"/>
    <w:rsid w:val="00486C25"/>
    <w:rsid w:val="004974FF"/>
    <w:rsid w:val="004A087C"/>
    <w:rsid w:val="004A4210"/>
    <w:rsid w:val="004A7BE9"/>
    <w:rsid w:val="004B372C"/>
    <w:rsid w:val="004B5078"/>
    <w:rsid w:val="004C3A04"/>
    <w:rsid w:val="004C43A9"/>
    <w:rsid w:val="004D3578"/>
    <w:rsid w:val="004D4A0B"/>
    <w:rsid w:val="004D7910"/>
    <w:rsid w:val="004E0C1D"/>
    <w:rsid w:val="004E213A"/>
    <w:rsid w:val="004E29CC"/>
    <w:rsid w:val="004E5CE7"/>
    <w:rsid w:val="004F1CF1"/>
    <w:rsid w:val="004F3859"/>
    <w:rsid w:val="004F4D5A"/>
    <w:rsid w:val="004F7BE8"/>
    <w:rsid w:val="00505AD1"/>
    <w:rsid w:val="00511C0B"/>
    <w:rsid w:val="00520112"/>
    <w:rsid w:val="00525959"/>
    <w:rsid w:val="00527742"/>
    <w:rsid w:val="005305F5"/>
    <w:rsid w:val="0053248E"/>
    <w:rsid w:val="00533D65"/>
    <w:rsid w:val="00535DC6"/>
    <w:rsid w:val="00540F95"/>
    <w:rsid w:val="00543398"/>
    <w:rsid w:val="00543E6C"/>
    <w:rsid w:val="0055271A"/>
    <w:rsid w:val="0055521A"/>
    <w:rsid w:val="00562810"/>
    <w:rsid w:val="00565087"/>
    <w:rsid w:val="00567D27"/>
    <w:rsid w:val="005773C1"/>
    <w:rsid w:val="0059169B"/>
    <w:rsid w:val="00592A9D"/>
    <w:rsid w:val="00593036"/>
    <w:rsid w:val="00594E26"/>
    <w:rsid w:val="005953D4"/>
    <w:rsid w:val="005A147F"/>
    <w:rsid w:val="005A5AA1"/>
    <w:rsid w:val="005A5C8D"/>
    <w:rsid w:val="005B3C08"/>
    <w:rsid w:val="005B3C73"/>
    <w:rsid w:val="005B4A0A"/>
    <w:rsid w:val="005B6D6A"/>
    <w:rsid w:val="005C2897"/>
    <w:rsid w:val="005C2DAD"/>
    <w:rsid w:val="005C7173"/>
    <w:rsid w:val="005D2E01"/>
    <w:rsid w:val="005D3EE8"/>
    <w:rsid w:val="005D6EC4"/>
    <w:rsid w:val="005E130E"/>
    <w:rsid w:val="005E18DE"/>
    <w:rsid w:val="005E6233"/>
    <w:rsid w:val="005E6542"/>
    <w:rsid w:val="00605741"/>
    <w:rsid w:val="00605E69"/>
    <w:rsid w:val="00612061"/>
    <w:rsid w:val="00614FDF"/>
    <w:rsid w:val="00615F29"/>
    <w:rsid w:val="00616A47"/>
    <w:rsid w:val="00620C26"/>
    <w:rsid w:val="00625621"/>
    <w:rsid w:val="0062745C"/>
    <w:rsid w:val="00635EBF"/>
    <w:rsid w:val="00636C1E"/>
    <w:rsid w:val="006437A9"/>
    <w:rsid w:val="006462B7"/>
    <w:rsid w:val="00646C67"/>
    <w:rsid w:val="00647309"/>
    <w:rsid w:val="00647F17"/>
    <w:rsid w:val="006515C7"/>
    <w:rsid w:val="00652641"/>
    <w:rsid w:val="006547E6"/>
    <w:rsid w:val="006639DB"/>
    <w:rsid w:val="0066749F"/>
    <w:rsid w:val="0066754C"/>
    <w:rsid w:val="00674E7D"/>
    <w:rsid w:val="00682465"/>
    <w:rsid w:val="00691517"/>
    <w:rsid w:val="0069459B"/>
    <w:rsid w:val="0069560A"/>
    <w:rsid w:val="006962AC"/>
    <w:rsid w:val="0069705C"/>
    <w:rsid w:val="006C01ED"/>
    <w:rsid w:val="006C791A"/>
    <w:rsid w:val="006D0667"/>
    <w:rsid w:val="006D1100"/>
    <w:rsid w:val="006D6A13"/>
    <w:rsid w:val="006E277E"/>
    <w:rsid w:val="006E5C86"/>
    <w:rsid w:val="00705726"/>
    <w:rsid w:val="00711BDB"/>
    <w:rsid w:val="00711F11"/>
    <w:rsid w:val="00712421"/>
    <w:rsid w:val="007148E4"/>
    <w:rsid w:val="00714AEA"/>
    <w:rsid w:val="00716907"/>
    <w:rsid w:val="007170B2"/>
    <w:rsid w:val="00723435"/>
    <w:rsid w:val="0073017F"/>
    <w:rsid w:val="00734A5B"/>
    <w:rsid w:val="0073554C"/>
    <w:rsid w:val="0073720A"/>
    <w:rsid w:val="00740D6A"/>
    <w:rsid w:val="00744E76"/>
    <w:rsid w:val="007502E5"/>
    <w:rsid w:val="00750BDB"/>
    <w:rsid w:val="007577CB"/>
    <w:rsid w:val="007632F3"/>
    <w:rsid w:val="00771315"/>
    <w:rsid w:val="00781F0F"/>
    <w:rsid w:val="00790E53"/>
    <w:rsid w:val="0079275E"/>
    <w:rsid w:val="00793EE4"/>
    <w:rsid w:val="007A0F21"/>
    <w:rsid w:val="007A2E78"/>
    <w:rsid w:val="007A5D9A"/>
    <w:rsid w:val="007B4A73"/>
    <w:rsid w:val="007B7433"/>
    <w:rsid w:val="007C2282"/>
    <w:rsid w:val="007C2422"/>
    <w:rsid w:val="007C2B83"/>
    <w:rsid w:val="007C4C45"/>
    <w:rsid w:val="007C64B7"/>
    <w:rsid w:val="007C6987"/>
    <w:rsid w:val="007D13A9"/>
    <w:rsid w:val="007D2A5B"/>
    <w:rsid w:val="007E5CB9"/>
    <w:rsid w:val="007F3561"/>
    <w:rsid w:val="007F52D4"/>
    <w:rsid w:val="00802387"/>
    <w:rsid w:val="008028A4"/>
    <w:rsid w:val="00805820"/>
    <w:rsid w:val="008072D1"/>
    <w:rsid w:val="00826F97"/>
    <w:rsid w:val="00835C61"/>
    <w:rsid w:val="00843454"/>
    <w:rsid w:val="008438EF"/>
    <w:rsid w:val="008461AF"/>
    <w:rsid w:val="0084762F"/>
    <w:rsid w:val="00854DFE"/>
    <w:rsid w:val="00864C90"/>
    <w:rsid w:val="00867C04"/>
    <w:rsid w:val="00872E34"/>
    <w:rsid w:val="008768CA"/>
    <w:rsid w:val="00877F57"/>
    <w:rsid w:val="00881EAD"/>
    <w:rsid w:val="008825DF"/>
    <w:rsid w:val="008877E6"/>
    <w:rsid w:val="008907AE"/>
    <w:rsid w:val="008911B8"/>
    <w:rsid w:val="008947E2"/>
    <w:rsid w:val="008948E0"/>
    <w:rsid w:val="008A302E"/>
    <w:rsid w:val="008B215D"/>
    <w:rsid w:val="008B4F33"/>
    <w:rsid w:val="008B58D6"/>
    <w:rsid w:val="008B735F"/>
    <w:rsid w:val="008C0014"/>
    <w:rsid w:val="008C0085"/>
    <w:rsid w:val="008C0DA0"/>
    <w:rsid w:val="008C2529"/>
    <w:rsid w:val="008C307C"/>
    <w:rsid w:val="008D2128"/>
    <w:rsid w:val="008F12C0"/>
    <w:rsid w:val="008F6912"/>
    <w:rsid w:val="00901204"/>
    <w:rsid w:val="0090271F"/>
    <w:rsid w:val="009028B2"/>
    <w:rsid w:val="00902E23"/>
    <w:rsid w:val="0090598A"/>
    <w:rsid w:val="00907978"/>
    <w:rsid w:val="0091348E"/>
    <w:rsid w:val="00917CCB"/>
    <w:rsid w:val="00922123"/>
    <w:rsid w:val="009228DF"/>
    <w:rsid w:val="0092413B"/>
    <w:rsid w:val="0092774C"/>
    <w:rsid w:val="00937B72"/>
    <w:rsid w:val="00942646"/>
    <w:rsid w:val="00942EC2"/>
    <w:rsid w:val="00944C13"/>
    <w:rsid w:val="00946A7A"/>
    <w:rsid w:val="00947DB9"/>
    <w:rsid w:val="00956C2C"/>
    <w:rsid w:val="00960274"/>
    <w:rsid w:val="00967DDC"/>
    <w:rsid w:val="00967ECF"/>
    <w:rsid w:val="009729FD"/>
    <w:rsid w:val="00974355"/>
    <w:rsid w:val="009759BB"/>
    <w:rsid w:val="00977B5A"/>
    <w:rsid w:val="009834EC"/>
    <w:rsid w:val="009835E1"/>
    <w:rsid w:val="00992DA2"/>
    <w:rsid w:val="009A0A2A"/>
    <w:rsid w:val="009A24F4"/>
    <w:rsid w:val="009A2D2D"/>
    <w:rsid w:val="009A2EE9"/>
    <w:rsid w:val="009A560D"/>
    <w:rsid w:val="009A70C3"/>
    <w:rsid w:val="009B13F6"/>
    <w:rsid w:val="009B5100"/>
    <w:rsid w:val="009B568E"/>
    <w:rsid w:val="009B7BA6"/>
    <w:rsid w:val="009C5219"/>
    <w:rsid w:val="009C6B31"/>
    <w:rsid w:val="009D00E4"/>
    <w:rsid w:val="009F37B7"/>
    <w:rsid w:val="00A03E86"/>
    <w:rsid w:val="00A10F02"/>
    <w:rsid w:val="00A11619"/>
    <w:rsid w:val="00A164B4"/>
    <w:rsid w:val="00A2106E"/>
    <w:rsid w:val="00A22041"/>
    <w:rsid w:val="00A2446B"/>
    <w:rsid w:val="00A32121"/>
    <w:rsid w:val="00A33B0E"/>
    <w:rsid w:val="00A44613"/>
    <w:rsid w:val="00A479F1"/>
    <w:rsid w:val="00A53724"/>
    <w:rsid w:val="00A6396C"/>
    <w:rsid w:val="00A6421D"/>
    <w:rsid w:val="00A64485"/>
    <w:rsid w:val="00A70466"/>
    <w:rsid w:val="00A728DA"/>
    <w:rsid w:val="00A75A6B"/>
    <w:rsid w:val="00A81D3C"/>
    <w:rsid w:val="00A82346"/>
    <w:rsid w:val="00A82638"/>
    <w:rsid w:val="00A83AD8"/>
    <w:rsid w:val="00A96EDF"/>
    <w:rsid w:val="00A97059"/>
    <w:rsid w:val="00AA3BE9"/>
    <w:rsid w:val="00AA5934"/>
    <w:rsid w:val="00AA69CF"/>
    <w:rsid w:val="00AB0B6C"/>
    <w:rsid w:val="00AC17A1"/>
    <w:rsid w:val="00AC1947"/>
    <w:rsid w:val="00AC2AE7"/>
    <w:rsid w:val="00AC764E"/>
    <w:rsid w:val="00AD051B"/>
    <w:rsid w:val="00AE2309"/>
    <w:rsid w:val="00AE5D28"/>
    <w:rsid w:val="00AF09C5"/>
    <w:rsid w:val="00AF0FC7"/>
    <w:rsid w:val="00B047D5"/>
    <w:rsid w:val="00B06CF4"/>
    <w:rsid w:val="00B07AA8"/>
    <w:rsid w:val="00B13244"/>
    <w:rsid w:val="00B1355D"/>
    <w:rsid w:val="00B14246"/>
    <w:rsid w:val="00B15449"/>
    <w:rsid w:val="00B36612"/>
    <w:rsid w:val="00B43A94"/>
    <w:rsid w:val="00B462E9"/>
    <w:rsid w:val="00B476B7"/>
    <w:rsid w:val="00B57386"/>
    <w:rsid w:val="00B601B7"/>
    <w:rsid w:val="00B62583"/>
    <w:rsid w:val="00B65035"/>
    <w:rsid w:val="00B67296"/>
    <w:rsid w:val="00B716F9"/>
    <w:rsid w:val="00B80501"/>
    <w:rsid w:val="00B87F9A"/>
    <w:rsid w:val="00B925DE"/>
    <w:rsid w:val="00B958BF"/>
    <w:rsid w:val="00B96297"/>
    <w:rsid w:val="00B964E2"/>
    <w:rsid w:val="00B96C0C"/>
    <w:rsid w:val="00BA4A67"/>
    <w:rsid w:val="00BA5994"/>
    <w:rsid w:val="00BB3188"/>
    <w:rsid w:val="00BC0F7D"/>
    <w:rsid w:val="00BC48DE"/>
    <w:rsid w:val="00BD5C61"/>
    <w:rsid w:val="00BE4B57"/>
    <w:rsid w:val="00BE51DE"/>
    <w:rsid w:val="00BE6A4D"/>
    <w:rsid w:val="00BF1095"/>
    <w:rsid w:val="00BF1C81"/>
    <w:rsid w:val="00C027CB"/>
    <w:rsid w:val="00C031E8"/>
    <w:rsid w:val="00C05E5E"/>
    <w:rsid w:val="00C10986"/>
    <w:rsid w:val="00C10C33"/>
    <w:rsid w:val="00C17A60"/>
    <w:rsid w:val="00C2104A"/>
    <w:rsid w:val="00C21AFA"/>
    <w:rsid w:val="00C316CA"/>
    <w:rsid w:val="00C31A07"/>
    <w:rsid w:val="00C33079"/>
    <w:rsid w:val="00C34728"/>
    <w:rsid w:val="00C371B3"/>
    <w:rsid w:val="00C42538"/>
    <w:rsid w:val="00C45231"/>
    <w:rsid w:val="00C457EA"/>
    <w:rsid w:val="00C462AE"/>
    <w:rsid w:val="00C500C4"/>
    <w:rsid w:val="00C502C2"/>
    <w:rsid w:val="00C6035E"/>
    <w:rsid w:val="00C628DE"/>
    <w:rsid w:val="00C704B6"/>
    <w:rsid w:val="00C72833"/>
    <w:rsid w:val="00C745B2"/>
    <w:rsid w:val="00C834F7"/>
    <w:rsid w:val="00C910FD"/>
    <w:rsid w:val="00C92C8B"/>
    <w:rsid w:val="00C93F40"/>
    <w:rsid w:val="00CA1655"/>
    <w:rsid w:val="00CA1DF4"/>
    <w:rsid w:val="00CA3B1D"/>
    <w:rsid w:val="00CA3D0C"/>
    <w:rsid w:val="00CA3D41"/>
    <w:rsid w:val="00CA46F2"/>
    <w:rsid w:val="00CA47BF"/>
    <w:rsid w:val="00CA4B84"/>
    <w:rsid w:val="00CA4FBE"/>
    <w:rsid w:val="00CA6CE7"/>
    <w:rsid w:val="00CB138B"/>
    <w:rsid w:val="00CB380A"/>
    <w:rsid w:val="00CB46CF"/>
    <w:rsid w:val="00CC146C"/>
    <w:rsid w:val="00CC3F7F"/>
    <w:rsid w:val="00CD110C"/>
    <w:rsid w:val="00CD1C8A"/>
    <w:rsid w:val="00CD2E52"/>
    <w:rsid w:val="00CE1733"/>
    <w:rsid w:val="00CE4DE3"/>
    <w:rsid w:val="00CE50EB"/>
    <w:rsid w:val="00CE59FB"/>
    <w:rsid w:val="00CE5AE6"/>
    <w:rsid w:val="00CE730E"/>
    <w:rsid w:val="00CF70BA"/>
    <w:rsid w:val="00D02340"/>
    <w:rsid w:val="00D0305B"/>
    <w:rsid w:val="00D0774F"/>
    <w:rsid w:val="00D11B3A"/>
    <w:rsid w:val="00D13CB9"/>
    <w:rsid w:val="00D13EB7"/>
    <w:rsid w:val="00D15384"/>
    <w:rsid w:val="00D162EE"/>
    <w:rsid w:val="00D209A0"/>
    <w:rsid w:val="00D24869"/>
    <w:rsid w:val="00D2544C"/>
    <w:rsid w:val="00D30252"/>
    <w:rsid w:val="00D3471C"/>
    <w:rsid w:val="00D40A9D"/>
    <w:rsid w:val="00D42F9C"/>
    <w:rsid w:val="00D45C39"/>
    <w:rsid w:val="00D4682F"/>
    <w:rsid w:val="00D47E67"/>
    <w:rsid w:val="00D5541C"/>
    <w:rsid w:val="00D56778"/>
    <w:rsid w:val="00D665AB"/>
    <w:rsid w:val="00D738D6"/>
    <w:rsid w:val="00D755EB"/>
    <w:rsid w:val="00D83A7C"/>
    <w:rsid w:val="00D85D56"/>
    <w:rsid w:val="00D878CB"/>
    <w:rsid w:val="00D87E00"/>
    <w:rsid w:val="00D9134D"/>
    <w:rsid w:val="00D9546E"/>
    <w:rsid w:val="00D96451"/>
    <w:rsid w:val="00DA2DBA"/>
    <w:rsid w:val="00DA4149"/>
    <w:rsid w:val="00DA7A03"/>
    <w:rsid w:val="00DB1818"/>
    <w:rsid w:val="00DB4760"/>
    <w:rsid w:val="00DC309B"/>
    <w:rsid w:val="00DC4DA2"/>
    <w:rsid w:val="00DC7114"/>
    <w:rsid w:val="00DF1D41"/>
    <w:rsid w:val="00DF2B1F"/>
    <w:rsid w:val="00DF4AD9"/>
    <w:rsid w:val="00DF5217"/>
    <w:rsid w:val="00DF62CD"/>
    <w:rsid w:val="00E01242"/>
    <w:rsid w:val="00E1243A"/>
    <w:rsid w:val="00E13370"/>
    <w:rsid w:val="00E13595"/>
    <w:rsid w:val="00E154FF"/>
    <w:rsid w:val="00E15C32"/>
    <w:rsid w:val="00E162C6"/>
    <w:rsid w:val="00E20B05"/>
    <w:rsid w:val="00E21B3D"/>
    <w:rsid w:val="00E22C74"/>
    <w:rsid w:val="00E22CBF"/>
    <w:rsid w:val="00E261D2"/>
    <w:rsid w:val="00E3622A"/>
    <w:rsid w:val="00E378AE"/>
    <w:rsid w:val="00E41C4A"/>
    <w:rsid w:val="00E445D6"/>
    <w:rsid w:val="00E448DE"/>
    <w:rsid w:val="00E62175"/>
    <w:rsid w:val="00E71E7F"/>
    <w:rsid w:val="00E72121"/>
    <w:rsid w:val="00E73B83"/>
    <w:rsid w:val="00E74DE3"/>
    <w:rsid w:val="00E7632B"/>
    <w:rsid w:val="00E77036"/>
    <w:rsid w:val="00E77645"/>
    <w:rsid w:val="00E82B3F"/>
    <w:rsid w:val="00E83ECC"/>
    <w:rsid w:val="00E87495"/>
    <w:rsid w:val="00E91761"/>
    <w:rsid w:val="00E94D07"/>
    <w:rsid w:val="00E95F22"/>
    <w:rsid w:val="00EA12A3"/>
    <w:rsid w:val="00EA7C61"/>
    <w:rsid w:val="00EB4736"/>
    <w:rsid w:val="00EB6BD7"/>
    <w:rsid w:val="00EC0463"/>
    <w:rsid w:val="00EC4A25"/>
    <w:rsid w:val="00ED5F22"/>
    <w:rsid w:val="00EE3EE7"/>
    <w:rsid w:val="00EE5D8F"/>
    <w:rsid w:val="00EF0BBE"/>
    <w:rsid w:val="00EF1994"/>
    <w:rsid w:val="00EF1FC5"/>
    <w:rsid w:val="00EF2285"/>
    <w:rsid w:val="00EF6D1F"/>
    <w:rsid w:val="00F025A2"/>
    <w:rsid w:val="00F03195"/>
    <w:rsid w:val="00F036F1"/>
    <w:rsid w:val="00F04712"/>
    <w:rsid w:val="00F126ED"/>
    <w:rsid w:val="00F13E6C"/>
    <w:rsid w:val="00F21DC0"/>
    <w:rsid w:val="00F22D38"/>
    <w:rsid w:val="00F22EC7"/>
    <w:rsid w:val="00F264EF"/>
    <w:rsid w:val="00F26CEE"/>
    <w:rsid w:val="00F320E7"/>
    <w:rsid w:val="00F453D2"/>
    <w:rsid w:val="00F473FF"/>
    <w:rsid w:val="00F56DD4"/>
    <w:rsid w:val="00F608DA"/>
    <w:rsid w:val="00F653B8"/>
    <w:rsid w:val="00F653ED"/>
    <w:rsid w:val="00F74DA1"/>
    <w:rsid w:val="00F812A2"/>
    <w:rsid w:val="00F82BE4"/>
    <w:rsid w:val="00F83205"/>
    <w:rsid w:val="00F903F4"/>
    <w:rsid w:val="00F9489A"/>
    <w:rsid w:val="00F950F6"/>
    <w:rsid w:val="00FA1266"/>
    <w:rsid w:val="00FA215D"/>
    <w:rsid w:val="00FA5947"/>
    <w:rsid w:val="00FC10C2"/>
    <w:rsid w:val="00FC1192"/>
    <w:rsid w:val="00FC7105"/>
    <w:rsid w:val="00FD6BCC"/>
    <w:rsid w:val="00FE11B9"/>
    <w:rsid w:val="00FE17B4"/>
    <w:rsid w:val="00FE181B"/>
    <w:rsid w:val="00FE4F03"/>
    <w:rsid w:val="00FE6507"/>
    <w:rsid w:val="00FF1F52"/>
    <w:rsid w:val="00FF35FC"/>
    <w:rsid w:val="00FF43D8"/>
    <w:rsid w:val="00FF7630"/>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124CEC"/>
  <w15:chartTrackingRefBased/>
  <w15:docId w15:val="{8FD6B326-ED9C-4BDB-86AF-DAE34C1F43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rsid w:val="000E1DEA"/>
    <w:rPr>
      <w:rFonts w:ascii="Arial" w:hAnsi="Arial"/>
      <w:b/>
      <w:lang w:val="en-GB"/>
    </w:rPr>
  </w:style>
  <w:style w:type="paragraph" w:styleId="Caption">
    <w:name w:val="caption"/>
    <w:basedOn w:val="Normal"/>
    <w:next w:val="Normal"/>
    <w:unhideWhenUsed/>
    <w:qFormat/>
    <w:rsid w:val="000E1DEA"/>
    <w:rPr>
      <w:b/>
      <w:bCs/>
    </w:rPr>
  </w:style>
  <w:style w:type="character" w:customStyle="1" w:styleId="TACChar">
    <w:name w:val="TAC Char"/>
    <w:link w:val="TAC"/>
    <w:rsid w:val="008B735F"/>
    <w:rPr>
      <w:rFonts w:ascii="Arial" w:hAnsi="Arial"/>
      <w:sz w:val="18"/>
      <w:lang w:val="en-GB"/>
    </w:rPr>
  </w:style>
  <w:style w:type="character" w:customStyle="1" w:styleId="TAHCar">
    <w:name w:val="TAH Car"/>
    <w:link w:val="TAH"/>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paragraph" w:styleId="Revision">
    <w:name w:val="Revision"/>
    <w:hidden/>
    <w:uiPriority w:val="99"/>
    <w:semiHidden/>
    <w:rsid w:val="003F7077"/>
    <w:rPr>
      <w:lang w:val="en-GB" w:eastAsia="en-US"/>
    </w:rPr>
  </w:style>
  <w:style w:type="character" w:styleId="CommentReference">
    <w:name w:val="annotation reference"/>
    <w:basedOn w:val="DefaultParagraphFont"/>
    <w:rsid w:val="00C500C4"/>
    <w:rPr>
      <w:sz w:val="16"/>
      <w:szCs w:val="16"/>
    </w:rPr>
  </w:style>
  <w:style w:type="paragraph" w:styleId="CommentText">
    <w:name w:val="annotation text"/>
    <w:basedOn w:val="Normal"/>
    <w:link w:val="CommentTextChar"/>
    <w:rsid w:val="00C500C4"/>
  </w:style>
  <w:style w:type="character" w:customStyle="1" w:styleId="CommentTextChar">
    <w:name w:val="Comment Text Char"/>
    <w:basedOn w:val="DefaultParagraphFont"/>
    <w:link w:val="CommentText"/>
    <w:rsid w:val="00C500C4"/>
    <w:rPr>
      <w:lang w:val="en-GB" w:eastAsia="en-US"/>
    </w:rPr>
  </w:style>
  <w:style w:type="paragraph" w:styleId="CommentSubject">
    <w:name w:val="annotation subject"/>
    <w:basedOn w:val="CommentText"/>
    <w:next w:val="CommentText"/>
    <w:link w:val="CommentSubjectChar"/>
    <w:rsid w:val="00C500C4"/>
    <w:rPr>
      <w:b/>
      <w:bCs/>
    </w:rPr>
  </w:style>
  <w:style w:type="character" w:customStyle="1" w:styleId="CommentSubjectChar">
    <w:name w:val="Comment Subject Char"/>
    <w:basedOn w:val="CommentTextChar"/>
    <w:link w:val="CommentSubject"/>
    <w:rsid w:val="00C500C4"/>
    <w:rPr>
      <w:b/>
      <w:bCs/>
      <w:lang w:val="en-GB" w:eastAsia="en-US"/>
    </w:rPr>
  </w:style>
  <w:style w:type="character" w:styleId="Mention">
    <w:name w:val="Mention"/>
    <w:basedOn w:val="DefaultParagraphFont"/>
    <w:uiPriority w:val="99"/>
    <w:unhideWhenUsed/>
    <w:rsid w:val="001E395C"/>
    <w:rPr>
      <w:color w:val="2B579A"/>
      <w:shd w:val="clear" w:color="auto" w:fill="E1DFDD"/>
    </w:rPr>
  </w:style>
  <w:style w:type="character" w:styleId="PlaceholderText">
    <w:name w:val="Placeholder Text"/>
    <w:basedOn w:val="DefaultParagraphFont"/>
    <w:uiPriority w:val="99"/>
    <w:semiHidden/>
    <w:rsid w:val="009A24F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tiff"/><Relationship Id="rId2" Type="http://schemas.openxmlformats.org/officeDocument/2006/relationships/customXml" Target="../customXml/item2.xml"/><Relationship Id="rId16" Type="http://schemas.openxmlformats.org/officeDocument/2006/relationships/image" Target="media/image4.tif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517</Value>
      <Value>565</Value>
      <Value>11</Value>
      <Value>1152</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lcf76f155ced4ddcb4097134ff3c332f xmlns="611109f9-ed58-4498-a270-1fb2086a5321">
      <Terms xmlns="http://schemas.microsoft.com/office/infopath/2007/PartnerControls"/>
    </lcf76f155ced4ddcb4097134ff3c332f>
    <AbstractOrSummary. xmlns="611109f9-ed58-4498-a270-1fb2086a5321" xsi:nil="true"/>
    <_dlc_DocId xmlns="f166a696-7b5b-4ccd-9f0c-ffde0cceec81">5NUHHDQN7SK2-1476151046-538908</_dlc_DocId>
    <_dlc_DocIdUrl xmlns="f166a696-7b5b-4ccd-9f0c-ffde0cceec81">
      <Url>https://ericsson.sharepoint.com/sites/star/_layouts/15/DocIdRedir.aspx?ID=5NUHHDQN7SK2-1476151046-538908</Url>
      <Description>5NUHHDQN7SK2-1476151046-538908</Description>
    </_dlc_DocIdUrl>
  </documentManagement>
</p:properties>
</file>

<file path=customXml/itemProps1.xml><?xml version="1.0" encoding="utf-8"?>
<ds:datastoreItem xmlns:ds="http://schemas.openxmlformats.org/officeDocument/2006/customXml" ds:itemID="{96E20104-0575-4560-A6CA-AE0B3F2F50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35BE9B6-030B-4EB6-930A-474E49D15201}">
  <ds:schemaRefs>
    <ds:schemaRef ds:uri="Microsoft.SharePoint.Taxonomy.ContentTypeSync"/>
  </ds:schemaRefs>
</ds:datastoreItem>
</file>

<file path=customXml/itemProps3.xml><?xml version="1.0" encoding="utf-8"?>
<ds:datastoreItem xmlns:ds="http://schemas.openxmlformats.org/officeDocument/2006/customXml" ds:itemID="{04E53298-1EDC-47D6-AB58-C72A10DAC3EE}">
  <ds:schemaRefs>
    <ds:schemaRef ds:uri="http://schemas.microsoft.com/sharepoint/events"/>
  </ds:schemaRefs>
</ds:datastoreItem>
</file>

<file path=customXml/itemProps4.xml><?xml version="1.0" encoding="utf-8"?>
<ds:datastoreItem xmlns:ds="http://schemas.openxmlformats.org/officeDocument/2006/customXml" ds:itemID="{A693E293-4F23-4473-9A8A-973395C0A756}">
  <ds:schemaRefs>
    <ds:schemaRef ds:uri="http://schemas.openxmlformats.org/officeDocument/2006/bibliography"/>
  </ds:schemaRefs>
</ds:datastoreItem>
</file>

<file path=customXml/itemProps5.xml><?xml version="1.0" encoding="utf-8"?>
<ds:datastoreItem xmlns:ds="http://schemas.openxmlformats.org/officeDocument/2006/customXml" ds:itemID="{16690244-D213-4031-8707-1DD77C2C07A0}">
  <ds:schemaRefs>
    <ds:schemaRef ds:uri="http://schemas.microsoft.com/sharepoint/v3/contenttype/forms"/>
  </ds:schemaRefs>
</ds:datastoreItem>
</file>

<file path=customXml/itemProps6.xml><?xml version="1.0" encoding="utf-8"?>
<ds:datastoreItem xmlns:ds="http://schemas.openxmlformats.org/officeDocument/2006/customXml" ds:itemID="{5F6E9632-623B-4C84-8DFA-158BBB4D37FF}">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6</Pages>
  <Words>2077</Words>
  <Characters>12188</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14237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Torbjörn Elfström</cp:lastModifiedBy>
  <cp:revision>4</cp:revision>
  <dcterms:created xsi:type="dcterms:W3CDTF">2023-05-15T06:33:00Z</dcterms:created>
  <dcterms:modified xsi:type="dcterms:W3CDTF">2023-05-15T10:29:00Z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TaxKeyword">
    <vt:lpwstr>12;#keyword|11111111-1111-1111-1111-111111111111</vt:lpwstr>
  </property>
  <property fmtid="{D5CDD505-2E9C-101B-9397-08002B2CF9AE}" pid="4" name="_dlc_DocIdItemGuid">
    <vt:lpwstr>904e1fcd-d4fd-49ab-9013-a0de449ce902</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MediaServiceImageTags">
    <vt:lpwstr/>
  </property>
  <property fmtid="{D5CDD505-2E9C-101B-9397-08002B2CF9AE}" pid="9" name="EriCOLLProducts">
    <vt:lpwstr/>
  </property>
  <property fmtid="{D5CDD505-2E9C-101B-9397-08002B2CF9AE}" pid="10" name="EriCOLLCustomer">
    <vt:lpwstr/>
  </property>
  <property fmtid="{D5CDD505-2E9C-101B-9397-08002B2CF9AE}" pid="11" name="EriCOLLProjects">
    <vt:lpwstr/>
  </property>
  <property fmtid="{D5CDD505-2E9C-101B-9397-08002B2CF9AE}" pid="12" name="EriCOLLProcess">
    <vt:lpwstr/>
  </property>
  <property fmtid="{D5CDD505-2E9C-101B-9397-08002B2CF9AE}" pid="13" name="EriCOLLOrganizationUnit">
    <vt:lpwstr/>
  </property>
</Properties>
</file>