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D59BBAC"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eastAsia="zh-CN"/>
        </w:rPr>
      </w:pPr>
      <w:bookmarkStart w:id="0" w:name="OLE_LINK5"/>
      <w:bookmarkStart w:id="1" w:name="OLE_LINK6"/>
      <w:r w:rsidRPr="76C37135">
        <w:rPr>
          <w:rFonts w:ascii="Arial" w:eastAsia="SimSun" w:hAnsi="Arial" w:cs="Times New Roman"/>
          <w:b/>
          <w:sz w:val="24"/>
          <w:szCs w:val="24"/>
        </w:rPr>
        <w:t>3GPP T</w:t>
      </w:r>
      <w:bookmarkStart w:id="2" w:name="_Ref452454252"/>
      <w:bookmarkEnd w:id="2"/>
      <w:r w:rsidRPr="76C37135">
        <w:rPr>
          <w:rFonts w:ascii="Arial" w:eastAsia="SimSun" w:hAnsi="Arial" w:cs="Times New Roman"/>
          <w:b/>
          <w:sz w:val="24"/>
          <w:szCs w:val="24"/>
        </w:rPr>
        <w:t xml:space="preserve">SG-RAN </w:t>
      </w:r>
      <w:r w:rsidR="00ED7600" w:rsidRPr="76C37135">
        <w:rPr>
          <w:rFonts w:ascii="Arial" w:eastAsia="SimSun" w:hAnsi="Arial" w:cs="Times New Roman"/>
          <w:b/>
          <w:sz w:val="24"/>
          <w:szCs w:val="24"/>
        </w:rPr>
        <w:t>WG4 Meeting #</w:t>
      </w:r>
      <w:r w:rsidR="001868EE" w:rsidRPr="76C37135">
        <w:rPr>
          <w:rFonts w:ascii="Arial" w:eastAsia="SimSun" w:hAnsi="Arial" w:cs="Times New Roman"/>
          <w:b/>
          <w:sz w:val="24"/>
          <w:szCs w:val="24"/>
        </w:rPr>
        <w:t>10</w:t>
      </w:r>
      <w:r w:rsidR="00011784" w:rsidRPr="76C37135">
        <w:rPr>
          <w:rFonts w:ascii="Arial" w:eastAsia="SimSun" w:hAnsi="Arial" w:cs="Times New Roman"/>
          <w:b/>
          <w:sz w:val="24"/>
          <w:szCs w:val="24"/>
        </w:rPr>
        <w:t>7</w:t>
      </w:r>
      <w:r w:rsidR="006A3C11" w:rsidRPr="76C37135">
        <w:rPr>
          <w:rFonts w:ascii="Arial" w:eastAsia="SimSun" w:hAnsi="Arial" w:cs="Times New Roman"/>
          <w:b/>
          <w:sz w:val="24"/>
          <w:szCs w:val="24"/>
        </w:rPr>
        <w:t xml:space="preserve"> </w:t>
      </w:r>
      <w:r>
        <w:tab/>
      </w:r>
      <w:r w:rsidR="00E06093" w:rsidRPr="00E06093">
        <w:rPr>
          <w:rFonts w:ascii="Arial" w:eastAsia="SimSun" w:hAnsi="Arial" w:cs="Times New Roman"/>
          <w:b/>
          <w:bCs/>
          <w:sz w:val="24"/>
          <w:szCs w:val="20"/>
        </w:rPr>
        <w:t>R4-2307129</w:t>
      </w:r>
    </w:p>
    <w:p w14:paraId="457FCC4F" w14:textId="774688CC"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2CDCD2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895565B" w14:textId="54C36D9F" w:rsidR="00841BCD" w:rsidRPr="008C39F7" w:rsidRDefault="00841BCD" w:rsidP="00841BCD">
      <w:pPr>
        <w:ind w:left="1985" w:hanging="1985"/>
        <w:rPr>
          <w:rFonts w:ascii="Arial" w:eastAsia="Calibri" w:hAnsi="Arial" w:cs="Arial"/>
          <w:b/>
          <w:sz w:val="24"/>
          <w:szCs w:val="24"/>
        </w:rPr>
      </w:pPr>
      <w:r w:rsidRPr="536B10EF">
        <w:rPr>
          <w:rFonts w:ascii="Arial" w:eastAsia="Calibri" w:hAnsi="Arial" w:cs="Arial"/>
          <w:b/>
          <w:sz w:val="24"/>
          <w:szCs w:val="24"/>
        </w:rPr>
        <w:t>Title:</w:t>
      </w:r>
      <w:r>
        <w:tab/>
      </w:r>
      <w:r w:rsidR="00074448" w:rsidRPr="536B10EF">
        <w:rPr>
          <w:rFonts w:ascii="Arial" w:eastAsia="Calibri" w:hAnsi="Arial" w:cs="Arial"/>
          <w:b/>
          <w:sz w:val="24"/>
          <w:szCs w:val="24"/>
        </w:rPr>
        <w:t xml:space="preserve">Discussion on </w:t>
      </w:r>
      <w:r w:rsidR="00EB437F" w:rsidRPr="536B10EF">
        <w:rPr>
          <w:rFonts w:ascii="Arial" w:eastAsia="Calibri" w:hAnsi="Arial" w:cs="Arial"/>
          <w:b/>
          <w:bCs/>
          <w:sz w:val="24"/>
          <w:szCs w:val="24"/>
        </w:rPr>
        <w:t>Multi-RX</w:t>
      </w:r>
      <w:r w:rsidR="1306057A" w:rsidRPr="536B10EF">
        <w:rPr>
          <w:rFonts w:ascii="Arial" w:eastAsia="Calibri" w:hAnsi="Arial" w:cs="Arial"/>
          <w:b/>
          <w:bCs/>
          <w:sz w:val="24"/>
          <w:szCs w:val="24"/>
        </w:rPr>
        <w:t xml:space="preserve"> </w:t>
      </w:r>
      <w:r w:rsidR="00074448" w:rsidRPr="536B10EF">
        <w:rPr>
          <w:rFonts w:ascii="Arial" w:eastAsia="Calibri" w:hAnsi="Arial" w:cs="Arial"/>
          <w:b/>
          <w:sz w:val="24"/>
          <w:szCs w:val="24"/>
        </w:rPr>
        <w:t>RRM General Aspects</w:t>
      </w:r>
      <w:r w:rsidR="007C1696" w:rsidRPr="536B10EF">
        <w:rPr>
          <w:rFonts w:ascii="Arial" w:eastAsia="Calibri" w:hAnsi="Arial" w:cs="Arial"/>
          <w:b/>
          <w:sz w:val="24"/>
          <w:szCs w:val="24"/>
        </w:rPr>
        <w:t xml:space="preserve"> </w:t>
      </w:r>
    </w:p>
    <w:p w14:paraId="641E8BEA" w14:textId="327DAC7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E0F3A">
        <w:rPr>
          <w:rFonts w:ascii="Arial" w:eastAsia="MS Mincho" w:hAnsi="Arial" w:cs="Arial"/>
          <w:b/>
          <w:bCs/>
          <w:sz w:val="24"/>
          <w:szCs w:val="20"/>
        </w:rPr>
        <w:t>8</w:t>
      </w:r>
      <w:r w:rsidR="00074448">
        <w:rPr>
          <w:rFonts w:ascii="Arial" w:eastAsia="MS Mincho" w:hAnsi="Arial" w:cs="Arial"/>
          <w:b/>
          <w:bCs/>
          <w:sz w:val="24"/>
          <w:szCs w:val="20"/>
        </w:rPr>
        <w:t>.8.3.1</w:t>
      </w:r>
    </w:p>
    <w:p w14:paraId="07144160" w14:textId="663EEC7C"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70337B4" w14:textId="77777777" w:rsidR="00E323E9" w:rsidRPr="008C39F7" w:rsidRDefault="00E323E9" w:rsidP="00841BCD">
      <w:pPr>
        <w:tabs>
          <w:tab w:val="left" w:pos="1985"/>
        </w:tabs>
        <w:rPr>
          <w:rFonts w:ascii="Arial" w:eastAsia="Calibri" w:hAnsi="Arial" w:cs="Arial"/>
          <w:b/>
          <w:bCs/>
          <w:sz w:val="24"/>
        </w:rPr>
      </w:pPr>
    </w:p>
    <w:p w14:paraId="7B15C003" w14:textId="77777777" w:rsidR="00841BCD" w:rsidRPr="008C39F7" w:rsidRDefault="00841BCD" w:rsidP="00042CC2">
      <w:pPr>
        <w:pStyle w:val="RAN4H1"/>
      </w:pPr>
      <w:bookmarkStart w:id="3" w:name="_Toc116995841"/>
      <w:r w:rsidRPr="008C39F7">
        <w:t>Intro</w:t>
      </w:r>
      <w:r w:rsidRPr="008C39F7">
        <w:rPr>
          <w:rStyle w:val="RAN4H1Char"/>
        </w:rPr>
        <w:t>ductio</w:t>
      </w:r>
      <w:r w:rsidRPr="008C39F7">
        <w:t>n</w:t>
      </w:r>
      <w:bookmarkEnd w:id="3"/>
    </w:p>
    <w:p w14:paraId="015D2129" w14:textId="3E2171CA" w:rsidR="0060543D" w:rsidRPr="008C39F7" w:rsidRDefault="00074448" w:rsidP="004B0715">
      <w:pPr>
        <w:jc w:val="both"/>
      </w:pPr>
      <w:r>
        <w:rPr>
          <w:rStyle w:val="normaltextrun"/>
          <w:color w:val="000000"/>
          <w:szCs w:val="20"/>
          <w:shd w:val="clear" w:color="auto" w:fill="FFFFFF"/>
        </w:rPr>
        <w:t>In this paper we discuss RRM aspects related to the multi-Rx chain reception in FR2 for Rel-18. In RAN4#106-e-bis meeting we had further discussions and agreements related to simultaneous DL reception in a multi-Rx UE</w:t>
      </w:r>
      <w:r w:rsidR="004B0715">
        <w:rPr>
          <w:rStyle w:val="normaltextrun"/>
          <w:color w:val="000000"/>
          <w:szCs w:val="20"/>
          <w:shd w:val="clear" w:color="auto" w:fill="FFFFFF"/>
        </w:rPr>
        <w:t xml:space="preserve"> and power save.</w:t>
      </w:r>
      <w:r>
        <w:rPr>
          <w:rStyle w:val="normaltextrun"/>
          <w:color w:val="000000"/>
          <w:szCs w:val="20"/>
          <w:shd w:val="clear" w:color="auto" w:fill="FFFFFF"/>
        </w:rPr>
        <w:t xml:space="preserve"> In continuation, we address open issues from those discussions. We derive observations and proposals concerning</w:t>
      </w:r>
      <w:r w:rsidDel="00F328C2">
        <w:rPr>
          <w:rStyle w:val="normaltextrun"/>
          <w:color w:val="000000"/>
          <w:szCs w:val="20"/>
          <w:shd w:val="clear" w:color="auto" w:fill="FFFFFF"/>
        </w:rPr>
        <w:t xml:space="preserve"> </w:t>
      </w:r>
      <w:r w:rsidR="00DF0215">
        <w:rPr>
          <w:rStyle w:val="normaltextrun"/>
          <w:color w:val="000000"/>
          <w:szCs w:val="20"/>
          <w:shd w:val="clear" w:color="auto" w:fill="FFFFFF"/>
        </w:rPr>
        <w:t>beam management for simultaneous reception</w:t>
      </w:r>
      <w:r w:rsidR="0091402B">
        <w:rPr>
          <w:rStyle w:val="normaltextrun"/>
          <w:color w:val="000000"/>
          <w:szCs w:val="20"/>
          <w:shd w:val="clear" w:color="auto" w:fill="FFFFFF"/>
        </w:rPr>
        <w:t>,</w:t>
      </w:r>
      <w:r w:rsidR="004B0715">
        <w:rPr>
          <w:rStyle w:val="normaltextrun"/>
          <w:color w:val="000000"/>
          <w:szCs w:val="20"/>
          <w:shd w:val="clear" w:color="auto" w:fill="FFFFFF"/>
        </w:rPr>
        <w:t xml:space="preserve"> </w:t>
      </w:r>
      <w:r>
        <w:rPr>
          <w:rStyle w:val="normaltextrun"/>
          <w:color w:val="000000"/>
          <w:szCs w:val="20"/>
          <w:shd w:val="clear" w:color="auto" w:fill="FFFFFF"/>
        </w:rPr>
        <w:t xml:space="preserve">group-based beam reporting for multi-TRP, </w:t>
      </w:r>
      <w:r w:rsidR="00D371B6">
        <w:rPr>
          <w:rStyle w:val="normaltextrun"/>
          <w:color w:val="000000"/>
          <w:szCs w:val="20"/>
          <w:shd w:val="clear" w:color="auto" w:fill="FFFFFF"/>
        </w:rPr>
        <w:t xml:space="preserve">multi-Rx mode conditions, and applicability and conditions </w:t>
      </w:r>
      <w:r>
        <w:rPr>
          <w:rStyle w:val="normaltextrun"/>
          <w:color w:val="000000"/>
          <w:szCs w:val="20"/>
          <w:shd w:val="clear" w:color="auto" w:fill="FFFFFF"/>
        </w:rPr>
        <w:t>to support RRM enhancements in a multi-Rx UE. </w:t>
      </w:r>
      <w:r>
        <w:rPr>
          <w:rStyle w:val="eop"/>
          <w:color w:val="000000"/>
          <w:szCs w:val="20"/>
          <w:shd w:val="clear" w:color="auto" w:fill="FFFFFF"/>
        </w:rPr>
        <w:t> </w:t>
      </w:r>
    </w:p>
    <w:p w14:paraId="06A7ECC3" w14:textId="77777777" w:rsidR="0060543D" w:rsidRPr="008C39F7" w:rsidRDefault="0060543D" w:rsidP="005C23A4"/>
    <w:p w14:paraId="5E6E091D" w14:textId="7740770D" w:rsidR="003B659E" w:rsidRPr="008C39F7" w:rsidRDefault="003B659E" w:rsidP="00042CC2">
      <w:pPr>
        <w:pStyle w:val="RAN4H1"/>
      </w:pPr>
      <w:bookmarkStart w:id="4" w:name="_Toc116995842"/>
      <w:r w:rsidRPr="008C39F7">
        <w:t>Discussion</w:t>
      </w:r>
      <w:bookmarkEnd w:id="4"/>
    </w:p>
    <w:p w14:paraId="0E8C8886" w14:textId="67E8942E" w:rsidR="0060543D" w:rsidRDefault="00B66BAE" w:rsidP="00300956">
      <w:pPr>
        <w:rPr>
          <w:rStyle w:val="eop"/>
          <w:color w:val="000000"/>
          <w:szCs w:val="20"/>
          <w:shd w:val="clear" w:color="auto" w:fill="FFFFFF"/>
        </w:rPr>
      </w:pPr>
      <w:r>
        <w:rPr>
          <w:rStyle w:val="normaltextrun"/>
          <w:color w:val="000000"/>
          <w:szCs w:val="20"/>
          <w:shd w:val="clear" w:color="auto" w:fill="FFFFFF"/>
        </w:rPr>
        <w:t xml:space="preserve">In RAN4#106-e-bis meeting, the following Agreements were made regarding RRM General Aspects </w:t>
      </w:r>
      <w:r>
        <w:rPr>
          <w:rStyle w:val="normaltextrun"/>
          <w:color w:val="000000"/>
          <w:szCs w:val="20"/>
          <w:shd w:val="clear" w:color="auto" w:fill="E1E3E6"/>
        </w:rPr>
        <w:t>[1]</w:t>
      </w:r>
      <w:r>
        <w:rPr>
          <w:rStyle w:val="normaltextrun"/>
          <w:color w:val="000000"/>
          <w:szCs w:val="20"/>
          <w:shd w:val="clear" w:color="auto" w:fill="FFFFFF"/>
        </w:rPr>
        <w:t>. </w:t>
      </w:r>
      <w:r>
        <w:rPr>
          <w:rStyle w:val="eop"/>
          <w:color w:val="000000"/>
          <w:szCs w:val="20"/>
          <w:shd w:val="clear" w:color="auto" w:fill="FFFFFF"/>
        </w:rPr>
        <w:t> </w:t>
      </w:r>
    </w:p>
    <w:tbl>
      <w:tblPr>
        <w:tblStyle w:val="TableGrid"/>
        <w:tblW w:w="0" w:type="auto"/>
        <w:tblLook w:val="04A0" w:firstRow="1" w:lastRow="0" w:firstColumn="1" w:lastColumn="0" w:noHBand="0" w:noVBand="1"/>
      </w:tblPr>
      <w:tblGrid>
        <w:gridCol w:w="9617"/>
      </w:tblGrid>
      <w:tr w:rsidR="008879B0" w14:paraId="78378210" w14:textId="77777777" w:rsidTr="008879B0">
        <w:tc>
          <w:tcPr>
            <w:tcW w:w="9617" w:type="dxa"/>
          </w:tcPr>
          <w:p w14:paraId="745F629D" w14:textId="691D42EA" w:rsidR="008879B0" w:rsidRDefault="008879B0" w:rsidP="00300956">
            <w:pPr>
              <w:rPr>
                <w:b/>
                <w:bCs/>
                <w:color w:val="0070C0"/>
                <w:szCs w:val="20"/>
                <w:lang w:val="en-GB"/>
              </w:rPr>
            </w:pPr>
            <w:r>
              <w:rPr>
                <w:b/>
                <w:bCs/>
                <w:color w:val="0070C0"/>
                <w:szCs w:val="20"/>
                <w:lang w:val="en-GB"/>
              </w:rPr>
              <w:t>&lt;Agreements &gt;:</w:t>
            </w:r>
          </w:p>
          <w:p w14:paraId="0B722ABF" w14:textId="77777777" w:rsidR="008879B0" w:rsidRPr="008879B0" w:rsidRDefault="008879B0" w:rsidP="00042CC2">
            <w:pPr>
              <w:numPr>
                <w:ilvl w:val="0"/>
                <w:numId w:val="7"/>
              </w:numPr>
              <w:spacing w:before="180" w:after="180"/>
              <w:textAlignment w:val="center"/>
              <w:rPr>
                <w:rFonts w:ascii="Arial" w:eastAsia="Times New Roman" w:hAnsi="Arial" w:cs="Arial"/>
                <w:sz w:val="28"/>
                <w:szCs w:val="28"/>
                <w:lang w:val="sv-SE"/>
              </w:rPr>
            </w:pPr>
            <w:proofErr w:type="spellStart"/>
            <w:r w:rsidRPr="008879B0">
              <w:rPr>
                <w:rFonts w:ascii="Arial" w:eastAsia="Times New Roman" w:hAnsi="Arial" w:cs="Arial"/>
                <w:sz w:val="24"/>
                <w:szCs w:val="24"/>
                <w:lang w:val="sv-SE"/>
              </w:rPr>
              <w:t>Sub-topic</w:t>
            </w:r>
            <w:proofErr w:type="spellEnd"/>
            <w:r w:rsidRPr="008879B0">
              <w:rPr>
                <w:rFonts w:ascii="Arial" w:eastAsia="Times New Roman" w:hAnsi="Arial" w:cs="Arial"/>
                <w:sz w:val="24"/>
                <w:szCs w:val="24"/>
                <w:lang w:val="sv-SE"/>
              </w:rPr>
              <w:t xml:space="preserve"> 1-1: </w:t>
            </w:r>
            <w:proofErr w:type="spellStart"/>
            <w:r w:rsidRPr="008879B0">
              <w:rPr>
                <w:rFonts w:ascii="Arial" w:eastAsia="Times New Roman" w:hAnsi="Arial" w:cs="Arial"/>
                <w:sz w:val="24"/>
                <w:szCs w:val="24"/>
                <w:lang w:val="sv-SE"/>
              </w:rPr>
              <w:t>Scope</w:t>
            </w:r>
            <w:proofErr w:type="spellEnd"/>
            <w:r w:rsidRPr="008879B0">
              <w:rPr>
                <w:rFonts w:ascii="Arial" w:eastAsia="Times New Roman" w:hAnsi="Arial" w:cs="Arial"/>
                <w:sz w:val="24"/>
                <w:szCs w:val="24"/>
                <w:lang w:val="sv-SE"/>
              </w:rPr>
              <w:t xml:space="preserve"> and scenarios</w:t>
            </w:r>
          </w:p>
          <w:p w14:paraId="35DEA9EB" w14:textId="77777777" w:rsidR="008879B0" w:rsidRPr="008879B0" w:rsidRDefault="008879B0" w:rsidP="008879B0">
            <w:pPr>
              <w:spacing w:after="180"/>
              <w:ind w:left="540"/>
              <w:rPr>
                <w:rFonts w:eastAsia="Times New Roman" w:cs="Times New Roman"/>
                <w:color w:val="000000"/>
                <w:szCs w:val="20"/>
                <w:lang w:val="en-GB"/>
              </w:rPr>
            </w:pPr>
            <w:r w:rsidRPr="008879B0">
              <w:rPr>
                <w:rFonts w:eastAsia="Times New Roman" w:cs="Times New Roman"/>
                <w:b/>
                <w:bCs/>
                <w:color w:val="000000"/>
                <w:szCs w:val="20"/>
                <w:u w:val="single"/>
                <w:lang w:val="en-GB"/>
              </w:rPr>
              <w:t>Issue 1-1-2: Single (component) carrier for defining RRM requirements</w:t>
            </w:r>
          </w:p>
          <w:p w14:paraId="3A296F9E" w14:textId="77777777" w:rsidR="008879B0" w:rsidRPr="008879B0" w:rsidRDefault="008879B0" w:rsidP="008879B0">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t>&lt;Agreement &gt;:</w:t>
            </w:r>
          </w:p>
          <w:p w14:paraId="62ABD2AB" w14:textId="77777777" w:rsidR="008879B0" w:rsidRPr="00A5127D" w:rsidRDefault="008879B0" w:rsidP="00042CC2">
            <w:pPr>
              <w:numPr>
                <w:ilvl w:val="0"/>
                <w:numId w:val="8"/>
              </w:numPr>
              <w:spacing w:after="120"/>
              <w:textAlignment w:val="center"/>
              <w:rPr>
                <w:rFonts w:ascii="Calibri" w:eastAsia="Times New Roman" w:hAnsi="Calibri" w:cs="Calibri"/>
                <w:sz w:val="22"/>
                <w:highlight w:val="green"/>
                <w:lang w:val="en-GB"/>
              </w:rPr>
            </w:pPr>
            <w:r w:rsidRPr="00A5127D">
              <w:rPr>
                <w:rFonts w:eastAsia="Times New Roman" w:cs="Times New Roman"/>
                <w:szCs w:val="20"/>
                <w:highlight w:val="green"/>
                <w:shd w:val="clear" w:color="auto" w:fill="92D050"/>
                <w:lang w:val="en-GB"/>
              </w:rPr>
              <w:t>Deprioritize discussions on RRM requirements for CA/DC scenarios till single carrier requirements are completed</w:t>
            </w:r>
            <w:r w:rsidRPr="00A5127D">
              <w:rPr>
                <w:rFonts w:eastAsia="Times New Roman" w:cs="Times New Roman"/>
                <w:szCs w:val="20"/>
                <w:highlight w:val="green"/>
                <w:lang w:val="en-GB"/>
              </w:rPr>
              <w:t>.</w:t>
            </w:r>
          </w:p>
          <w:p w14:paraId="74BDD4E4" w14:textId="77777777" w:rsidR="008879B0" w:rsidRPr="008879B0" w:rsidRDefault="008879B0" w:rsidP="008879B0">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t> </w:t>
            </w:r>
          </w:p>
          <w:p w14:paraId="319D28D0" w14:textId="77777777" w:rsidR="008879B0" w:rsidRPr="008879B0" w:rsidRDefault="008879B0" w:rsidP="008879B0">
            <w:pPr>
              <w:spacing w:after="180"/>
              <w:ind w:left="540"/>
              <w:rPr>
                <w:rFonts w:eastAsia="Times New Roman" w:cs="Times New Roman"/>
                <w:color w:val="000000"/>
                <w:szCs w:val="20"/>
                <w:lang w:val="en-GB"/>
              </w:rPr>
            </w:pPr>
            <w:r w:rsidRPr="008879B0">
              <w:rPr>
                <w:rFonts w:eastAsia="Times New Roman" w:cs="Times New Roman"/>
                <w:b/>
                <w:bCs/>
                <w:color w:val="000000"/>
                <w:szCs w:val="20"/>
                <w:u w:val="single"/>
                <w:lang w:val="en-GB"/>
              </w:rPr>
              <w:t>Issue 1-1-5: Spatial MIMO (either spatial diversity or spatial multiplexing) by using one panel</w:t>
            </w:r>
          </w:p>
          <w:p w14:paraId="7533824F" w14:textId="77777777" w:rsidR="008879B0" w:rsidRPr="008879B0" w:rsidRDefault="008879B0" w:rsidP="008879B0">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t>&lt;Agreement &gt;:</w:t>
            </w:r>
          </w:p>
          <w:p w14:paraId="541B0D3B" w14:textId="77777777" w:rsidR="008879B0" w:rsidRPr="00A5127D" w:rsidRDefault="008879B0" w:rsidP="00042CC2">
            <w:pPr>
              <w:numPr>
                <w:ilvl w:val="0"/>
                <w:numId w:val="9"/>
              </w:numPr>
              <w:spacing w:after="120"/>
              <w:textAlignment w:val="center"/>
              <w:rPr>
                <w:rFonts w:ascii="Calibri" w:eastAsia="Times New Roman" w:hAnsi="Calibri" w:cs="Calibri"/>
                <w:sz w:val="22"/>
                <w:highlight w:val="green"/>
                <w:lang w:val="en-GB"/>
              </w:rPr>
            </w:pPr>
            <w:r w:rsidRPr="00A5127D">
              <w:rPr>
                <w:rFonts w:eastAsia="Times New Roman" w:cs="Times New Roman"/>
                <w:color w:val="000000"/>
                <w:szCs w:val="20"/>
                <w:highlight w:val="green"/>
                <w:shd w:val="clear" w:color="auto" w:fill="92D050"/>
                <w:lang w:val="en-GB"/>
              </w:rPr>
              <w:t>Spatial MIMO (either spatial diversity or spatial multiplexing) by using one panel to receive two independent signals from the same or nearly the same direction is not further discussed in RRM session.</w:t>
            </w:r>
          </w:p>
          <w:p w14:paraId="2CD76614" w14:textId="77777777" w:rsidR="008879B0" w:rsidRPr="00A5127D" w:rsidRDefault="008879B0" w:rsidP="00042CC2">
            <w:pPr>
              <w:numPr>
                <w:ilvl w:val="1"/>
                <w:numId w:val="9"/>
              </w:numPr>
              <w:spacing w:after="120"/>
              <w:textAlignment w:val="center"/>
              <w:rPr>
                <w:rFonts w:ascii="Calibri" w:eastAsia="Times New Roman" w:hAnsi="Calibri" w:cs="Calibri"/>
                <w:sz w:val="22"/>
                <w:highlight w:val="green"/>
                <w:lang w:val="en-GB"/>
              </w:rPr>
            </w:pPr>
            <w:r w:rsidRPr="00A5127D">
              <w:rPr>
                <w:rFonts w:eastAsia="Times New Roman" w:cs="Times New Roman"/>
                <w:color w:val="000000"/>
                <w:szCs w:val="20"/>
                <w:highlight w:val="green"/>
                <w:shd w:val="clear" w:color="auto" w:fill="92D050"/>
                <w:lang w:val="en-GB"/>
              </w:rPr>
              <w:t>Note: It can be revisited in case any RRM impact is identified.</w:t>
            </w:r>
          </w:p>
          <w:p w14:paraId="5E73D858" w14:textId="77777777" w:rsidR="008879B0" w:rsidRPr="008879B0" w:rsidRDefault="008879B0" w:rsidP="008879B0">
            <w:pPr>
              <w:spacing w:after="180"/>
              <w:ind w:left="540"/>
              <w:rPr>
                <w:rFonts w:eastAsia="Times New Roman" w:cs="Times New Roman"/>
                <w:color w:val="000000"/>
                <w:szCs w:val="20"/>
                <w:lang w:val="en-GB"/>
              </w:rPr>
            </w:pPr>
            <w:r w:rsidRPr="008879B0">
              <w:rPr>
                <w:rFonts w:eastAsia="Times New Roman" w:cs="Times New Roman"/>
                <w:color w:val="000000"/>
                <w:szCs w:val="20"/>
                <w:lang w:val="en-GB"/>
              </w:rPr>
              <w:t> </w:t>
            </w:r>
          </w:p>
          <w:p w14:paraId="1D3F81F6" w14:textId="77777777" w:rsidR="008879B0" w:rsidRPr="008879B0" w:rsidRDefault="008879B0" w:rsidP="008879B0">
            <w:pPr>
              <w:spacing w:after="180"/>
              <w:ind w:left="540"/>
              <w:rPr>
                <w:rFonts w:eastAsia="Times New Roman" w:cs="Times New Roman"/>
                <w:color w:val="000000"/>
                <w:szCs w:val="20"/>
                <w:lang w:val="en-GB"/>
              </w:rPr>
            </w:pPr>
            <w:r w:rsidRPr="008879B0">
              <w:rPr>
                <w:rFonts w:eastAsia="Times New Roman" w:cs="Times New Roman"/>
                <w:b/>
                <w:bCs/>
                <w:color w:val="000000"/>
                <w:szCs w:val="20"/>
                <w:u w:val="single"/>
                <w:lang w:val="en-GB"/>
              </w:rPr>
              <w:t>Issue 1-1-9: Scenarios/assumption for “simultaneous reception”</w:t>
            </w:r>
          </w:p>
          <w:p w14:paraId="2869739D" w14:textId="77777777" w:rsidR="008879B0" w:rsidRPr="008879B0" w:rsidRDefault="008879B0" w:rsidP="008879B0">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t>&lt;Agreement &gt;:</w:t>
            </w:r>
          </w:p>
          <w:p w14:paraId="70851F2E" w14:textId="229D000C" w:rsidR="008879B0" w:rsidRPr="00A5127D" w:rsidRDefault="008879B0" w:rsidP="00042CC2">
            <w:pPr>
              <w:numPr>
                <w:ilvl w:val="0"/>
                <w:numId w:val="10"/>
              </w:numPr>
              <w:spacing w:after="120"/>
              <w:textAlignment w:val="center"/>
              <w:rPr>
                <w:rFonts w:ascii="Calibri" w:eastAsia="Times New Roman" w:hAnsi="Calibri" w:cs="Calibri"/>
                <w:sz w:val="22"/>
                <w:highlight w:val="green"/>
                <w:lang w:val="en-GB"/>
              </w:rPr>
            </w:pPr>
            <w:r w:rsidRPr="00A5127D">
              <w:rPr>
                <w:rFonts w:eastAsia="Times New Roman" w:cs="Times New Roman"/>
                <w:color w:val="000000"/>
                <w:szCs w:val="20"/>
                <w:highlight w:val="green"/>
                <w:shd w:val="clear" w:color="auto" w:fill="92D050"/>
                <w:lang w:val="en-GB"/>
              </w:rPr>
              <w:t xml:space="preserve">Scenarios for </w:t>
            </w:r>
            <w:proofErr w:type="spellStart"/>
            <w:r w:rsidRPr="00A5127D">
              <w:rPr>
                <w:rFonts w:eastAsia="Times New Roman" w:cs="Times New Roman"/>
                <w:color w:val="000000"/>
                <w:szCs w:val="20"/>
                <w:highlight w:val="green"/>
                <w:shd w:val="clear" w:color="auto" w:fill="92D050"/>
                <w:lang w:val="en-GB"/>
              </w:rPr>
              <w:t>mTRP</w:t>
            </w:r>
            <w:proofErr w:type="spellEnd"/>
            <w:r w:rsidRPr="00A5127D">
              <w:rPr>
                <w:rFonts w:eastAsia="Times New Roman" w:cs="Times New Roman"/>
                <w:color w:val="000000"/>
                <w:szCs w:val="20"/>
                <w:highlight w:val="green"/>
                <w:shd w:val="clear" w:color="auto" w:fill="92D050"/>
                <w:lang w:val="en-GB"/>
              </w:rPr>
              <w:t xml:space="preserve"> simultaneous reception is to be covered as part of scheduling restrictions/measurement restrictions, L1 measurement, and TCI state switching agenda items</w:t>
            </w:r>
          </w:p>
          <w:p w14:paraId="7C179B8E" w14:textId="30B79691" w:rsidR="008879B0" w:rsidRDefault="008879B0" w:rsidP="008879B0">
            <w:pPr>
              <w:spacing w:after="120"/>
              <w:ind w:left="360"/>
              <w:textAlignment w:val="center"/>
              <w:rPr>
                <w:rFonts w:eastAsia="Times New Roman" w:cs="Times New Roman"/>
                <w:shd w:val="clear" w:color="auto" w:fill="92D050"/>
                <w:lang w:val="en-GB"/>
              </w:rPr>
            </w:pPr>
          </w:p>
          <w:p w14:paraId="26B03EC9" w14:textId="77777777" w:rsidR="008879B0" w:rsidRPr="008879B0" w:rsidRDefault="008879B0" w:rsidP="00042CC2">
            <w:pPr>
              <w:numPr>
                <w:ilvl w:val="0"/>
                <w:numId w:val="11"/>
              </w:numPr>
              <w:spacing w:before="180" w:after="180"/>
              <w:textAlignment w:val="center"/>
              <w:rPr>
                <w:rFonts w:ascii="Arial" w:eastAsia="Times New Roman" w:hAnsi="Arial" w:cs="Arial"/>
                <w:sz w:val="28"/>
                <w:szCs w:val="28"/>
                <w:lang w:val="sv-SE"/>
              </w:rPr>
            </w:pPr>
            <w:proofErr w:type="spellStart"/>
            <w:r w:rsidRPr="008879B0">
              <w:rPr>
                <w:rFonts w:ascii="Arial" w:eastAsia="Times New Roman" w:hAnsi="Arial" w:cs="Arial"/>
                <w:sz w:val="24"/>
                <w:szCs w:val="24"/>
                <w:lang w:val="sv-SE"/>
              </w:rPr>
              <w:t>Sub-topic</w:t>
            </w:r>
            <w:proofErr w:type="spellEnd"/>
            <w:r w:rsidRPr="008879B0">
              <w:rPr>
                <w:rFonts w:ascii="Arial" w:eastAsia="Times New Roman" w:hAnsi="Arial" w:cs="Arial"/>
                <w:sz w:val="24"/>
                <w:szCs w:val="24"/>
                <w:lang w:val="sv-SE"/>
              </w:rPr>
              <w:t xml:space="preserve"> 1-2: RRM </w:t>
            </w:r>
            <w:proofErr w:type="spellStart"/>
            <w:r w:rsidRPr="008879B0">
              <w:rPr>
                <w:rFonts w:ascii="Arial" w:eastAsia="Times New Roman" w:hAnsi="Arial" w:cs="Arial"/>
                <w:sz w:val="24"/>
                <w:szCs w:val="24"/>
                <w:lang w:val="sv-SE"/>
              </w:rPr>
              <w:t>requirements</w:t>
            </w:r>
            <w:proofErr w:type="spellEnd"/>
            <w:r w:rsidRPr="008879B0">
              <w:rPr>
                <w:rFonts w:ascii="Arial" w:eastAsia="Times New Roman" w:hAnsi="Arial" w:cs="Arial"/>
                <w:sz w:val="24"/>
                <w:szCs w:val="24"/>
                <w:lang w:val="sv-SE"/>
              </w:rPr>
              <w:t xml:space="preserve"> </w:t>
            </w:r>
            <w:proofErr w:type="spellStart"/>
            <w:r w:rsidRPr="008879B0">
              <w:rPr>
                <w:rFonts w:ascii="Arial" w:eastAsia="Times New Roman" w:hAnsi="Arial" w:cs="Arial"/>
                <w:sz w:val="24"/>
                <w:szCs w:val="24"/>
                <w:lang w:val="sv-SE"/>
              </w:rPr>
              <w:t>impact</w:t>
            </w:r>
            <w:proofErr w:type="spellEnd"/>
          </w:p>
          <w:p w14:paraId="5265666E" w14:textId="77777777" w:rsidR="008879B0" w:rsidRPr="008879B0" w:rsidRDefault="008879B0" w:rsidP="008879B0">
            <w:pPr>
              <w:spacing w:after="180"/>
              <w:ind w:left="540"/>
              <w:rPr>
                <w:rFonts w:eastAsia="Times New Roman" w:cs="Times New Roman"/>
                <w:color w:val="000000"/>
                <w:szCs w:val="20"/>
                <w:lang w:val="en-GB"/>
              </w:rPr>
            </w:pPr>
            <w:r w:rsidRPr="008879B0">
              <w:rPr>
                <w:rFonts w:eastAsia="Times New Roman" w:cs="Times New Roman"/>
                <w:b/>
                <w:bCs/>
                <w:color w:val="000000"/>
                <w:szCs w:val="20"/>
                <w:u w:val="single"/>
                <w:lang w:val="en-GB"/>
              </w:rPr>
              <w:t>Issue 1-2-5a: Whether to define power saving related requirements</w:t>
            </w:r>
          </w:p>
          <w:p w14:paraId="171779C2" w14:textId="77777777" w:rsidR="008879B0" w:rsidRPr="008879B0" w:rsidRDefault="008879B0" w:rsidP="008879B0">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lastRenderedPageBreak/>
              <w:t>&lt;Agreement &gt;:</w:t>
            </w:r>
          </w:p>
          <w:p w14:paraId="7AA6BB40" w14:textId="77777777" w:rsidR="008879B0" w:rsidRPr="00A5127D" w:rsidRDefault="008879B0" w:rsidP="00042CC2">
            <w:pPr>
              <w:numPr>
                <w:ilvl w:val="0"/>
                <w:numId w:val="12"/>
              </w:numPr>
              <w:spacing w:after="120"/>
              <w:textAlignment w:val="center"/>
              <w:rPr>
                <w:rFonts w:ascii="Calibri" w:eastAsia="Times New Roman" w:hAnsi="Calibri" w:cs="Calibri"/>
                <w:sz w:val="22"/>
                <w:highlight w:val="green"/>
                <w:lang w:val="en-GB"/>
              </w:rPr>
            </w:pPr>
            <w:r w:rsidRPr="00A5127D">
              <w:rPr>
                <w:rFonts w:eastAsia="Times New Roman" w:cs="Times New Roman"/>
                <w:color w:val="000000"/>
                <w:szCs w:val="20"/>
                <w:highlight w:val="green"/>
                <w:shd w:val="clear" w:color="auto" w:fill="92D050"/>
                <w:lang w:val="en-GB"/>
              </w:rPr>
              <w:t>No power saving specific requirements, e.g., L1 measurements relaxation for multi-Rx operation, are considered in the WI.</w:t>
            </w:r>
          </w:p>
          <w:p w14:paraId="05997BB6" w14:textId="77777777" w:rsidR="008879B0" w:rsidRPr="008879B0" w:rsidRDefault="008879B0" w:rsidP="008879B0">
            <w:pPr>
              <w:spacing w:after="180"/>
              <w:ind w:left="540"/>
              <w:rPr>
                <w:rFonts w:eastAsia="Times New Roman" w:cs="Times New Roman"/>
                <w:color w:val="000000"/>
                <w:szCs w:val="20"/>
                <w:lang w:val="en-GB"/>
              </w:rPr>
            </w:pPr>
            <w:r w:rsidRPr="008879B0">
              <w:rPr>
                <w:rFonts w:eastAsia="Times New Roman" w:cs="Times New Roman"/>
                <w:b/>
                <w:bCs/>
                <w:color w:val="000000"/>
                <w:szCs w:val="20"/>
                <w:u w:val="single"/>
                <w:lang w:val="en-GB"/>
              </w:rPr>
              <w:t>Issue 1-2-2: UE architectures</w:t>
            </w:r>
          </w:p>
          <w:p w14:paraId="6C2B987B" w14:textId="77777777" w:rsidR="008879B0" w:rsidRPr="008879B0" w:rsidRDefault="008879B0" w:rsidP="008879B0">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t>&lt;Agreement &gt;:</w:t>
            </w:r>
          </w:p>
          <w:p w14:paraId="5F859CB2" w14:textId="77777777" w:rsidR="008879B0" w:rsidRPr="00A5127D" w:rsidRDefault="008879B0" w:rsidP="00042CC2">
            <w:pPr>
              <w:numPr>
                <w:ilvl w:val="0"/>
                <w:numId w:val="13"/>
              </w:numPr>
              <w:spacing w:after="120"/>
              <w:textAlignment w:val="center"/>
              <w:rPr>
                <w:rFonts w:ascii="Calibri" w:eastAsia="Times New Roman" w:hAnsi="Calibri" w:cs="Calibri"/>
                <w:sz w:val="22"/>
                <w:highlight w:val="green"/>
                <w:lang w:val="en-GB"/>
              </w:rPr>
            </w:pPr>
            <w:r w:rsidRPr="00A5127D">
              <w:rPr>
                <w:rFonts w:eastAsia="Times New Roman" w:cs="Times New Roman"/>
                <w:color w:val="000000"/>
                <w:szCs w:val="20"/>
                <w:highlight w:val="green"/>
                <w:shd w:val="clear" w:color="auto" w:fill="92D050"/>
                <w:lang w:val="en-GB"/>
              </w:rPr>
              <w:t>Multi-Rx architecture impact to RRM requirements can be considered on a case-by-case basis, if needed</w:t>
            </w:r>
          </w:p>
          <w:p w14:paraId="0E17F572" w14:textId="14260B1E" w:rsidR="008879B0" w:rsidRDefault="008879B0" w:rsidP="008879B0">
            <w:pPr>
              <w:spacing w:after="120"/>
              <w:ind w:left="360"/>
              <w:textAlignment w:val="center"/>
              <w:rPr>
                <w:rFonts w:ascii="Calibri" w:eastAsia="Times New Roman" w:hAnsi="Calibri" w:cs="Calibri"/>
                <w:sz w:val="22"/>
                <w:lang w:val="en-GB"/>
              </w:rPr>
            </w:pPr>
          </w:p>
          <w:p w14:paraId="58BF256A" w14:textId="77777777" w:rsidR="008879B0" w:rsidRPr="008879B0" w:rsidRDefault="008879B0" w:rsidP="00042CC2">
            <w:pPr>
              <w:numPr>
                <w:ilvl w:val="0"/>
                <w:numId w:val="14"/>
              </w:numPr>
              <w:spacing w:before="180" w:after="180"/>
              <w:textAlignment w:val="center"/>
              <w:rPr>
                <w:rFonts w:ascii="Arial" w:eastAsia="Times New Roman" w:hAnsi="Arial" w:cs="Arial"/>
                <w:sz w:val="28"/>
                <w:szCs w:val="28"/>
                <w:lang w:val="sv-SE"/>
              </w:rPr>
            </w:pPr>
            <w:proofErr w:type="spellStart"/>
            <w:r w:rsidRPr="008879B0">
              <w:rPr>
                <w:rFonts w:ascii="Arial" w:eastAsia="Times New Roman" w:hAnsi="Arial" w:cs="Arial"/>
                <w:sz w:val="24"/>
                <w:szCs w:val="24"/>
                <w:lang w:val="sv-SE"/>
              </w:rPr>
              <w:t>Sub-topic</w:t>
            </w:r>
            <w:proofErr w:type="spellEnd"/>
            <w:r w:rsidRPr="008879B0">
              <w:rPr>
                <w:rFonts w:ascii="Arial" w:eastAsia="Times New Roman" w:hAnsi="Arial" w:cs="Arial"/>
                <w:sz w:val="24"/>
                <w:szCs w:val="24"/>
                <w:lang w:val="sv-SE"/>
              </w:rPr>
              <w:t xml:space="preserve"> 1-4: UE </w:t>
            </w:r>
            <w:proofErr w:type="spellStart"/>
            <w:r w:rsidRPr="008879B0">
              <w:rPr>
                <w:rFonts w:ascii="Arial" w:eastAsia="Times New Roman" w:hAnsi="Arial" w:cs="Arial"/>
                <w:sz w:val="24"/>
                <w:szCs w:val="24"/>
                <w:lang w:val="sv-SE"/>
              </w:rPr>
              <w:t>capability</w:t>
            </w:r>
            <w:proofErr w:type="spellEnd"/>
          </w:p>
          <w:p w14:paraId="380B348A" w14:textId="77777777" w:rsidR="008879B0" w:rsidRPr="008879B0" w:rsidRDefault="008879B0" w:rsidP="008879B0">
            <w:pPr>
              <w:spacing w:after="120"/>
              <w:ind w:left="540"/>
              <w:rPr>
                <w:rFonts w:eastAsia="Times New Roman" w:cs="Times New Roman"/>
                <w:color w:val="000000"/>
                <w:szCs w:val="20"/>
                <w:lang w:val="en-GB"/>
              </w:rPr>
            </w:pPr>
            <w:r w:rsidRPr="008879B0">
              <w:rPr>
                <w:rFonts w:eastAsia="Times New Roman" w:cs="Times New Roman"/>
                <w:b/>
                <w:bCs/>
                <w:color w:val="000000"/>
                <w:szCs w:val="20"/>
                <w:u w:val="single"/>
                <w:lang w:val="en-GB"/>
              </w:rPr>
              <w:t xml:space="preserve">Issue 1-4-1: Clarification/understanding on R16 UE </w:t>
            </w:r>
            <w:proofErr w:type="spellStart"/>
            <w:r w:rsidRPr="008879B0">
              <w:rPr>
                <w:rFonts w:eastAsia="Times New Roman" w:cs="Times New Roman"/>
                <w:b/>
                <w:bCs/>
                <w:color w:val="000000"/>
                <w:szCs w:val="20"/>
                <w:u w:val="single"/>
                <w:lang w:val="en-GB"/>
              </w:rPr>
              <w:t>capabilitiy</w:t>
            </w:r>
            <w:proofErr w:type="spellEnd"/>
            <w:r w:rsidRPr="008879B0">
              <w:rPr>
                <w:rFonts w:eastAsia="Times New Roman" w:cs="Times New Roman"/>
                <w:b/>
                <w:bCs/>
                <w:color w:val="000000"/>
                <w:szCs w:val="20"/>
                <w:u w:val="single"/>
                <w:lang w:val="en-GB"/>
              </w:rPr>
              <w:t xml:space="preserve"> </w:t>
            </w:r>
            <w:proofErr w:type="spellStart"/>
            <w:r w:rsidRPr="008879B0">
              <w:rPr>
                <w:rFonts w:eastAsia="Times New Roman" w:cs="Times New Roman"/>
                <w:b/>
                <w:bCs/>
                <w:i/>
                <w:iCs/>
                <w:color w:val="000000"/>
                <w:szCs w:val="20"/>
                <w:u w:val="single"/>
                <w:lang w:val="en-GB"/>
              </w:rPr>
              <w:t>simultaneousReceptionDiffTypeD</w:t>
            </w:r>
            <w:proofErr w:type="spellEnd"/>
          </w:p>
          <w:p w14:paraId="20EB7497" w14:textId="77777777" w:rsidR="008879B0" w:rsidRPr="008879B0" w:rsidRDefault="008879B0" w:rsidP="008879B0">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t>&lt;Agreement &gt;:</w:t>
            </w:r>
          </w:p>
          <w:p w14:paraId="03E49243" w14:textId="77777777" w:rsidR="008879B0" w:rsidRPr="008879B0" w:rsidRDefault="008879B0" w:rsidP="00042CC2">
            <w:pPr>
              <w:numPr>
                <w:ilvl w:val="0"/>
                <w:numId w:val="15"/>
              </w:numPr>
              <w:spacing w:after="120"/>
              <w:textAlignment w:val="center"/>
              <w:rPr>
                <w:rFonts w:ascii="Calibri" w:eastAsia="Times New Roman" w:hAnsi="Calibri" w:cs="Calibri"/>
                <w:sz w:val="22"/>
                <w:lang w:val="en-GB"/>
              </w:rPr>
            </w:pPr>
            <w:r w:rsidRPr="008879B0">
              <w:rPr>
                <w:rFonts w:eastAsia="Times New Roman" w:cs="Times New Roman"/>
                <w:szCs w:val="20"/>
                <w:highlight w:val="green"/>
                <w:lang w:val="en-GB"/>
              </w:rPr>
              <w:t xml:space="preserve">It is RAN4 understanding that the R16 UE capability </w:t>
            </w:r>
            <w:proofErr w:type="spellStart"/>
            <w:r w:rsidRPr="008879B0">
              <w:rPr>
                <w:rFonts w:eastAsia="Times New Roman" w:cs="Times New Roman"/>
                <w:i/>
                <w:iCs/>
                <w:szCs w:val="20"/>
                <w:highlight w:val="green"/>
                <w:lang w:val="en-GB"/>
              </w:rPr>
              <w:t>simultaneousReceptionDiffTypeD</w:t>
            </w:r>
            <w:proofErr w:type="spellEnd"/>
            <w:r w:rsidRPr="008879B0">
              <w:rPr>
                <w:rFonts w:eastAsia="Times New Roman" w:cs="Times New Roman"/>
                <w:szCs w:val="20"/>
                <w:highlight w:val="green"/>
                <w:lang w:val="en-GB"/>
              </w:rPr>
              <w:t xml:space="preserve"> is only applicable for simultaneous PDSCH reception.</w:t>
            </w:r>
          </w:p>
          <w:p w14:paraId="72CBB9CD" w14:textId="77777777" w:rsidR="008879B0" w:rsidRPr="008879B0" w:rsidRDefault="008879B0" w:rsidP="008879B0">
            <w:pPr>
              <w:spacing w:after="180"/>
              <w:ind w:left="540"/>
              <w:rPr>
                <w:rFonts w:eastAsia="Times New Roman" w:cs="Times New Roman"/>
                <w:color w:val="0070C0"/>
                <w:szCs w:val="20"/>
                <w:lang w:val="en-GB"/>
              </w:rPr>
            </w:pPr>
            <w:r w:rsidRPr="008879B0">
              <w:rPr>
                <w:rFonts w:eastAsia="Times New Roman" w:cs="Times New Roman"/>
                <w:b/>
                <w:bCs/>
                <w:i/>
                <w:iCs/>
                <w:color w:val="0070C0"/>
                <w:szCs w:val="20"/>
                <w:lang w:val="en-GB"/>
              </w:rPr>
              <w:t> </w:t>
            </w:r>
          </w:p>
          <w:p w14:paraId="0CA3E6C9" w14:textId="77777777" w:rsidR="008879B0" w:rsidRPr="008879B0" w:rsidRDefault="008879B0" w:rsidP="008879B0">
            <w:pPr>
              <w:spacing w:after="180"/>
              <w:ind w:left="540"/>
              <w:rPr>
                <w:rFonts w:eastAsia="Times New Roman" w:cs="Times New Roman"/>
                <w:color w:val="000000"/>
                <w:szCs w:val="20"/>
                <w:lang w:val="en-GB"/>
              </w:rPr>
            </w:pPr>
            <w:r w:rsidRPr="008879B0">
              <w:rPr>
                <w:rFonts w:eastAsia="Times New Roman" w:cs="Times New Roman"/>
                <w:b/>
                <w:bCs/>
                <w:color w:val="000000"/>
                <w:szCs w:val="20"/>
                <w:u w:val="single"/>
                <w:lang w:val="en-GB"/>
              </w:rPr>
              <w:t>Issue 1-4-2: UE capability for simultaneous reception in Rel-18</w:t>
            </w:r>
          </w:p>
          <w:p w14:paraId="06D9637F" w14:textId="77777777" w:rsidR="008879B0" w:rsidRPr="008879B0" w:rsidRDefault="008879B0" w:rsidP="008879B0">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t>&lt;Agreement &gt;:</w:t>
            </w:r>
          </w:p>
          <w:p w14:paraId="5CCAB4A2" w14:textId="77777777" w:rsidR="008879B0" w:rsidRPr="008879B0" w:rsidRDefault="008879B0" w:rsidP="00042CC2">
            <w:pPr>
              <w:numPr>
                <w:ilvl w:val="0"/>
                <w:numId w:val="16"/>
              </w:numPr>
              <w:spacing w:after="120"/>
              <w:textAlignment w:val="center"/>
              <w:rPr>
                <w:rFonts w:ascii="Calibri" w:eastAsia="Times New Roman" w:hAnsi="Calibri" w:cs="Calibri"/>
                <w:sz w:val="22"/>
                <w:lang w:val="en-GB"/>
              </w:rPr>
            </w:pPr>
            <w:r w:rsidRPr="008879B0">
              <w:rPr>
                <w:rFonts w:eastAsia="Times New Roman" w:cs="Times New Roman"/>
                <w:szCs w:val="20"/>
                <w:highlight w:val="green"/>
                <w:lang w:val="en-GB"/>
              </w:rPr>
              <w:t>The issue is postponed until there is sufficient progress on requirements.</w:t>
            </w:r>
          </w:p>
          <w:p w14:paraId="67809F37" w14:textId="77777777" w:rsidR="008879B0" w:rsidRPr="008879B0" w:rsidRDefault="008879B0" w:rsidP="008879B0">
            <w:pPr>
              <w:spacing w:after="180"/>
              <w:ind w:left="540"/>
              <w:rPr>
                <w:rFonts w:eastAsia="Times New Roman" w:cs="Times New Roman"/>
                <w:color w:val="0070C0"/>
                <w:szCs w:val="20"/>
                <w:lang w:val="en-GB"/>
              </w:rPr>
            </w:pPr>
            <w:r w:rsidRPr="008879B0">
              <w:rPr>
                <w:rFonts w:eastAsia="Times New Roman" w:cs="Times New Roman"/>
                <w:b/>
                <w:bCs/>
                <w:i/>
                <w:iCs/>
                <w:color w:val="0070C0"/>
                <w:szCs w:val="20"/>
                <w:lang w:val="en-GB"/>
              </w:rPr>
              <w:t> </w:t>
            </w:r>
          </w:p>
          <w:p w14:paraId="4C68DE31" w14:textId="77777777" w:rsidR="008879B0" w:rsidRPr="008879B0" w:rsidRDefault="008879B0" w:rsidP="008879B0">
            <w:pPr>
              <w:spacing w:after="180"/>
              <w:ind w:left="540"/>
              <w:rPr>
                <w:rFonts w:eastAsia="Times New Roman" w:cs="Times New Roman"/>
                <w:color w:val="000000"/>
                <w:szCs w:val="20"/>
                <w:lang w:val="en-GB"/>
              </w:rPr>
            </w:pPr>
            <w:r w:rsidRPr="008879B0">
              <w:rPr>
                <w:rFonts w:eastAsia="Times New Roman" w:cs="Times New Roman"/>
                <w:b/>
                <w:bCs/>
                <w:color w:val="000000"/>
                <w:szCs w:val="20"/>
                <w:u w:val="single"/>
                <w:lang w:val="en-GB"/>
              </w:rPr>
              <w:t xml:space="preserve">Issue 1-4-3a: UE capability of </w:t>
            </w:r>
            <w:r w:rsidRPr="008879B0">
              <w:rPr>
                <w:rFonts w:eastAsia="Times New Roman" w:cs="Times New Roman"/>
                <w:b/>
                <w:bCs/>
                <w:i/>
                <w:iCs/>
                <w:color w:val="000000"/>
                <w:szCs w:val="20"/>
                <w:u w:val="single"/>
                <w:lang w:val="en-GB"/>
              </w:rPr>
              <w:t>simultaneousRxDataSSB-DiffNumerology-Inter-r16</w:t>
            </w:r>
          </w:p>
          <w:p w14:paraId="6E20D624" w14:textId="77777777" w:rsidR="008879B0" w:rsidRPr="008879B0" w:rsidRDefault="008879B0" w:rsidP="008879B0">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t>&lt;Agreement &gt;:</w:t>
            </w:r>
          </w:p>
          <w:p w14:paraId="7CC402D5" w14:textId="77777777" w:rsidR="008879B0" w:rsidRPr="008879B0" w:rsidRDefault="008879B0" w:rsidP="00042CC2">
            <w:pPr>
              <w:numPr>
                <w:ilvl w:val="0"/>
                <w:numId w:val="17"/>
              </w:numPr>
              <w:spacing w:after="120"/>
              <w:textAlignment w:val="center"/>
              <w:rPr>
                <w:rFonts w:ascii="Calibri" w:eastAsia="Times New Roman" w:hAnsi="Calibri" w:cs="Calibri"/>
                <w:sz w:val="22"/>
                <w:lang w:val="en-GB"/>
              </w:rPr>
            </w:pPr>
            <w:r w:rsidRPr="008879B0">
              <w:rPr>
                <w:rFonts w:eastAsia="Times New Roman" w:cs="Times New Roman"/>
                <w:color w:val="000000"/>
                <w:szCs w:val="20"/>
                <w:highlight w:val="green"/>
                <w:lang w:val="en-GB"/>
              </w:rPr>
              <w:t xml:space="preserve">No need to discuss </w:t>
            </w:r>
            <w:r w:rsidRPr="008879B0">
              <w:rPr>
                <w:rFonts w:eastAsia="Times New Roman" w:cs="Times New Roman"/>
                <w:i/>
                <w:iCs/>
                <w:color w:val="000000"/>
                <w:szCs w:val="20"/>
                <w:highlight w:val="green"/>
                <w:lang w:val="en-GB"/>
              </w:rPr>
              <w:t>simultaneousRxDataSSB-DiffNumerology-Inter-r16</w:t>
            </w:r>
            <w:r w:rsidRPr="008879B0">
              <w:rPr>
                <w:rFonts w:eastAsia="Times New Roman" w:cs="Times New Roman"/>
                <w:color w:val="000000"/>
                <w:szCs w:val="20"/>
                <w:highlight w:val="green"/>
                <w:lang w:val="en-GB"/>
              </w:rPr>
              <w:t xml:space="preserve"> in R18 multi-Rx chains WI</w:t>
            </w:r>
          </w:p>
          <w:p w14:paraId="12853161" w14:textId="77777777" w:rsidR="008879B0" w:rsidRPr="008879B0" w:rsidRDefault="008879B0" w:rsidP="008879B0">
            <w:pPr>
              <w:spacing w:after="120"/>
              <w:ind w:left="360"/>
              <w:textAlignment w:val="center"/>
              <w:rPr>
                <w:rFonts w:ascii="Calibri" w:eastAsia="Times New Roman" w:hAnsi="Calibri" w:cs="Calibri"/>
                <w:sz w:val="22"/>
                <w:lang w:val="en-GB"/>
              </w:rPr>
            </w:pPr>
          </w:p>
          <w:p w14:paraId="35938A90" w14:textId="6A23A435" w:rsidR="008879B0" w:rsidRDefault="008879B0" w:rsidP="00300956"/>
        </w:tc>
      </w:tr>
    </w:tbl>
    <w:p w14:paraId="60898FF6" w14:textId="362A36F0" w:rsidR="00B66BAE" w:rsidRDefault="00B66BAE" w:rsidP="00300956"/>
    <w:p w14:paraId="26DBFC9E" w14:textId="770F56CD" w:rsidR="00CB22B2" w:rsidRDefault="004A0C4E" w:rsidP="00042CC2">
      <w:pPr>
        <w:pStyle w:val="RAN4H2"/>
        <w:ind w:left="431" w:hanging="431"/>
      </w:pPr>
      <w:r>
        <w:t xml:space="preserve">Problem Scenarios in </w:t>
      </w:r>
      <w:r w:rsidR="009A6C9B">
        <w:t xml:space="preserve">Simultaneous Reception </w:t>
      </w:r>
    </w:p>
    <w:p w14:paraId="15A1ADA9" w14:textId="7EB66E7C" w:rsidR="00534220" w:rsidRDefault="00534220" w:rsidP="00534220">
      <w:pPr>
        <w:rPr>
          <w:rStyle w:val="normaltextrun"/>
          <w:szCs w:val="20"/>
        </w:rPr>
      </w:pPr>
      <w:r>
        <w:rPr>
          <w:rStyle w:val="normaltextrun"/>
          <w:szCs w:val="20"/>
        </w:rPr>
        <w:t>RAN4 agreed to use Rel-17 group-based beam reporting as a prerequisite for multi-Rx reception in Rel-18. In group-based beam reporting</w:t>
      </w:r>
      <w:r w:rsidRPr="00980A26">
        <w:rPr>
          <w:rStyle w:val="normaltextrun"/>
          <w:szCs w:val="20"/>
        </w:rPr>
        <w:t xml:space="preserve"> the UE reports N groups/pairs (i.e. beams that can be simultaneously received) of M beams (i.e. at least 2 beams in one group). The pairing is done by the UE according to its capabilities as exemplified in Figure </w:t>
      </w:r>
      <w:r w:rsidR="00B33D87">
        <w:rPr>
          <w:rStyle w:val="normaltextrun"/>
          <w:szCs w:val="20"/>
        </w:rPr>
        <w:t>2</w:t>
      </w:r>
      <w:r w:rsidRPr="00980A26">
        <w:rPr>
          <w:rStyle w:val="normaltextrun"/>
          <w:szCs w:val="20"/>
        </w:rPr>
        <w:t xml:space="preserve"> with a 3-panel UE and 2 Rx chains.</w:t>
      </w:r>
    </w:p>
    <w:p w14:paraId="768FEE67" w14:textId="77777777" w:rsidR="00534220" w:rsidRPr="00980A26" w:rsidRDefault="00534220" w:rsidP="00534220">
      <w:pPr>
        <w:rPr>
          <w:rStyle w:val="normaltextrun"/>
          <w:szCs w:val="20"/>
        </w:rPr>
      </w:pPr>
    </w:p>
    <w:p w14:paraId="0AB9E699" w14:textId="77777777" w:rsidR="00534220" w:rsidRDefault="00534220" w:rsidP="00534220">
      <w:r w:rsidRPr="7162E650">
        <w:rPr>
          <w:rFonts w:ascii="Arial" w:eastAsia="Arial" w:hAnsi="Arial" w:cs="Arial"/>
          <w:lang w:val="en-GB"/>
        </w:rPr>
        <w:t xml:space="preserve"> </w:t>
      </w:r>
      <w:r>
        <w:rPr>
          <w:noProof/>
        </w:rPr>
        <w:drawing>
          <wp:inline distT="0" distB="0" distL="0" distR="0" wp14:anchorId="211790CA" wp14:editId="201A5380">
            <wp:extent cx="4572000" cy="2371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572000" cy="2371725"/>
                    </a:xfrm>
                    <a:prstGeom prst="rect">
                      <a:avLst/>
                    </a:prstGeom>
                  </pic:spPr>
                </pic:pic>
              </a:graphicData>
            </a:graphic>
          </wp:inline>
        </w:drawing>
      </w:r>
    </w:p>
    <w:p w14:paraId="18D034C1" w14:textId="77777777" w:rsidR="00534220" w:rsidRDefault="00534220" w:rsidP="00534220">
      <w:pPr>
        <w:pStyle w:val="Caption"/>
      </w:pPr>
      <w:r>
        <w:lastRenderedPageBreak/>
        <w:t xml:space="preserve">Figure </w:t>
      </w:r>
      <w:fldSimple w:instr=" SEQ Figure \* ARABIC ">
        <w:r>
          <w:rPr>
            <w:noProof/>
          </w:rPr>
          <w:t>2</w:t>
        </w:r>
      </w:fldSimple>
      <w:r>
        <w:t xml:space="preserve">: </w:t>
      </w:r>
      <w:r w:rsidRPr="00980A26">
        <w:rPr>
          <w:rStyle w:val="normaltextrun"/>
          <w:sz w:val="20"/>
          <w:szCs w:val="20"/>
        </w:rPr>
        <w:t>Group Based Beam Reporting</w:t>
      </w:r>
    </w:p>
    <w:p w14:paraId="06849A4C" w14:textId="41A39365" w:rsidR="00534220" w:rsidRPr="00382CAC" w:rsidRDefault="00534220" w:rsidP="007464ED">
      <w:pPr>
        <w:jc w:val="both"/>
      </w:pPr>
      <w:r w:rsidRPr="003D5015">
        <w:t xml:space="preserve">The number of groups N is </w:t>
      </w:r>
      <w:r w:rsidRPr="00EB778F">
        <w:t xml:space="preserve">reported to TRP and max(N) per CSI report is a UE capability where the UE chooses among {1,2,3,4}. Therefore, in Figure </w:t>
      </w:r>
      <w:r w:rsidR="00EB437F" w:rsidRPr="00EB778F">
        <w:t>2</w:t>
      </w:r>
      <w:r w:rsidRPr="00EB778F">
        <w:t>, although the UE can receive five beam pairs simultaneously, the UE will only report up to four groups.</w:t>
      </w:r>
    </w:p>
    <w:p w14:paraId="28200258" w14:textId="3D3C42C6" w:rsidR="00534220" w:rsidRDefault="00784833" w:rsidP="007464ED">
      <w:pPr>
        <w:jc w:val="both"/>
      </w:pPr>
      <w:r>
        <w:t xml:space="preserve">In </w:t>
      </w:r>
      <w:r w:rsidR="00534220">
        <w:t>the previous RAN4 meetings companies have brought up the issue about UE and network behavior in the scenario, where a UE that is indicated or already receiving a beam pair based on an earlier group-based beam report can no longer receive the beams in that beam pair simultaneously. The issue has been brought up e.g. under the TCI state switching agenda item, but we think the issue is more related to the principle of simultaneous reception, which is why we prefer to discuss it here under the agenda item about general aspects.</w:t>
      </w:r>
    </w:p>
    <w:tbl>
      <w:tblPr>
        <w:tblStyle w:val="TableGrid"/>
        <w:tblW w:w="0" w:type="auto"/>
        <w:tblLook w:val="04A0" w:firstRow="1" w:lastRow="0" w:firstColumn="1" w:lastColumn="0" w:noHBand="0" w:noVBand="1"/>
      </w:tblPr>
      <w:tblGrid>
        <w:gridCol w:w="9350"/>
      </w:tblGrid>
      <w:tr w:rsidR="00534220" w14:paraId="0B0B0E98" w14:textId="77777777">
        <w:tc>
          <w:tcPr>
            <w:tcW w:w="9350" w:type="dxa"/>
          </w:tcPr>
          <w:p w14:paraId="6F06AE4D" w14:textId="77777777" w:rsidR="00534220" w:rsidRDefault="00534220" w:rsidP="007464ED">
            <w:pPr>
              <w:pStyle w:val="paragraph"/>
              <w:spacing w:before="0" w:beforeAutospacing="0" w:after="0" w:afterAutospacing="0"/>
              <w:jc w:val="both"/>
              <w:textAlignment w:val="baseline"/>
              <w:rPr>
                <w:rStyle w:val="eop"/>
                <w:sz w:val="20"/>
                <w:szCs w:val="20"/>
              </w:rPr>
            </w:pPr>
            <w:r w:rsidRPr="00771E15">
              <w:rPr>
                <w:rStyle w:val="normaltextrun"/>
                <w:b/>
                <w:bCs/>
                <w:sz w:val="20"/>
                <w:szCs w:val="20"/>
                <w:u w:val="single"/>
                <w:lang w:val="en-GB"/>
              </w:rPr>
              <w:t>Issue 2-1-4: UE behaviour when TCI states are not supported </w:t>
            </w:r>
          </w:p>
          <w:p w14:paraId="6E59B2FC" w14:textId="77777777" w:rsidR="00534220" w:rsidRPr="00771E15" w:rsidRDefault="00534220" w:rsidP="007464ED">
            <w:pPr>
              <w:pStyle w:val="paragraph"/>
              <w:spacing w:before="0" w:beforeAutospacing="0" w:after="0" w:afterAutospacing="0"/>
              <w:jc w:val="both"/>
              <w:textAlignment w:val="baseline"/>
              <w:rPr>
                <w:sz w:val="22"/>
                <w:szCs w:val="22"/>
              </w:rPr>
            </w:pPr>
          </w:p>
          <w:p w14:paraId="023466DC" w14:textId="77777777" w:rsidR="00534220" w:rsidRPr="00771E15" w:rsidRDefault="00534220" w:rsidP="007464ED">
            <w:pPr>
              <w:pStyle w:val="paragraph"/>
              <w:numPr>
                <w:ilvl w:val="0"/>
                <w:numId w:val="44"/>
              </w:numPr>
              <w:spacing w:before="0" w:beforeAutospacing="0" w:after="0" w:afterAutospacing="0"/>
              <w:jc w:val="both"/>
              <w:textAlignment w:val="baseline"/>
              <w:rPr>
                <w:sz w:val="22"/>
                <w:szCs w:val="22"/>
              </w:rPr>
            </w:pPr>
            <w:r w:rsidRPr="00771E15">
              <w:rPr>
                <w:rStyle w:val="normaltextrun"/>
                <w:sz w:val="20"/>
                <w:szCs w:val="20"/>
                <w:lang w:val="en-GB"/>
              </w:rPr>
              <w:t>Proposal 1: RAN4 to investigate the UE behaviour when it is not able to receive simultaneously on the dual TCI states.</w:t>
            </w:r>
            <w:r w:rsidRPr="00771E15">
              <w:rPr>
                <w:rStyle w:val="eop"/>
                <w:sz w:val="20"/>
                <w:szCs w:val="20"/>
              </w:rPr>
              <w:t> </w:t>
            </w:r>
          </w:p>
          <w:p w14:paraId="2F5ABC65" w14:textId="77777777" w:rsidR="00534220" w:rsidRPr="00771E15" w:rsidRDefault="00534220" w:rsidP="007464ED">
            <w:pPr>
              <w:pStyle w:val="paragraph"/>
              <w:numPr>
                <w:ilvl w:val="0"/>
                <w:numId w:val="44"/>
              </w:numPr>
              <w:spacing w:before="0" w:beforeAutospacing="0" w:after="0" w:afterAutospacing="0"/>
              <w:jc w:val="both"/>
              <w:textAlignment w:val="baseline"/>
              <w:rPr>
                <w:sz w:val="22"/>
                <w:szCs w:val="22"/>
              </w:rPr>
            </w:pPr>
            <w:r w:rsidRPr="00771E15">
              <w:rPr>
                <w:rStyle w:val="normaltextrun"/>
                <w:sz w:val="20"/>
                <w:szCs w:val="20"/>
                <w:lang w:val="en-GB"/>
              </w:rPr>
              <w:t>Proposal 2: It is proposed to discuss and decide UE behaviour in case the UE does not support the two configured target TCI states simultaneously.</w:t>
            </w:r>
            <w:r w:rsidRPr="00771E15">
              <w:rPr>
                <w:rStyle w:val="eop"/>
                <w:sz w:val="20"/>
                <w:szCs w:val="20"/>
              </w:rPr>
              <w:t> </w:t>
            </w:r>
          </w:p>
          <w:p w14:paraId="46FA4A8E" w14:textId="77777777" w:rsidR="00534220" w:rsidRDefault="00534220" w:rsidP="007464ED">
            <w:pPr>
              <w:jc w:val="both"/>
            </w:pPr>
          </w:p>
        </w:tc>
      </w:tr>
    </w:tbl>
    <w:p w14:paraId="423B8B00" w14:textId="77777777" w:rsidR="00534220" w:rsidRDefault="00534220" w:rsidP="007464ED">
      <w:pPr>
        <w:jc w:val="both"/>
      </w:pPr>
    </w:p>
    <w:p w14:paraId="56366DF2" w14:textId="12A8BC11" w:rsidR="000C72F6" w:rsidRDefault="00534220" w:rsidP="007464ED">
      <w:pPr>
        <w:jc w:val="both"/>
      </w:pPr>
      <w:r>
        <w:t>To elaborate the issues of simultaneous beam reception further, at least the following scenarios may occur</w:t>
      </w:r>
      <w:r w:rsidR="00037AD1">
        <w:t xml:space="preserve"> as well:</w:t>
      </w:r>
    </w:p>
    <w:p w14:paraId="025322F2" w14:textId="0953281C" w:rsidR="00534220" w:rsidRDefault="00534220" w:rsidP="007464ED">
      <w:pPr>
        <w:pStyle w:val="ListParagraph"/>
        <w:numPr>
          <w:ilvl w:val="0"/>
          <w:numId w:val="45"/>
        </w:numPr>
        <w:jc w:val="both"/>
      </w:pPr>
      <w:r>
        <w:t>T</w:t>
      </w:r>
      <w:r w:rsidRPr="009E599F">
        <w:t xml:space="preserve">wo beam pairs have a good link quality for individual reception, but due to UE movement the beams become correlated and are not suitable for simultaneous reception. </w:t>
      </w:r>
    </w:p>
    <w:p w14:paraId="4A704FAB" w14:textId="224C6FCF" w:rsidR="00534220" w:rsidRDefault="00534220" w:rsidP="007464ED">
      <w:pPr>
        <w:pStyle w:val="ListParagraph"/>
        <w:numPr>
          <w:ilvl w:val="0"/>
          <w:numId w:val="45"/>
        </w:numPr>
        <w:jc w:val="both"/>
      </w:pPr>
      <w:r>
        <w:t>One</w:t>
      </w:r>
      <w:r w:rsidRPr="009E599F">
        <w:t xml:space="preserve"> </w:t>
      </w:r>
      <w:r>
        <w:t>or both</w:t>
      </w:r>
      <w:r w:rsidRPr="009E599F">
        <w:t xml:space="preserve"> beams from the pair could have been blocked by an obstacle and </w:t>
      </w:r>
      <w:r>
        <w:t xml:space="preserve">experience </w:t>
      </w:r>
      <w:r w:rsidRPr="009E599F">
        <w:t xml:space="preserve">low link quality even when scheduled individually. </w:t>
      </w:r>
    </w:p>
    <w:p w14:paraId="51AD2979" w14:textId="56EB2572" w:rsidR="00534220" w:rsidRDefault="00534220" w:rsidP="007464ED">
      <w:pPr>
        <w:jc w:val="both"/>
      </w:pPr>
      <w:r w:rsidRPr="004C21A4">
        <w:t>RAN1 has not defined any failure mechanism for th</w:t>
      </w:r>
      <w:r>
        <w:t>e described</w:t>
      </w:r>
      <w:r w:rsidRPr="004C21A4">
        <w:t xml:space="preserve"> scenario</w:t>
      </w:r>
      <w:r>
        <w:t>s</w:t>
      </w:r>
      <w:r w:rsidRPr="004C21A4">
        <w:t xml:space="preserve">, so </w:t>
      </w:r>
      <w:r>
        <w:t>the UE and network behavior in these scenarios is unclear. Network does not have visibility o</w:t>
      </w:r>
      <w:r w:rsidR="009F64D0">
        <w:t>f</w:t>
      </w:r>
      <w:r>
        <w:t xml:space="preserve"> the UE ability to receive two beams simultaneously other than based on the beam pairs that are reported in the group-based report. If the reporting periodicity is long, the network may get the information with a fairly long delay. </w:t>
      </w:r>
    </w:p>
    <w:p w14:paraId="7B1CEA15" w14:textId="021BD8D8" w:rsidR="00534220" w:rsidRDefault="00534220" w:rsidP="007464ED">
      <w:pPr>
        <w:pStyle w:val="RAN4observation0"/>
        <w:jc w:val="both"/>
      </w:pPr>
      <w:bookmarkStart w:id="5" w:name="_Toc135068431"/>
      <w:r>
        <w:t>When, due to changed UE conditions, the UE can no longer receive a beam pair simultaneously, based on the existing mechanism the network gets this information only at the next group-based report.</w:t>
      </w:r>
      <w:bookmarkEnd w:id="5"/>
    </w:p>
    <w:p w14:paraId="1F4D33BF" w14:textId="77777777" w:rsidR="00534220" w:rsidRDefault="00534220" w:rsidP="007464ED">
      <w:pPr>
        <w:jc w:val="both"/>
      </w:pPr>
      <w:r>
        <w:t xml:space="preserve">Furthermore, the network does not have visibility to the exact UE condition e.g. whether the UE can still receive each beam </w:t>
      </w:r>
      <w:r w:rsidRPr="009E599F">
        <w:t>individually</w:t>
      </w:r>
      <w:r>
        <w:t xml:space="preserve"> or which of the links causes link degradation</w:t>
      </w:r>
      <w:r w:rsidRPr="009E599F">
        <w:t xml:space="preserve">. Depending on the scenario in question, the network could decide to </w:t>
      </w:r>
      <w:r>
        <w:t xml:space="preserve">indicate a new beam pair, </w:t>
      </w:r>
      <w:r w:rsidRPr="009E599F">
        <w:t>schedule the UE using only one of the beams in the beam pair</w:t>
      </w:r>
      <w:r>
        <w:t>,</w:t>
      </w:r>
      <w:r w:rsidRPr="009E599F">
        <w:t xml:space="preserve"> or schedule the beam pair in a TDM manner. </w:t>
      </w:r>
    </w:p>
    <w:p w14:paraId="6FC6F3A3" w14:textId="45B04A98" w:rsidR="00534220" w:rsidRDefault="00534220" w:rsidP="007464ED">
      <w:pPr>
        <w:pStyle w:val="RAN4observation0"/>
        <w:jc w:val="both"/>
      </w:pPr>
      <w:bookmarkStart w:id="6" w:name="_Toc135068432"/>
      <w:r>
        <w:t>The network does not have visibility to the cause of the problem in simultaneous reception, and without this information the network may not be able to take the best next action.</w:t>
      </w:r>
      <w:bookmarkEnd w:id="6"/>
    </w:p>
    <w:p w14:paraId="3E7D9878" w14:textId="132D78B6" w:rsidR="00534220" w:rsidRDefault="007A1D77" w:rsidP="007464ED">
      <w:pPr>
        <w:jc w:val="both"/>
      </w:pPr>
      <w:bookmarkStart w:id="7" w:name="_Hlk134781586"/>
      <w:r>
        <w:t xml:space="preserve">To </w:t>
      </w:r>
      <w:r w:rsidR="00355002">
        <w:t>allow the network know</w:t>
      </w:r>
      <w:r>
        <w:t xml:space="preserve"> about </w:t>
      </w:r>
      <w:r w:rsidR="004E18F6">
        <w:t>a problem in simultaneous reception</w:t>
      </w:r>
      <w:r w:rsidR="00961FF8">
        <w:t xml:space="preserve">, we propose to consider introducing a UE indication to inform the network that the current beam pair being received can no longer be received simultaneously. </w:t>
      </w:r>
      <w:r w:rsidR="008F6DB1">
        <w:t>To add more information about the problem</w:t>
      </w:r>
      <w:r w:rsidR="00892CFD">
        <w:t xml:space="preserve"> scenario</w:t>
      </w:r>
      <w:r w:rsidR="008F6DB1">
        <w:t>, d</w:t>
      </w:r>
      <w:r w:rsidR="00534220" w:rsidRPr="009E599F">
        <w:t xml:space="preserve">istinction of different cases can be made </w:t>
      </w:r>
      <w:r w:rsidR="00534220">
        <w:t xml:space="preserve">by the UE </w:t>
      </w:r>
      <w:r w:rsidR="00534220" w:rsidRPr="009E599F">
        <w:t>in order for the network to make the best decision on which beams to schedule</w:t>
      </w:r>
      <w:r w:rsidR="00534220">
        <w:t>,</w:t>
      </w:r>
      <w:r w:rsidR="00534220" w:rsidRPr="009E599F">
        <w:t xml:space="preserve"> while it triggers new measurements in order to find another set of suitable beams for simultaneous reception.</w:t>
      </w:r>
      <w:r w:rsidR="00534220">
        <w:t xml:space="preserve"> </w:t>
      </w:r>
      <w:r w:rsidR="00FC6307">
        <w:t>For this purpose</w:t>
      </w:r>
      <w:r w:rsidR="00534220">
        <w:t>, we propose to include the cause of the problem to help the network to make the best decision about the next beam indication. The information may be sent to the network in e.g. UE assistance information or the next group-based report.</w:t>
      </w:r>
    </w:p>
    <w:p w14:paraId="734F0EEE" w14:textId="6AC3B201" w:rsidR="00534220" w:rsidRDefault="00534220" w:rsidP="00382CAC">
      <w:pPr>
        <w:pStyle w:val="RAN4proposal"/>
      </w:pPr>
      <w:bookmarkStart w:id="8" w:name="_Toc135068433"/>
      <w:bookmarkEnd w:id="7"/>
      <w:r>
        <w:t>Introduce UE indication to inform the network that the beam pair being currently received and reported can no longer be received simultaneously.</w:t>
      </w:r>
      <w:bookmarkEnd w:id="8"/>
    </w:p>
    <w:p w14:paraId="3AFCAA69" w14:textId="0A14E739" w:rsidR="00636970" w:rsidRPr="00636970" w:rsidRDefault="00534220" w:rsidP="00636970">
      <w:pPr>
        <w:pStyle w:val="RAN4proposal"/>
      </w:pPr>
      <w:bookmarkStart w:id="9" w:name="_Toc135068434"/>
      <w:r w:rsidRPr="003B49F2">
        <w:t>Introduce UE indication to inform the network about the cause of m-TRP link degradation</w:t>
      </w:r>
      <w:r w:rsidR="005D576A">
        <w:t>, the ca</w:t>
      </w:r>
      <w:r w:rsidR="0013189E">
        <w:t>uses including</w:t>
      </w:r>
      <w:r w:rsidR="00B02054">
        <w:t xml:space="preserve"> at least</w:t>
      </w:r>
      <w:r w:rsidR="0099089F">
        <w:t>:</w:t>
      </w:r>
      <w:bookmarkEnd w:id="9"/>
    </w:p>
    <w:p w14:paraId="0A2251FE" w14:textId="472160B0" w:rsidR="00534220" w:rsidRPr="00382CAC" w:rsidRDefault="00534220" w:rsidP="00382CAC">
      <w:pPr>
        <w:pStyle w:val="RAN4proposal"/>
        <w:numPr>
          <w:ilvl w:val="0"/>
          <w:numId w:val="46"/>
        </w:numPr>
        <w:rPr>
          <w:rFonts w:cs="Times New Roman"/>
        </w:rPr>
      </w:pPr>
      <w:bookmarkStart w:id="10" w:name="_Toc135068435"/>
      <w:r w:rsidRPr="00382CAC">
        <w:rPr>
          <w:rFonts w:cs="Times New Roman"/>
        </w:rPr>
        <w:t xml:space="preserve">Case 1: </w:t>
      </w:r>
      <w:r w:rsidR="00636970" w:rsidRPr="00636970">
        <w:rPr>
          <w:rFonts w:cs="Times New Roman"/>
          <w:bCs/>
        </w:rPr>
        <w:t>Both TCI states can be received separat</w:t>
      </w:r>
      <w:r w:rsidR="00636970">
        <w:rPr>
          <w:rFonts w:cs="Times New Roman"/>
          <w:bCs/>
        </w:rPr>
        <w:t>ely</w:t>
      </w:r>
      <w:r w:rsidR="00636970" w:rsidRPr="00636970">
        <w:rPr>
          <w:rFonts w:cs="Times New Roman"/>
          <w:bCs/>
        </w:rPr>
        <w:t>, but not simultaneously</w:t>
      </w:r>
      <w:bookmarkEnd w:id="10"/>
    </w:p>
    <w:p w14:paraId="61B03A90" w14:textId="01FBE90A" w:rsidR="00534220" w:rsidRPr="00382CAC" w:rsidRDefault="00534220" w:rsidP="00382CAC">
      <w:pPr>
        <w:pStyle w:val="RAN4proposal"/>
        <w:numPr>
          <w:ilvl w:val="0"/>
          <w:numId w:val="46"/>
        </w:numPr>
        <w:rPr>
          <w:rFonts w:cs="Times New Roman"/>
        </w:rPr>
      </w:pPr>
      <w:bookmarkStart w:id="11" w:name="_Toc135068436"/>
      <w:r w:rsidRPr="00382CAC">
        <w:rPr>
          <w:rFonts w:cs="Times New Roman"/>
        </w:rPr>
        <w:t xml:space="preserve">Case 2: </w:t>
      </w:r>
      <w:r w:rsidR="007C6EDF">
        <w:rPr>
          <w:rFonts w:cs="Times New Roman"/>
        </w:rPr>
        <w:t>S</w:t>
      </w:r>
      <w:r w:rsidRPr="00382CAC">
        <w:rPr>
          <w:rFonts w:cs="Times New Roman"/>
        </w:rPr>
        <w:t>ingle TCI state is experiencing link degradation (UE indicates the TCI state ID)</w:t>
      </w:r>
      <w:bookmarkEnd w:id="11"/>
    </w:p>
    <w:p w14:paraId="40C3967B" w14:textId="3FBF998A" w:rsidR="007522C6" w:rsidRDefault="00534220" w:rsidP="007522C6">
      <w:pPr>
        <w:pStyle w:val="RAN4proposal"/>
        <w:numPr>
          <w:ilvl w:val="0"/>
          <w:numId w:val="46"/>
        </w:numPr>
        <w:rPr>
          <w:rFonts w:cs="Times New Roman"/>
          <w:bCs/>
        </w:rPr>
      </w:pPr>
      <w:bookmarkStart w:id="12" w:name="_Toc135068437"/>
      <w:r w:rsidRPr="00382CAC">
        <w:rPr>
          <w:rFonts w:cs="Times New Roman"/>
        </w:rPr>
        <w:lastRenderedPageBreak/>
        <w:t xml:space="preserve">Case 3: </w:t>
      </w:r>
      <w:r w:rsidR="007C6EDF">
        <w:rPr>
          <w:rFonts w:cs="Times New Roman"/>
        </w:rPr>
        <w:t>B</w:t>
      </w:r>
      <w:r w:rsidRPr="00382CAC">
        <w:rPr>
          <w:rFonts w:cs="Times New Roman"/>
        </w:rPr>
        <w:t xml:space="preserve">oth TCI states expedience </w:t>
      </w:r>
      <w:r w:rsidR="00D53C85">
        <w:rPr>
          <w:rFonts w:cs="Times New Roman"/>
        </w:rPr>
        <w:t xml:space="preserve">link </w:t>
      </w:r>
      <w:r w:rsidRPr="00382CAC">
        <w:rPr>
          <w:rFonts w:cs="Times New Roman"/>
        </w:rPr>
        <w:t>degradation</w:t>
      </w:r>
      <w:bookmarkEnd w:id="12"/>
    </w:p>
    <w:p w14:paraId="2A70C34D" w14:textId="19667B8C" w:rsidR="00534220" w:rsidRPr="003B49F2" w:rsidRDefault="00534220" w:rsidP="00861A65">
      <w:r w:rsidRPr="003B49F2">
        <w:t xml:space="preserve">The details of the exact signaling is up to RAN2 to define. Therefore, based on RAN4 agreements, RAN2 should be informed about the need of such signaling </w:t>
      </w:r>
      <w:r w:rsidR="00715220">
        <w:t>through</w:t>
      </w:r>
      <w:r w:rsidRPr="003B49F2">
        <w:t xml:space="preserve"> an LS.</w:t>
      </w:r>
    </w:p>
    <w:p w14:paraId="430139EA" w14:textId="081761C5" w:rsidR="00534220" w:rsidRPr="003B49F2" w:rsidRDefault="00534220" w:rsidP="00382CAC">
      <w:pPr>
        <w:pStyle w:val="RAN4proposal"/>
      </w:pPr>
      <w:bookmarkStart w:id="13" w:name="_Toc135068438"/>
      <w:r w:rsidRPr="003B49F2">
        <w:t xml:space="preserve">Send LS to RAN2 requesting signaling support for </w:t>
      </w:r>
      <w:proofErr w:type="spellStart"/>
      <w:r w:rsidRPr="003B49F2">
        <w:t>mTRP</w:t>
      </w:r>
      <w:proofErr w:type="spellEnd"/>
      <w:r w:rsidRPr="003B49F2">
        <w:t xml:space="preserve"> link degradation indication.</w:t>
      </w:r>
      <w:bookmarkEnd w:id="13"/>
      <w:r w:rsidRPr="003B49F2">
        <w:t xml:space="preserve"> </w:t>
      </w:r>
    </w:p>
    <w:p w14:paraId="4D3C7642" w14:textId="77777777" w:rsidR="00F821D1" w:rsidRPr="00382CAC" w:rsidRDefault="00F821D1" w:rsidP="00382CAC">
      <w:pPr>
        <w:pStyle w:val="RAN4proposal"/>
        <w:numPr>
          <w:ilvl w:val="0"/>
          <w:numId w:val="0"/>
        </w:numPr>
        <w:rPr>
          <w:highlight w:val="yellow"/>
        </w:rPr>
      </w:pPr>
    </w:p>
    <w:p w14:paraId="40145174" w14:textId="531B27C7" w:rsidR="0060543D" w:rsidRDefault="004567DC" w:rsidP="004567DC">
      <w:pPr>
        <w:pStyle w:val="RAN4H2"/>
        <w:ind w:left="431" w:hanging="431"/>
      </w:pPr>
      <w:r>
        <w:t>Group Based Beam Reporting</w:t>
      </w:r>
    </w:p>
    <w:p w14:paraId="61A96A64" w14:textId="77777777" w:rsidR="00166C2D" w:rsidRPr="00DD17A7" w:rsidRDefault="00166C2D" w:rsidP="00DD17A7">
      <w:pPr>
        <w:pStyle w:val="paragraph"/>
        <w:spacing w:before="0" w:beforeAutospacing="0" w:after="0" w:afterAutospacing="0"/>
        <w:jc w:val="both"/>
        <w:textAlignment w:val="baseline"/>
        <w:rPr>
          <w:rStyle w:val="normaltextrun"/>
          <w:rFonts w:eastAsiaTheme="minorHAnsi" w:cstheme="minorBidi"/>
          <w:sz w:val="20"/>
          <w:szCs w:val="20"/>
        </w:rPr>
      </w:pPr>
      <w:r w:rsidRPr="00DD17A7">
        <w:rPr>
          <w:rStyle w:val="normaltextrun"/>
          <w:rFonts w:eastAsiaTheme="minorHAnsi" w:cstheme="minorBidi"/>
          <w:sz w:val="20"/>
          <w:szCs w:val="20"/>
        </w:rPr>
        <w:t xml:space="preserve">If </w:t>
      </w:r>
      <w:r w:rsidRPr="00664695">
        <w:rPr>
          <w:rStyle w:val="normaltextrun"/>
          <w:rFonts w:eastAsiaTheme="minorHAnsi" w:cstheme="minorBidi"/>
          <w:i/>
          <w:sz w:val="20"/>
          <w:szCs w:val="20"/>
        </w:rPr>
        <w:t>groupBasedBeamReporting-r17</w:t>
      </w:r>
      <w:r w:rsidRPr="00DD17A7">
        <w:rPr>
          <w:rStyle w:val="normaltextrun"/>
          <w:rFonts w:eastAsiaTheme="minorHAnsi" w:cstheme="minorBidi"/>
          <w:sz w:val="20"/>
          <w:szCs w:val="20"/>
        </w:rPr>
        <w:t xml:space="preserve"> is enabled, the CSI Resource Set Configuration will comprise of resources that can be received simultaneously from different spatial directions/different QCL-D sources. Furthermore, the network enables </w:t>
      </w:r>
      <w:proofErr w:type="spellStart"/>
      <w:r w:rsidRPr="00636BD8">
        <w:rPr>
          <w:rStyle w:val="normaltextrun"/>
          <w:rFonts w:eastAsiaTheme="minorHAnsi" w:cstheme="minorBidi"/>
          <w:i/>
          <w:sz w:val="20"/>
          <w:szCs w:val="20"/>
        </w:rPr>
        <w:t>groupBasedBeamReporting</w:t>
      </w:r>
      <w:proofErr w:type="spellEnd"/>
      <w:r w:rsidRPr="00DD17A7">
        <w:rPr>
          <w:rStyle w:val="normaltextrun"/>
          <w:rFonts w:eastAsiaTheme="minorHAnsi" w:cstheme="minorBidi"/>
          <w:sz w:val="20"/>
          <w:szCs w:val="20"/>
        </w:rPr>
        <w:t xml:space="preserve"> (GBBR) to UEs capable of </w:t>
      </w:r>
      <w:r w:rsidRPr="00636BD8">
        <w:rPr>
          <w:rStyle w:val="normaltextrun"/>
          <w:rFonts w:eastAsiaTheme="minorHAnsi" w:cstheme="minorBidi"/>
          <w:i/>
          <w:sz w:val="20"/>
          <w:szCs w:val="20"/>
        </w:rPr>
        <w:t>mTRP-GroupBasedL1-RSRP-r17</w:t>
      </w:r>
      <w:r w:rsidRPr="00DD17A7">
        <w:rPr>
          <w:rStyle w:val="normaltextrun"/>
          <w:rFonts w:eastAsiaTheme="minorHAnsi" w:cstheme="minorBidi"/>
          <w:sz w:val="20"/>
          <w:szCs w:val="20"/>
        </w:rPr>
        <w:t>, while configuring CSI-RS/SSB resource sets to be measured from multiple TRPs. </w:t>
      </w:r>
      <w:r w:rsidRPr="00DD17A7">
        <w:rPr>
          <w:rStyle w:val="normaltextrun"/>
          <w:rFonts w:eastAsiaTheme="minorHAnsi" w:cstheme="minorBidi"/>
        </w:rPr>
        <w:t> </w:t>
      </w:r>
    </w:p>
    <w:p w14:paraId="3B636E59" w14:textId="77777777" w:rsidR="00166C2D" w:rsidRPr="00DD17A7" w:rsidRDefault="00166C2D" w:rsidP="00DD17A7">
      <w:pPr>
        <w:pStyle w:val="paragraph"/>
        <w:spacing w:before="0" w:beforeAutospacing="0" w:after="0" w:afterAutospacing="0"/>
        <w:jc w:val="both"/>
        <w:textAlignment w:val="baseline"/>
        <w:rPr>
          <w:rStyle w:val="normaltextrun"/>
          <w:rFonts w:eastAsiaTheme="minorHAnsi" w:cstheme="minorBidi"/>
          <w:sz w:val="20"/>
          <w:szCs w:val="20"/>
        </w:rPr>
      </w:pPr>
    </w:p>
    <w:p w14:paraId="708D1503" w14:textId="0C8A6FC0" w:rsidR="00166C2D" w:rsidRDefault="00166C2D" w:rsidP="00C156EA">
      <w:pPr>
        <w:pStyle w:val="paragraph"/>
        <w:spacing w:before="0" w:beforeAutospacing="0" w:after="0" w:afterAutospacing="0"/>
        <w:jc w:val="both"/>
        <w:textAlignment w:val="baseline"/>
        <w:rPr>
          <w:rStyle w:val="normaltextrun"/>
          <w:rFonts w:eastAsiaTheme="minorHAnsi" w:cstheme="minorBidi"/>
          <w:sz w:val="20"/>
          <w:szCs w:val="20"/>
        </w:rPr>
      </w:pPr>
      <w:r w:rsidRPr="00DD17A7">
        <w:rPr>
          <w:rStyle w:val="normaltextrun"/>
          <w:rFonts w:eastAsiaTheme="minorHAnsi" w:cstheme="minorBidi"/>
          <w:sz w:val="20"/>
          <w:szCs w:val="20"/>
        </w:rPr>
        <w:t>Even though group-based beam reporting in Rel-17 is a good means for achieving 4-layer MIMO in FR2, it is not clear whether indication of a pair through Rel-17 GBBR necessarily would provide an increase in the number of transmission layers. As specified by RAN1, the Rel-17 GBBR indication states that a UE can receive data with a pair TCI state corresponding with the reported pair reference signals. However, there is no guarantee from the requirements that the reported pair is not rank deficient. In one example the UE might report a pair that doesn’t provide increase in MIMO layers, but that could be suitable for a repetition scheme for increased link robustness.</w:t>
      </w:r>
    </w:p>
    <w:p w14:paraId="35EDCFAC" w14:textId="77777777" w:rsidR="00ED4AE6" w:rsidRDefault="00ED4AE6" w:rsidP="00C156EA">
      <w:pPr>
        <w:pStyle w:val="paragraph"/>
        <w:spacing w:before="0" w:beforeAutospacing="0" w:after="0" w:afterAutospacing="0"/>
        <w:jc w:val="both"/>
        <w:textAlignment w:val="baseline"/>
        <w:rPr>
          <w:rStyle w:val="normaltextrun"/>
          <w:rFonts w:eastAsiaTheme="minorHAnsi" w:cstheme="minorBidi"/>
          <w:sz w:val="20"/>
          <w:szCs w:val="20"/>
        </w:rPr>
      </w:pPr>
    </w:p>
    <w:p w14:paraId="6F6BF545" w14:textId="702F0BE0" w:rsidR="00166C2D" w:rsidRPr="00DD17A7" w:rsidRDefault="00B753DC" w:rsidP="00C156EA">
      <w:pPr>
        <w:pStyle w:val="paragraph"/>
        <w:spacing w:before="0" w:beforeAutospacing="0" w:after="0" w:afterAutospacing="0"/>
        <w:jc w:val="both"/>
        <w:textAlignment w:val="baseline"/>
        <w:rPr>
          <w:rStyle w:val="normaltextrun"/>
          <w:rFonts w:eastAsiaTheme="minorHAnsi" w:cstheme="minorBidi"/>
          <w:sz w:val="20"/>
          <w:szCs w:val="20"/>
        </w:rPr>
      </w:pPr>
      <w:r>
        <w:rPr>
          <w:rStyle w:val="normaltextrun"/>
          <w:rFonts w:eastAsiaTheme="minorHAnsi" w:cstheme="minorBidi"/>
          <w:sz w:val="20"/>
          <w:szCs w:val="20"/>
        </w:rPr>
        <w:t xml:space="preserve">The quality of beam selection can be influenced by </w:t>
      </w:r>
      <w:r w:rsidR="00752071">
        <w:rPr>
          <w:rStyle w:val="normaltextrun"/>
          <w:rFonts w:eastAsiaTheme="minorHAnsi" w:cstheme="minorBidi"/>
          <w:sz w:val="20"/>
          <w:szCs w:val="20"/>
        </w:rPr>
        <w:t>several</w:t>
      </w:r>
      <w:r>
        <w:rPr>
          <w:rStyle w:val="normaltextrun"/>
          <w:rFonts w:eastAsiaTheme="minorHAnsi" w:cstheme="minorBidi"/>
          <w:sz w:val="20"/>
          <w:szCs w:val="20"/>
        </w:rPr>
        <w:t xml:space="preserve"> factors like </w:t>
      </w:r>
      <w:proofErr w:type="spellStart"/>
      <w:r>
        <w:rPr>
          <w:rStyle w:val="normaltextrun"/>
          <w:rFonts w:eastAsiaTheme="minorHAnsi" w:cstheme="minorBidi"/>
          <w:sz w:val="20"/>
          <w:szCs w:val="20"/>
        </w:rPr>
        <w:t>AoA</w:t>
      </w:r>
      <w:proofErr w:type="spellEnd"/>
      <w:r>
        <w:rPr>
          <w:rStyle w:val="normaltextrun"/>
          <w:rFonts w:eastAsiaTheme="minorHAnsi" w:cstheme="minorBidi"/>
          <w:sz w:val="20"/>
          <w:szCs w:val="20"/>
        </w:rPr>
        <w:t xml:space="preserve"> offset between TRP signals, RSRP difference caused by power imbalance between Rx chains in the UE, </w:t>
      </w:r>
      <w:r w:rsidR="00474C03">
        <w:rPr>
          <w:rStyle w:val="normaltextrun"/>
          <w:rFonts w:eastAsiaTheme="minorHAnsi" w:cstheme="minorBidi"/>
          <w:sz w:val="20"/>
          <w:szCs w:val="20"/>
        </w:rPr>
        <w:t xml:space="preserve">RTD between the </w:t>
      </w:r>
      <w:r w:rsidR="007A3E2B">
        <w:rPr>
          <w:rStyle w:val="normaltextrun"/>
          <w:rFonts w:eastAsiaTheme="minorHAnsi" w:cstheme="minorBidi"/>
          <w:sz w:val="20"/>
          <w:szCs w:val="20"/>
        </w:rPr>
        <w:t>strongest arrival paths from two TRPs and</w:t>
      </w:r>
      <w:r w:rsidR="00FC225A">
        <w:rPr>
          <w:rStyle w:val="normaltextrun"/>
          <w:rFonts w:eastAsiaTheme="minorHAnsi" w:cstheme="minorBidi"/>
          <w:sz w:val="20"/>
          <w:szCs w:val="20"/>
        </w:rPr>
        <w:t xml:space="preserve"> level of</w:t>
      </w:r>
      <w:r w:rsidR="007A3E2B">
        <w:rPr>
          <w:rStyle w:val="normaltextrun"/>
          <w:rFonts w:eastAsiaTheme="minorHAnsi" w:cstheme="minorBidi"/>
          <w:sz w:val="20"/>
          <w:szCs w:val="20"/>
        </w:rPr>
        <w:t xml:space="preserve"> inter-TRP interference</w:t>
      </w:r>
      <w:r w:rsidR="00C94DBF">
        <w:rPr>
          <w:rStyle w:val="normaltextrun"/>
          <w:rFonts w:eastAsiaTheme="minorHAnsi" w:cstheme="minorBidi"/>
          <w:sz w:val="20"/>
          <w:szCs w:val="20"/>
        </w:rPr>
        <w:t xml:space="preserve"> on the </w:t>
      </w:r>
      <w:r w:rsidR="005E3F0E">
        <w:rPr>
          <w:rStyle w:val="normaltextrun"/>
          <w:rFonts w:eastAsiaTheme="minorHAnsi" w:cstheme="minorBidi"/>
          <w:sz w:val="20"/>
          <w:szCs w:val="20"/>
        </w:rPr>
        <w:t>Rx chains</w:t>
      </w:r>
      <w:r w:rsidR="00775959">
        <w:rPr>
          <w:rStyle w:val="normaltextrun"/>
          <w:rFonts w:eastAsiaTheme="minorHAnsi" w:cstheme="minorBidi"/>
          <w:sz w:val="20"/>
          <w:szCs w:val="20"/>
        </w:rPr>
        <w:t>.</w:t>
      </w:r>
      <w:r w:rsidR="009D6CE4">
        <w:rPr>
          <w:rStyle w:val="normaltextrun"/>
          <w:rFonts w:eastAsiaTheme="minorHAnsi" w:cstheme="minorBidi"/>
          <w:sz w:val="20"/>
          <w:szCs w:val="20"/>
        </w:rPr>
        <w:t xml:space="preserve"> </w:t>
      </w:r>
      <w:r w:rsidR="00166C2D" w:rsidRPr="00DD17A7">
        <w:rPr>
          <w:rStyle w:val="normaltextrun"/>
          <w:rFonts w:eastAsiaTheme="minorHAnsi" w:cstheme="minorBidi"/>
          <w:sz w:val="20"/>
          <w:szCs w:val="20"/>
        </w:rPr>
        <w:t>Therefore, considering the importance of GBBR as an enabler for multi-Rx reception, it is necessary to define corresponding RRM core requirements</w:t>
      </w:r>
      <w:r w:rsidR="00940A20">
        <w:rPr>
          <w:rStyle w:val="normaltextrun"/>
          <w:rFonts w:eastAsiaTheme="minorHAnsi" w:cstheme="minorBidi"/>
          <w:sz w:val="20"/>
          <w:szCs w:val="20"/>
        </w:rPr>
        <w:t xml:space="preserve"> and conditions </w:t>
      </w:r>
      <w:r w:rsidR="00166C2D" w:rsidRPr="00DD17A7">
        <w:rPr>
          <w:rStyle w:val="normaltextrun"/>
          <w:rFonts w:eastAsiaTheme="minorHAnsi" w:cstheme="minorBidi"/>
          <w:sz w:val="20"/>
          <w:szCs w:val="20"/>
        </w:rPr>
        <w:t>related to group-based reception.</w:t>
      </w:r>
    </w:p>
    <w:p w14:paraId="773AE0CA" w14:textId="77777777" w:rsidR="006B57D0" w:rsidRDefault="006B57D0" w:rsidP="00C156EA">
      <w:pPr>
        <w:jc w:val="both"/>
      </w:pPr>
    </w:p>
    <w:p w14:paraId="2306BFF9" w14:textId="3B5354CA" w:rsidR="00752071" w:rsidRDefault="004C49EC" w:rsidP="00C156EA">
      <w:pPr>
        <w:pStyle w:val="RAN4observation0"/>
        <w:jc w:val="both"/>
      </w:pPr>
      <w:bookmarkStart w:id="14" w:name="_Toc135068439"/>
      <w:r>
        <w:t xml:space="preserve">Optimum Beam pair selection for GBBR could depend on </w:t>
      </w:r>
      <w:proofErr w:type="spellStart"/>
      <w:r>
        <w:t>AoA</w:t>
      </w:r>
      <w:proofErr w:type="spellEnd"/>
      <w:r>
        <w:t xml:space="preserve"> offsets, RSRP differences, RTD </w:t>
      </w:r>
      <w:r w:rsidR="00601032">
        <w:t>d</w:t>
      </w:r>
      <w:r>
        <w:t>ifferences, maximum MIMO rank, inter-TRP interference.</w:t>
      </w:r>
      <w:bookmarkEnd w:id="14"/>
    </w:p>
    <w:p w14:paraId="3A7DA72E" w14:textId="382D9A0C" w:rsidR="00FE510A" w:rsidRDefault="00FE510A" w:rsidP="00C156EA">
      <w:pPr>
        <w:pStyle w:val="RAN4proposal"/>
        <w:jc w:val="both"/>
      </w:pPr>
      <w:bookmarkStart w:id="15" w:name="_Toc135068440"/>
      <w:r>
        <w:t xml:space="preserve">RAN4 RRM requirements should define conditions for beam selection for </w:t>
      </w:r>
      <w:r w:rsidR="0065505D">
        <w:t xml:space="preserve">R-17 </w:t>
      </w:r>
      <w:r>
        <w:t>Group-Based Beam Reporting.</w:t>
      </w:r>
      <w:bookmarkEnd w:id="15"/>
    </w:p>
    <w:p w14:paraId="5639926E" w14:textId="77777777" w:rsidR="00AB252D" w:rsidRPr="00AB252D" w:rsidRDefault="00AB252D" w:rsidP="00AB252D"/>
    <w:p w14:paraId="661ABD04" w14:textId="2AFA9B71" w:rsidR="007C2B17" w:rsidRDefault="00DC25E9" w:rsidP="00E161B5">
      <w:pPr>
        <w:pStyle w:val="RAN4H2"/>
        <w:ind w:left="431" w:hanging="431"/>
      </w:pPr>
      <w:r>
        <w:t>Multi-Rx Mode</w:t>
      </w:r>
      <w:r w:rsidR="00E161B5">
        <w:t xml:space="preserve"> of Operation</w:t>
      </w:r>
    </w:p>
    <w:tbl>
      <w:tblPr>
        <w:tblStyle w:val="TableGrid"/>
        <w:tblW w:w="0" w:type="auto"/>
        <w:tblLook w:val="04A0" w:firstRow="1" w:lastRow="0" w:firstColumn="1" w:lastColumn="0" w:noHBand="0" w:noVBand="1"/>
      </w:tblPr>
      <w:tblGrid>
        <w:gridCol w:w="9617"/>
      </w:tblGrid>
      <w:tr w:rsidR="00426B76" w14:paraId="21239941" w14:textId="77777777" w:rsidTr="00426B76">
        <w:tc>
          <w:tcPr>
            <w:tcW w:w="9617" w:type="dxa"/>
          </w:tcPr>
          <w:p w14:paraId="6DBB1A3E" w14:textId="77777777" w:rsidR="00426B76" w:rsidRDefault="00426B76" w:rsidP="00426B76">
            <w:pPr>
              <w:outlineLvl w:val="2"/>
              <w:rPr>
                <w:b/>
                <w:color w:val="000000" w:themeColor="text1"/>
                <w:u w:val="single"/>
                <w:lang w:eastAsia="ko-KR"/>
              </w:rPr>
            </w:pPr>
            <w:r>
              <w:rPr>
                <w:b/>
                <w:color w:val="000000" w:themeColor="text1"/>
                <w:u w:val="single"/>
                <w:lang w:eastAsia="ko-KR"/>
              </w:rPr>
              <w:t>Issue 1-2-5: Indication of multi-Rx operation</w:t>
            </w:r>
          </w:p>
          <w:p w14:paraId="3DEAAF3D" w14:textId="77777777" w:rsidR="00426B76" w:rsidRDefault="00426B76" w:rsidP="00426B76">
            <w:pPr>
              <w:spacing w:afterLines="50" w:after="120"/>
              <w:rPr>
                <w:b/>
                <w:bCs/>
                <w:color w:val="0070C0"/>
                <w:szCs w:val="24"/>
                <w:lang w:eastAsia="zh-CN"/>
              </w:rPr>
            </w:pPr>
            <w:r>
              <w:rPr>
                <w:b/>
                <w:bCs/>
                <w:color w:val="0070C0"/>
                <w:szCs w:val="24"/>
                <w:lang w:eastAsia="zh-CN"/>
              </w:rPr>
              <w:t>&lt;</w:t>
            </w:r>
            <w:r w:rsidRPr="008D2F84">
              <w:rPr>
                <w:b/>
                <w:bCs/>
                <w:color w:val="0070C0"/>
                <w:szCs w:val="24"/>
                <w:lang w:eastAsia="zh-CN"/>
              </w:rPr>
              <w:t xml:space="preserve"> </w:t>
            </w:r>
            <w:r>
              <w:rPr>
                <w:b/>
                <w:bCs/>
                <w:color w:val="0070C0"/>
                <w:szCs w:val="24"/>
                <w:lang w:eastAsia="zh-CN"/>
              </w:rPr>
              <w:t>Way forward &gt;:</w:t>
            </w:r>
          </w:p>
          <w:p w14:paraId="6F519498" w14:textId="77777777" w:rsidR="00426B76" w:rsidRDefault="00426B76" w:rsidP="00426B76">
            <w:pPr>
              <w:pStyle w:val="ListParagraph"/>
              <w:numPr>
                <w:ilvl w:val="0"/>
                <w:numId w:val="37"/>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27BE7877" w14:textId="77777777" w:rsidR="00426B76" w:rsidRDefault="00426B76" w:rsidP="00426B76">
            <w:pPr>
              <w:pStyle w:val="ListParagraph"/>
              <w:numPr>
                <w:ilvl w:val="1"/>
                <w:numId w:val="37"/>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Option 1: (Nokia, Huawei, LGE, Intel, ZTE, vivo, Samsung, Apple)</w:t>
            </w:r>
          </w:p>
          <w:p w14:paraId="512040C6" w14:textId="77777777" w:rsidR="00426B76" w:rsidRDefault="00426B76" w:rsidP="00426B76">
            <w:pPr>
              <w:pStyle w:val="ListParagraph"/>
              <w:numPr>
                <w:ilvl w:val="2"/>
                <w:numId w:val="37"/>
              </w:numPr>
              <w:spacing w:after="120"/>
              <w:contextualSpacing w:val="0"/>
              <w:rPr>
                <w:rFonts w:eastAsia="SimSun"/>
                <w:color w:val="000000" w:themeColor="text1"/>
                <w:szCs w:val="24"/>
                <w:lang w:eastAsia="zh-CN"/>
              </w:rPr>
            </w:pPr>
            <w:r>
              <w:rPr>
                <w:rFonts w:eastAsia="SimSun"/>
                <w:color w:val="000000" w:themeColor="text1"/>
                <w:szCs w:val="24"/>
                <w:lang w:eastAsia="zh-CN"/>
              </w:rPr>
              <w:t>Introduce mechanism/condition for indication of multi-Rx operation, including on/off indication of multi-Rx operation.</w:t>
            </w:r>
          </w:p>
          <w:p w14:paraId="5D61DA13" w14:textId="77777777" w:rsidR="00426B76" w:rsidRDefault="00426B76" w:rsidP="00426B76">
            <w:pPr>
              <w:pStyle w:val="ListParagraph"/>
              <w:numPr>
                <w:ilvl w:val="2"/>
                <w:numId w:val="37"/>
              </w:numPr>
              <w:spacing w:after="120"/>
              <w:contextualSpacing w:val="0"/>
              <w:rPr>
                <w:rFonts w:eastAsia="SimSun"/>
                <w:color w:val="000000" w:themeColor="text1"/>
                <w:szCs w:val="24"/>
                <w:lang w:eastAsia="zh-CN"/>
              </w:rPr>
            </w:pPr>
            <w:r>
              <w:rPr>
                <w:rFonts w:eastAsia="SimSun"/>
                <w:color w:val="000000" w:themeColor="text1"/>
                <w:szCs w:val="24"/>
                <w:lang w:eastAsia="zh-CN"/>
              </w:rPr>
              <w:t>FFS on mechanism/condition for indication of multi-Rx operation</w:t>
            </w:r>
          </w:p>
          <w:p w14:paraId="0DF7E532" w14:textId="77777777" w:rsidR="00426B76" w:rsidRDefault="00426B76" w:rsidP="00426B76">
            <w:pPr>
              <w:pStyle w:val="ListParagraph"/>
              <w:numPr>
                <w:ilvl w:val="1"/>
                <w:numId w:val="37"/>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Option 2: (MTK, OPPO)</w:t>
            </w:r>
          </w:p>
          <w:p w14:paraId="7A205DEB" w14:textId="77777777" w:rsidR="00426B76" w:rsidRDefault="00426B76" w:rsidP="00426B76">
            <w:pPr>
              <w:pStyle w:val="ListParagraph"/>
              <w:numPr>
                <w:ilvl w:val="2"/>
                <w:numId w:val="37"/>
              </w:numPr>
              <w:spacing w:after="120"/>
              <w:contextualSpacing w:val="0"/>
              <w:rPr>
                <w:rFonts w:eastAsia="SimSun"/>
                <w:color w:val="000000" w:themeColor="text1"/>
                <w:szCs w:val="24"/>
                <w:lang w:eastAsia="zh-CN"/>
              </w:rPr>
            </w:pPr>
            <w:r>
              <w:rPr>
                <w:rFonts w:eastAsia="SimSun"/>
                <w:color w:val="000000" w:themeColor="text1"/>
                <w:szCs w:val="24"/>
                <w:lang w:eastAsia="zh-CN"/>
              </w:rPr>
              <w:t>No new mechanism is needed for UE to fallback from multi-Rx to single Rx.</w:t>
            </w:r>
          </w:p>
          <w:p w14:paraId="2939955B" w14:textId="77777777" w:rsidR="00426B76" w:rsidRDefault="00426B76" w:rsidP="008D1634"/>
        </w:tc>
      </w:tr>
    </w:tbl>
    <w:p w14:paraId="4F2F84BB" w14:textId="77777777" w:rsidR="00481CD6" w:rsidRDefault="00481CD6" w:rsidP="008D1634"/>
    <w:p w14:paraId="5B5AC9B3" w14:textId="276E2B68" w:rsidR="00AA4702" w:rsidRDefault="00AA4702" w:rsidP="00AA4702">
      <w:pPr>
        <w:rPr>
          <w:lang w:val="en-GB"/>
        </w:rPr>
      </w:pPr>
      <w:r>
        <w:rPr>
          <w:lang w:val="en-GB"/>
        </w:rPr>
        <w:t xml:space="preserve">In previous meetings we have discussed the multi-Rx modes as part of an issue with power saving title. Power saving aspect is something that was raised by some companies, since the UE operating with multiple receivers might be power hungry and optimizations would be needed in order to temporarily back up to a single receiver. We understand that some companies have related power saving with measurement relaxations that were discussed as part of work items such as </w:t>
      </w:r>
      <w:proofErr w:type="spellStart"/>
      <w:r w:rsidRPr="00E61E85">
        <w:rPr>
          <w:lang w:val="en-GB"/>
        </w:rPr>
        <w:t>NR_UE_pow_sav_enh</w:t>
      </w:r>
      <w:proofErr w:type="spellEnd"/>
      <w:r>
        <w:rPr>
          <w:lang w:val="en-GB"/>
        </w:rPr>
        <w:t xml:space="preserve">, which is not the case of what is being discussed as part of the </w:t>
      </w:r>
      <w:proofErr w:type="spellStart"/>
      <w:r>
        <w:rPr>
          <w:lang w:val="en-GB"/>
        </w:rPr>
        <w:t>multiRx</w:t>
      </w:r>
      <w:proofErr w:type="spellEnd"/>
      <w:r>
        <w:rPr>
          <w:lang w:val="en-GB"/>
        </w:rPr>
        <w:t xml:space="preserve"> context. </w:t>
      </w:r>
      <w:r w:rsidR="002B0A95">
        <w:rPr>
          <w:lang w:val="en-GB"/>
        </w:rPr>
        <w:t xml:space="preserve">The agreement from last meeting is </w:t>
      </w:r>
      <w:r w:rsidR="0071236A">
        <w:rPr>
          <w:lang w:val="en-GB"/>
        </w:rPr>
        <w:t>t</w:t>
      </w:r>
      <w:r w:rsidR="002B0A95">
        <w:rPr>
          <w:lang w:val="en-GB"/>
        </w:rPr>
        <w:t>h</w:t>
      </w:r>
      <w:r w:rsidR="0071236A">
        <w:rPr>
          <w:lang w:val="en-GB"/>
        </w:rPr>
        <w:t>a</w:t>
      </w:r>
      <w:r w:rsidR="002B0A95">
        <w:rPr>
          <w:lang w:val="en-GB"/>
        </w:rPr>
        <w:t>t no power saving specific requirements are to be defined</w:t>
      </w:r>
      <w:r w:rsidR="00300CF7">
        <w:rPr>
          <w:lang w:val="en-GB"/>
        </w:rPr>
        <w:t xml:space="preserve"> </w:t>
      </w:r>
      <w:r w:rsidR="00300CF7">
        <w:rPr>
          <w:lang w:val="en-GB"/>
        </w:rPr>
        <w:fldChar w:fldCharType="begin"/>
      </w:r>
      <w:r w:rsidR="00300CF7">
        <w:rPr>
          <w:lang w:val="en-GB"/>
        </w:rPr>
        <w:instrText xml:space="preserve"> REF _Ref134686891 \r \h </w:instrText>
      </w:r>
      <w:r w:rsidR="00300CF7">
        <w:rPr>
          <w:lang w:val="en-GB"/>
        </w:rPr>
      </w:r>
      <w:r w:rsidR="00300CF7">
        <w:rPr>
          <w:lang w:val="en-GB"/>
        </w:rPr>
        <w:fldChar w:fldCharType="separate"/>
      </w:r>
      <w:r w:rsidR="00300CF7">
        <w:rPr>
          <w:lang w:val="en-GB"/>
        </w:rPr>
        <w:t>[1]</w:t>
      </w:r>
      <w:r w:rsidR="00300CF7">
        <w:rPr>
          <w:lang w:val="en-GB"/>
        </w:rPr>
        <w:fldChar w:fldCharType="end"/>
      </w:r>
      <w:r w:rsidR="002B0A95">
        <w:rPr>
          <w:lang w:val="en-GB"/>
        </w:rPr>
        <w:t xml:space="preserve">: </w:t>
      </w:r>
    </w:p>
    <w:tbl>
      <w:tblPr>
        <w:tblStyle w:val="TableGrid"/>
        <w:tblW w:w="0" w:type="auto"/>
        <w:tblLook w:val="04A0" w:firstRow="1" w:lastRow="0" w:firstColumn="1" w:lastColumn="0" w:noHBand="0" w:noVBand="1"/>
      </w:tblPr>
      <w:tblGrid>
        <w:gridCol w:w="9617"/>
      </w:tblGrid>
      <w:tr w:rsidR="002B0A95" w14:paraId="47915B70" w14:textId="77777777" w:rsidTr="002B0A95">
        <w:tc>
          <w:tcPr>
            <w:tcW w:w="9617" w:type="dxa"/>
          </w:tcPr>
          <w:p w14:paraId="2E6DC190" w14:textId="77777777" w:rsidR="002B0A95" w:rsidRPr="008879B0" w:rsidRDefault="002B0A95" w:rsidP="002B0A95">
            <w:pPr>
              <w:numPr>
                <w:ilvl w:val="0"/>
                <w:numId w:val="41"/>
              </w:numPr>
              <w:spacing w:before="180" w:after="180"/>
              <w:textAlignment w:val="center"/>
              <w:rPr>
                <w:rFonts w:ascii="Arial" w:eastAsia="Times New Roman" w:hAnsi="Arial" w:cs="Arial"/>
                <w:sz w:val="28"/>
                <w:szCs w:val="28"/>
                <w:lang w:val="sv-SE"/>
              </w:rPr>
            </w:pPr>
            <w:proofErr w:type="spellStart"/>
            <w:r w:rsidRPr="008879B0">
              <w:rPr>
                <w:rFonts w:ascii="Arial" w:eastAsia="Times New Roman" w:hAnsi="Arial" w:cs="Arial"/>
                <w:sz w:val="24"/>
                <w:szCs w:val="24"/>
                <w:lang w:val="sv-SE"/>
              </w:rPr>
              <w:lastRenderedPageBreak/>
              <w:t>Sub-topic</w:t>
            </w:r>
            <w:proofErr w:type="spellEnd"/>
            <w:r w:rsidRPr="008879B0">
              <w:rPr>
                <w:rFonts w:ascii="Arial" w:eastAsia="Times New Roman" w:hAnsi="Arial" w:cs="Arial"/>
                <w:sz w:val="24"/>
                <w:szCs w:val="24"/>
                <w:lang w:val="sv-SE"/>
              </w:rPr>
              <w:t xml:space="preserve"> 1-2: RRM </w:t>
            </w:r>
            <w:proofErr w:type="spellStart"/>
            <w:r w:rsidRPr="008879B0">
              <w:rPr>
                <w:rFonts w:ascii="Arial" w:eastAsia="Times New Roman" w:hAnsi="Arial" w:cs="Arial"/>
                <w:sz w:val="24"/>
                <w:szCs w:val="24"/>
                <w:lang w:val="sv-SE"/>
              </w:rPr>
              <w:t>requirements</w:t>
            </w:r>
            <w:proofErr w:type="spellEnd"/>
            <w:r w:rsidRPr="008879B0">
              <w:rPr>
                <w:rFonts w:ascii="Arial" w:eastAsia="Times New Roman" w:hAnsi="Arial" w:cs="Arial"/>
                <w:sz w:val="24"/>
                <w:szCs w:val="24"/>
                <w:lang w:val="sv-SE"/>
              </w:rPr>
              <w:t xml:space="preserve"> </w:t>
            </w:r>
            <w:proofErr w:type="spellStart"/>
            <w:r w:rsidRPr="008879B0">
              <w:rPr>
                <w:rFonts w:ascii="Arial" w:eastAsia="Times New Roman" w:hAnsi="Arial" w:cs="Arial"/>
                <w:sz w:val="24"/>
                <w:szCs w:val="24"/>
                <w:lang w:val="sv-SE"/>
              </w:rPr>
              <w:t>impact</w:t>
            </w:r>
            <w:proofErr w:type="spellEnd"/>
          </w:p>
          <w:p w14:paraId="43A77E0A" w14:textId="77777777" w:rsidR="002B0A95" w:rsidRPr="008879B0" w:rsidRDefault="002B0A95" w:rsidP="002B0A95">
            <w:pPr>
              <w:spacing w:after="180"/>
              <w:ind w:left="540"/>
              <w:rPr>
                <w:rFonts w:eastAsia="Times New Roman" w:cs="Times New Roman"/>
                <w:color w:val="000000"/>
                <w:szCs w:val="20"/>
                <w:lang w:val="en-GB"/>
              </w:rPr>
            </w:pPr>
            <w:r w:rsidRPr="008879B0">
              <w:rPr>
                <w:rFonts w:eastAsia="Times New Roman" w:cs="Times New Roman"/>
                <w:b/>
                <w:bCs/>
                <w:color w:val="000000"/>
                <w:szCs w:val="20"/>
                <w:u w:val="single"/>
                <w:lang w:val="en-GB"/>
              </w:rPr>
              <w:t>Issue 1-2-5a: Whether to define power saving related requirements</w:t>
            </w:r>
          </w:p>
          <w:p w14:paraId="0B9B1F7A" w14:textId="77777777" w:rsidR="002B0A95" w:rsidRPr="008879B0" w:rsidRDefault="002B0A95" w:rsidP="002B0A95">
            <w:pPr>
              <w:spacing w:after="120"/>
              <w:ind w:left="540"/>
              <w:rPr>
                <w:rFonts w:eastAsia="Times New Roman" w:cs="Times New Roman"/>
                <w:color w:val="0070C0"/>
                <w:szCs w:val="20"/>
                <w:lang w:val="en-GB"/>
              </w:rPr>
            </w:pPr>
            <w:r w:rsidRPr="008879B0">
              <w:rPr>
                <w:rFonts w:eastAsia="Times New Roman" w:cs="Times New Roman"/>
                <w:b/>
                <w:bCs/>
                <w:color w:val="0070C0"/>
                <w:szCs w:val="20"/>
                <w:lang w:val="en-GB"/>
              </w:rPr>
              <w:t>&lt;Agreement &gt;:</w:t>
            </w:r>
          </w:p>
          <w:p w14:paraId="591336A1" w14:textId="77777777" w:rsidR="002B0A95" w:rsidRPr="0046207B" w:rsidRDefault="002B0A95" w:rsidP="002B0A95">
            <w:pPr>
              <w:numPr>
                <w:ilvl w:val="0"/>
                <w:numId w:val="12"/>
              </w:numPr>
              <w:spacing w:after="120"/>
              <w:textAlignment w:val="center"/>
              <w:rPr>
                <w:rFonts w:ascii="Calibri" w:eastAsia="Times New Roman" w:hAnsi="Calibri" w:cs="Calibri"/>
                <w:sz w:val="22"/>
                <w:highlight w:val="green"/>
                <w:lang w:val="en-GB"/>
              </w:rPr>
            </w:pPr>
            <w:r w:rsidRPr="0046207B">
              <w:rPr>
                <w:rFonts w:eastAsia="Times New Roman" w:cs="Times New Roman"/>
                <w:color w:val="000000"/>
                <w:szCs w:val="20"/>
                <w:highlight w:val="green"/>
                <w:shd w:val="clear" w:color="auto" w:fill="92D050"/>
                <w:lang w:val="en-GB"/>
              </w:rPr>
              <w:t>No power saving specific requirements, e.g., L1 measurements relaxation for multi-Rx operation, are considered in the WI.</w:t>
            </w:r>
          </w:p>
          <w:p w14:paraId="5F1519F3" w14:textId="77777777" w:rsidR="002B0A95" w:rsidRDefault="002B0A95" w:rsidP="00AA4702">
            <w:pPr>
              <w:rPr>
                <w:lang w:val="en-GB"/>
              </w:rPr>
            </w:pPr>
          </w:p>
        </w:tc>
      </w:tr>
    </w:tbl>
    <w:p w14:paraId="1EBBABDE" w14:textId="77777777" w:rsidR="00C90794" w:rsidRDefault="00C90794" w:rsidP="00AA4702">
      <w:pPr>
        <w:rPr>
          <w:lang w:val="en-GB"/>
        </w:rPr>
      </w:pPr>
    </w:p>
    <w:p w14:paraId="44F8B6F6" w14:textId="1A500C7A" w:rsidR="00AA4702" w:rsidRDefault="00AA4702" w:rsidP="00AA4702">
      <w:pPr>
        <w:jc w:val="both"/>
        <w:rPr>
          <w:rStyle w:val="normaltextrun"/>
          <w:color w:val="000000"/>
          <w:szCs w:val="20"/>
          <w:shd w:val="clear" w:color="auto" w:fill="FFFFFF"/>
        </w:rPr>
      </w:pPr>
      <w:r>
        <w:rPr>
          <w:rStyle w:val="normaltextrun"/>
          <w:color w:val="000000"/>
          <w:szCs w:val="20"/>
          <w:shd w:val="clear" w:color="auto" w:fill="FFFFFF"/>
        </w:rPr>
        <w:t>The UE might be using multi-Rx for receiving data with an increased number of layers, for performing faster measurements, or for reduction of scheduling restrictions. In some of those cases, those enhancements may be only needed when the UE has higher traffic demands</w:t>
      </w:r>
      <w:r w:rsidR="00783896">
        <w:rPr>
          <w:rStyle w:val="normaltextrun"/>
          <w:color w:val="000000"/>
          <w:szCs w:val="20"/>
          <w:shd w:val="clear" w:color="auto" w:fill="FFFFFF"/>
        </w:rPr>
        <w:t>.</w:t>
      </w:r>
      <w:r>
        <w:rPr>
          <w:rStyle w:val="normaltextrun"/>
          <w:color w:val="000000"/>
          <w:szCs w:val="20"/>
          <w:shd w:val="clear" w:color="auto" w:fill="FFFFFF"/>
        </w:rPr>
        <w:t xml:space="preserve"> </w:t>
      </w:r>
      <w:r w:rsidR="00783896">
        <w:rPr>
          <w:rStyle w:val="normaltextrun"/>
          <w:color w:val="000000"/>
          <w:szCs w:val="20"/>
          <w:shd w:val="clear" w:color="auto" w:fill="FFFFFF"/>
        </w:rPr>
        <w:t>Therefore</w:t>
      </w:r>
      <w:r w:rsidR="001E1AB4">
        <w:rPr>
          <w:rStyle w:val="normaltextrun"/>
          <w:color w:val="000000"/>
          <w:szCs w:val="20"/>
          <w:shd w:val="clear" w:color="auto" w:fill="FFFFFF"/>
        </w:rPr>
        <w:t>,</w:t>
      </w:r>
      <w:r>
        <w:rPr>
          <w:rStyle w:val="normaltextrun"/>
          <w:color w:val="000000"/>
          <w:szCs w:val="20"/>
          <w:shd w:val="clear" w:color="auto" w:fill="FFFFFF"/>
        </w:rPr>
        <w:t xml:space="preserve"> some flexibility on enabling and/or disabling those is desirable. We understand that RRM enhancements may provide important benefits in the sense of optimizing UE and network performance. However, such improvements may not always justify UE being required to use multi-Rx reception. </w:t>
      </w:r>
    </w:p>
    <w:p w14:paraId="148FDA87" w14:textId="6E57EE97" w:rsidR="00AA4702" w:rsidRPr="0061792A" w:rsidRDefault="00AA4702" w:rsidP="00AA4702">
      <w:pPr>
        <w:pStyle w:val="RAN4observation0"/>
        <w:jc w:val="both"/>
        <w:rPr>
          <w:rStyle w:val="normaltextrun"/>
        </w:rPr>
      </w:pPr>
      <w:bookmarkStart w:id="16" w:name="_Toc131693755"/>
      <w:bookmarkStart w:id="17" w:name="_Toc135068441"/>
      <w:r>
        <w:rPr>
          <w:rStyle w:val="normaltextrun"/>
          <w:color w:val="000000"/>
          <w:shd w:val="clear" w:color="auto" w:fill="FFFFFF"/>
        </w:rPr>
        <w:t>Multi</w:t>
      </w:r>
      <w:r w:rsidR="00C74FD5">
        <w:rPr>
          <w:rStyle w:val="normaltextrun"/>
          <w:color w:val="000000"/>
          <w:shd w:val="clear" w:color="auto" w:fill="FFFFFF"/>
        </w:rPr>
        <w:t xml:space="preserve"> </w:t>
      </w:r>
      <w:r w:rsidR="00B44AB5">
        <w:rPr>
          <w:rStyle w:val="normaltextrun"/>
          <w:color w:val="000000"/>
          <w:shd w:val="clear" w:color="auto" w:fill="FFFFFF"/>
        </w:rPr>
        <w:t>R</w:t>
      </w:r>
      <w:r>
        <w:rPr>
          <w:rStyle w:val="normaltextrun"/>
          <w:color w:val="000000"/>
          <w:shd w:val="clear" w:color="auto" w:fill="FFFFFF"/>
        </w:rPr>
        <w:t xml:space="preserve">x operation </w:t>
      </w:r>
      <w:r w:rsidR="00E01A5B">
        <w:rPr>
          <w:rStyle w:val="normaltextrun"/>
          <w:color w:val="000000"/>
          <w:shd w:val="clear" w:color="auto" w:fill="FFFFFF"/>
        </w:rPr>
        <w:t>is</w:t>
      </w:r>
      <w:r>
        <w:rPr>
          <w:rStyle w:val="normaltextrun"/>
          <w:color w:val="000000"/>
          <w:shd w:val="clear" w:color="auto" w:fill="FFFFFF"/>
        </w:rPr>
        <w:t xml:space="preserve"> not necessary to be maintained constantly.</w:t>
      </w:r>
      <w:bookmarkEnd w:id="16"/>
      <w:bookmarkEnd w:id="17"/>
      <w:r>
        <w:rPr>
          <w:rStyle w:val="normaltextrun"/>
          <w:color w:val="000000"/>
          <w:shd w:val="clear" w:color="auto" w:fill="FFFFFF"/>
        </w:rPr>
        <w:t> </w:t>
      </w:r>
    </w:p>
    <w:p w14:paraId="6DBF3ABE" w14:textId="4668A2A6" w:rsidR="00AA4702" w:rsidRPr="0061792A" w:rsidRDefault="001E1AB4" w:rsidP="00AA4702">
      <w:pPr>
        <w:pStyle w:val="RAN4proposal"/>
        <w:jc w:val="both"/>
      </w:pPr>
      <w:bookmarkStart w:id="18" w:name="_Toc131693756"/>
      <w:bookmarkStart w:id="19" w:name="_Toc135068442"/>
      <w:r>
        <w:t>When a</w:t>
      </w:r>
      <w:r w:rsidR="00AA4702" w:rsidRPr="0061792A">
        <w:t xml:space="preserve"> UE </w:t>
      </w:r>
      <w:r>
        <w:t xml:space="preserve">is </w:t>
      </w:r>
      <w:r w:rsidR="00AA4702" w:rsidRPr="0061792A">
        <w:t>capable of multi</w:t>
      </w:r>
      <w:r w:rsidR="00C74FD5">
        <w:t xml:space="preserve"> </w:t>
      </w:r>
      <w:r w:rsidR="00AA4702" w:rsidRPr="0061792A">
        <w:t>Rx reception</w:t>
      </w:r>
      <w:r>
        <w:t>,</w:t>
      </w:r>
      <w:r w:rsidR="00AA4702" w:rsidRPr="0061792A" w:rsidDel="001E1AB4">
        <w:t xml:space="preserve"> </w:t>
      </w:r>
      <w:r w:rsidR="00AA4702" w:rsidRPr="0061792A">
        <w:t>the network should be aware of when the UE is using 2 Rx chains for reducing measurement times or reducing scheduling restrictions or when it is using a single Rx chain.</w:t>
      </w:r>
      <w:bookmarkEnd w:id="18"/>
      <w:bookmarkEnd w:id="19"/>
      <w:r w:rsidR="00AA4702" w:rsidRPr="0061792A">
        <w:t>  </w:t>
      </w:r>
    </w:p>
    <w:p w14:paraId="75346678" w14:textId="5C3D72B9" w:rsidR="00E64E39" w:rsidRDefault="00AA4702" w:rsidP="00C90794">
      <w:pPr>
        <w:pStyle w:val="RAN4proposal"/>
        <w:rPr>
          <w:rStyle w:val="eop"/>
          <w:color w:val="000000"/>
          <w:shd w:val="clear" w:color="auto" w:fill="FFFFFF"/>
        </w:rPr>
      </w:pPr>
      <w:bookmarkStart w:id="20" w:name="_Toc131693757"/>
      <w:bookmarkStart w:id="21" w:name="_Toc135068443"/>
      <w:r w:rsidRPr="0061792A">
        <w:t>RAN4 to discuss new signaling for UE indication of use of 2 Rx chains.</w:t>
      </w:r>
      <w:bookmarkEnd w:id="20"/>
      <w:bookmarkEnd w:id="21"/>
      <w:r w:rsidRPr="0061792A">
        <w:t> </w:t>
      </w:r>
      <w:r w:rsidRPr="00CD121D">
        <w:rPr>
          <w:rStyle w:val="eop"/>
          <w:color w:val="000000"/>
          <w:shd w:val="clear" w:color="auto" w:fill="FFFFFF"/>
        </w:rPr>
        <w:t> </w:t>
      </w:r>
    </w:p>
    <w:p w14:paraId="2626C0BD" w14:textId="728FCE74" w:rsidR="004000DD" w:rsidRDefault="004000DD" w:rsidP="00704614">
      <w:r>
        <w:t>Among the different multi</w:t>
      </w:r>
      <w:r w:rsidR="000F074A">
        <w:t>-</w:t>
      </w:r>
      <w:r>
        <w:t>Rx operation modes we can define some of the following:</w:t>
      </w:r>
    </w:p>
    <w:p w14:paraId="24D66E27" w14:textId="0EABBCE7" w:rsidR="004000DD" w:rsidRPr="00C02FBA" w:rsidRDefault="00AE2271" w:rsidP="004000DD">
      <w:pPr>
        <w:pStyle w:val="ListParagraph"/>
        <w:numPr>
          <w:ilvl w:val="0"/>
          <w:numId w:val="43"/>
        </w:numPr>
      </w:pPr>
      <w:r>
        <w:t>Mode 1</w:t>
      </w:r>
      <w:r w:rsidR="00AB1D42">
        <w:t>:</w:t>
      </w:r>
      <w:r>
        <w:t xml:space="preserve"> single chain </w:t>
      </w:r>
      <w:r w:rsidR="00AB1D42">
        <w:t>RRM</w:t>
      </w:r>
    </w:p>
    <w:p w14:paraId="5464E012" w14:textId="75E9DCFD" w:rsidR="009E2424" w:rsidRDefault="009E2424" w:rsidP="00382CAC">
      <w:pPr>
        <w:pStyle w:val="ListParagraph"/>
        <w:numPr>
          <w:ilvl w:val="1"/>
          <w:numId w:val="43"/>
        </w:numPr>
      </w:pPr>
      <w:r>
        <w:t xml:space="preserve">This mode can be used for saving power on the UE. Use of Mode 1 doesn’t necessarily mean that the UE cannot perform GBBR, since </w:t>
      </w:r>
      <w:r w:rsidR="001C5B0E">
        <w:t xml:space="preserve">GBBR measurement doesn’t </w:t>
      </w:r>
      <w:r w:rsidR="00953EAD">
        <w:t xml:space="preserve">need RS from the 2 TRPs to be transmitted simultaneously. </w:t>
      </w:r>
    </w:p>
    <w:p w14:paraId="31F5D44C" w14:textId="46D3E38B" w:rsidR="005E5A0C" w:rsidRDefault="005E5A0C" w:rsidP="004000DD">
      <w:pPr>
        <w:pStyle w:val="ListParagraph"/>
        <w:numPr>
          <w:ilvl w:val="0"/>
          <w:numId w:val="43"/>
        </w:numPr>
      </w:pPr>
      <w:r w:rsidRPr="000E5421">
        <w:t>Mode 2: multi</w:t>
      </w:r>
      <w:r w:rsidR="000F074A" w:rsidRPr="000E5421">
        <w:t>-</w:t>
      </w:r>
      <w:r w:rsidRPr="000E5421">
        <w:t xml:space="preserve">Rx RRM </w:t>
      </w:r>
      <w:r w:rsidR="000E5421" w:rsidRPr="000E5421">
        <w:t>e</w:t>
      </w:r>
      <w:r w:rsidR="000E5421" w:rsidRPr="00382CAC">
        <w:t>nabled</w:t>
      </w:r>
      <w:r w:rsidR="000E5421">
        <w:t xml:space="preserve"> for </w:t>
      </w:r>
      <w:r w:rsidR="00D55A8D">
        <w:t>reduction of scheduling restriction</w:t>
      </w:r>
    </w:p>
    <w:p w14:paraId="2AF04998" w14:textId="29EFE429" w:rsidR="002452EA" w:rsidRDefault="00D55A8D" w:rsidP="002452EA">
      <w:pPr>
        <w:pStyle w:val="ListParagraph"/>
        <w:numPr>
          <w:ilvl w:val="1"/>
          <w:numId w:val="43"/>
        </w:numPr>
      </w:pPr>
      <w:r>
        <w:t xml:space="preserve">That </w:t>
      </w:r>
      <w:r w:rsidR="00CB3C8B">
        <w:t xml:space="preserve">mode implies that the UE is performing simultaneous measurements and data reception. </w:t>
      </w:r>
    </w:p>
    <w:p w14:paraId="16E1F130" w14:textId="49CD3226" w:rsidR="0097484F" w:rsidRDefault="0097484F" w:rsidP="0097484F">
      <w:pPr>
        <w:pStyle w:val="ListParagraph"/>
        <w:numPr>
          <w:ilvl w:val="0"/>
          <w:numId w:val="43"/>
        </w:numPr>
      </w:pPr>
      <w:r w:rsidRPr="0097484F">
        <w:t>Mode 3: multi</w:t>
      </w:r>
      <w:r w:rsidR="000F074A" w:rsidRPr="0097484F">
        <w:t>-</w:t>
      </w:r>
      <w:r w:rsidRPr="0097484F">
        <w:t>Rx RRM e</w:t>
      </w:r>
      <w:r w:rsidRPr="00382CAC">
        <w:t>nabled</w:t>
      </w:r>
      <w:r>
        <w:t xml:space="preserve"> for </w:t>
      </w:r>
      <w:r w:rsidR="00EE7901">
        <w:t>simultaneous measurements on 2 Rx chains</w:t>
      </w:r>
    </w:p>
    <w:p w14:paraId="24A3DC63" w14:textId="2CE54BD9" w:rsidR="00EE7901" w:rsidRDefault="00C22FD8" w:rsidP="00EE7901">
      <w:pPr>
        <w:pStyle w:val="ListParagraph"/>
        <w:numPr>
          <w:ilvl w:val="1"/>
          <w:numId w:val="43"/>
        </w:numPr>
      </w:pPr>
      <w:r>
        <w:t xml:space="preserve">That mode is </w:t>
      </w:r>
      <w:r w:rsidR="00C100BA">
        <w:t>enabled by the reduction of N</w:t>
      </w:r>
      <w:r w:rsidR="00262294">
        <w:t xml:space="preserve">. </w:t>
      </w:r>
    </w:p>
    <w:p w14:paraId="37A72AA3" w14:textId="77777777" w:rsidR="00262294" w:rsidRDefault="00262294" w:rsidP="00394938">
      <w:pPr>
        <w:pStyle w:val="ListParagraph"/>
        <w:ind w:left="1440"/>
      </w:pPr>
    </w:p>
    <w:p w14:paraId="738B7E64" w14:textId="2E023EF0" w:rsidR="00EE7901" w:rsidRDefault="00EE7901" w:rsidP="00EE7901">
      <w:r>
        <w:t xml:space="preserve">We understand that </w:t>
      </w:r>
      <w:r w:rsidR="003D3EE9">
        <w:t>those 3 modes can be</w:t>
      </w:r>
      <w:r w:rsidR="00280780">
        <w:t xml:space="preserve"> negotiated between </w:t>
      </w:r>
      <w:r w:rsidR="008A752A">
        <w:t>the UE and the network. On one hand the UE has the information of whether powe</w:t>
      </w:r>
      <w:r w:rsidR="00752875">
        <w:t xml:space="preserve">r must be saved, and therefore could have a </w:t>
      </w:r>
      <w:r w:rsidR="00071B5D">
        <w:t xml:space="preserve">preference to fallback to mode 1 in that case. On the other hand, </w:t>
      </w:r>
      <w:r w:rsidR="008B071B">
        <w:t xml:space="preserve">the network is the one scheduling the UE, therefore, the network is aware of when the UE needs to increase the throughput by reduction of </w:t>
      </w:r>
      <w:r w:rsidR="00F50DBE">
        <w:t xml:space="preserve">scheduling restrictions with mode 2, or when the </w:t>
      </w:r>
      <w:r w:rsidR="00CF066A">
        <w:t xml:space="preserve">network needs lower latency on measurements </w:t>
      </w:r>
      <w:r w:rsidR="00AA38D9">
        <w:t>to make the multi TRP transmission more robust against UE rotation</w:t>
      </w:r>
      <w:r w:rsidR="00362D87">
        <w:t xml:space="preserve"> </w:t>
      </w:r>
      <w:r w:rsidR="00773444">
        <w:t xml:space="preserve">and movement. </w:t>
      </w:r>
    </w:p>
    <w:p w14:paraId="44A828D2" w14:textId="6B260EAC" w:rsidR="00773444" w:rsidRDefault="00773444" w:rsidP="00773444">
      <w:pPr>
        <w:pStyle w:val="RAN4proposal"/>
      </w:pPr>
      <w:bookmarkStart w:id="22" w:name="_Toc135068444"/>
      <w:r>
        <w:t xml:space="preserve">RAN4 to </w:t>
      </w:r>
      <w:r w:rsidR="00BF3EB8">
        <w:t xml:space="preserve">consider the following modes for </w:t>
      </w:r>
      <w:r w:rsidR="00723ABA">
        <w:t>multi</w:t>
      </w:r>
      <w:r w:rsidR="00EB437F">
        <w:t>-</w:t>
      </w:r>
      <w:r w:rsidR="00723ABA">
        <w:t>Rx indication:</w:t>
      </w:r>
      <w:bookmarkEnd w:id="22"/>
    </w:p>
    <w:p w14:paraId="1563EDE0" w14:textId="09063AB3" w:rsidR="00723ABA" w:rsidRDefault="00723ABA" w:rsidP="00723ABA">
      <w:pPr>
        <w:pStyle w:val="RAN4proposal"/>
        <w:numPr>
          <w:ilvl w:val="1"/>
          <w:numId w:val="3"/>
        </w:numPr>
      </w:pPr>
      <w:bookmarkStart w:id="23" w:name="_Toc135068445"/>
      <w:r>
        <w:t>Mode 1: single chain RRM</w:t>
      </w:r>
      <w:bookmarkEnd w:id="23"/>
    </w:p>
    <w:p w14:paraId="73096F1D" w14:textId="54949C7A" w:rsidR="00723ABA" w:rsidRDefault="00723ABA" w:rsidP="00723ABA">
      <w:pPr>
        <w:pStyle w:val="RAN4proposal"/>
        <w:numPr>
          <w:ilvl w:val="1"/>
          <w:numId w:val="3"/>
        </w:numPr>
      </w:pPr>
      <w:bookmarkStart w:id="24" w:name="_Toc135068446"/>
      <w:r>
        <w:t xml:space="preserve">Mode 2: </w:t>
      </w:r>
      <w:r w:rsidRPr="000E5421">
        <w:t>multi</w:t>
      </w:r>
      <w:r w:rsidR="000F074A" w:rsidRPr="000E5421">
        <w:t>-</w:t>
      </w:r>
      <w:r w:rsidRPr="000E5421">
        <w:t>Rx RRM e</w:t>
      </w:r>
      <w:r w:rsidRPr="009D46A2">
        <w:t>nabled</w:t>
      </w:r>
      <w:r>
        <w:t xml:space="preserve"> for </w:t>
      </w:r>
      <w:r w:rsidR="00D55A8D">
        <w:t>reduction of scheduling restrictions</w:t>
      </w:r>
      <w:bookmarkEnd w:id="24"/>
    </w:p>
    <w:p w14:paraId="23C96CF0" w14:textId="190A3DA5" w:rsidR="00723ABA" w:rsidRDefault="00723ABA" w:rsidP="00723ABA">
      <w:pPr>
        <w:pStyle w:val="RAN4proposal"/>
        <w:numPr>
          <w:ilvl w:val="1"/>
          <w:numId w:val="3"/>
        </w:numPr>
      </w:pPr>
      <w:bookmarkStart w:id="25" w:name="_Toc135068447"/>
      <w:r>
        <w:t xml:space="preserve">Mode 3: </w:t>
      </w:r>
      <w:r w:rsidRPr="0097484F">
        <w:t>multi</w:t>
      </w:r>
      <w:r w:rsidR="000F074A" w:rsidRPr="0097484F">
        <w:t>-</w:t>
      </w:r>
      <w:r w:rsidRPr="0097484F">
        <w:t>Rx RRM e</w:t>
      </w:r>
      <w:r w:rsidRPr="009D46A2">
        <w:t>nabled</w:t>
      </w:r>
      <w:r>
        <w:t xml:space="preserve"> for </w:t>
      </w:r>
      <w:r w:rsidR="00E15039">
        <w:t xml:space="preserve">reduction of </w:t>
      </w:r>
      <w:r w:rsidR="00D55A8D">
        <w:t xml:space="preserve">L1 </w:t>
      </w:r>
      <w:r w:rsidR="002E1B7D">
        <w:t xml:space="preserve">measurement </w:t>
      </w:r>
      <w:r w:rsidR="00D55A8D">
        <w:t>time</w:t>
      </w:r>
      <w:bookmarkEnd w:id="25"/>
    </w:p>
    <w:p w14:paraId="26DC26D7" w14:textId="66622834" w:rsidR="00723ABA" w:rsidRDefault="006229E2" w:rsidP="009F680A">
      <w:pPr>
        <w:pStyle w:val="RAN4proposal"/>
      </w:pPr>
      <w:bookmarkStart w:id="26" w:name="_Toc135068448"/>
      <w:r>
        <w:t xml:space="preserve">Modes 1, 2 and 3 are configured by the network based on </w:t>
      </w:r>
      <w:r w:rsidR="00114C09">
        <w:t>indicated UE capabilities and preferences.</w:t>
      </w:r>
      <w:bookmarkEnd w:id="26"/>
      <w:r w:rsidR="00114C09">
        <w:t xml:space="preserve"> </w:t>
      </w:r>
    </w:p>
    <w:p w14:paraId="68A3C7E6" w14:textId="50C622DA" w:rsidR="00EC4485" w:rsidRPr="00EC4485" w:rsidRDefault="00EC4485" w:rsidP="00EC4485">
      <w:pPr>
        <w:pStyle w:val="RAN4proposal"/>
      </w:pPr>
      <w:bookmarkStart w:id="27" w:name="_Toc135068449"/>
      <w:r>
        <w:t xml:space="preserve">RAN4 to send LS to RAN2 requesting signaling support for the </w:t>
      </w:r>
      <w:r w:rsidR="0051788E">
        <w:t>multi</w:t>
      </w:r>
      <w:r w:rsidR="00EB437F">
        <w:t>-</w:t>
      </w:r>
      <w:r w:rsidR="0051788E">
        <w:t xml:space="preserve">Rx </w:t>
      </w:r>
      <w:r w:rsidR="00A13292">
        <w:t xml:space="preserve">mode </w:t>
      </w:r>
      <w:r w:rsidR="00121744">
        <w:t>configuration.</w:t>
      </w:r>
      <w:bookmarkEnd w:id="27"/>
      <w:r w:rsidR="00121744">
        <w:t xml:space="preserve"> </w:t>
      </w:r>
    </w:p>
    <w:p w14:paraId="46D79074" w14:textId="5F2CB036" w:rsidR="00481CD6" w:rsidRDefault="00481CD6" w:rsidP="00F66AE4">
      <w:pPr>
        <w:pStyle w:val="RAN4H2"/>
        <w:ind w:left="431" w:hanging="431"/>
      </w:pPr>
      <w:r>
        <w:t>Applicabi</w:t>
      </w:r>
      <w:r w:rsidR="00F66AE4">
        <w:t>lity and Conditions</w:t>
      </w:r>
    </w:p>
    <w:p w14:paraId="1780F6F3" w14:textId="37C5FA51" w:rsidR="00300CF7" w:rsidRPr="0067120C" w:rsidRDefault="00300CF7" w:rsidP="00382CAC">
      <w:r>
        <w:rPr>
          <w:lang w:val="en-GB"/>
        </w:rPr>
        <w:t xml:space="preserve">The following issues are open </w:t>
      </w:r>
      <w:r w:rsidR="0067120C">
        <w:rPr>
          <w:lang w:val="en-GB"/>
        </w:rPr>
        <w:t>related to applicability and conditions of multi</w:t>
      </w:r>
      <w:r w:rsidR="00EB437F">
        <w:rPr>
          <w:lang w:val="en-GB"/>
        </w:rPr>
        <w:t>-</w:t>
      </w:r>
      <w:r w:rsidR="0067120C">
        <w:rPr>
          <w:lang w:val="en-GB"/>
        </w:rPr>
        <w:t>Rx requirements</w:t>
      </w:r>
      <w:r>
        <w:rPr>
          <w:lang w:val="en-GB"/>
        </w:rPr>
        <w:t xml:space="preserve"> </w:t>
      </w:r>
      <w:r>
        <w:rPr>
          <w:lang w:val="en-GB"/>
        </w:rPr>
        <w:fldChar w:fldCharType="begin"/>
      </w:r>
      <w:r>
        <w:rPr>
          <w:lang w:val="en-GB"/>
        </w:rPr>
        <w:instrText xml:space="preserve"> REF _Ref134686891 \r \h </w:instrText>
      </w:r>
      <w:r>
        <w:rPr>
          <w:lang w:val="en-GB"/>
        </w:rPr>
      </w:r>
      <w:r>
        <w:rPr>
          <w:lang w:val="en-GB"/>
        </w:rPr>
        <w:fldChar w:fldCharType="separate"/>
      </w:r>
      <w:r>
        <w:rPr>
          <w:lang w:val="en-GB"/>
        </w:rPr>
        <w:t>[1]</w:t>
      </w:r>
      <w:r>
        <w:rPr>
          <w:lang w:val="en-GB"/>
        </w:rPr>
        <w:fldChar w:fldCharType="end"/>
      </w:r>
      <w:r w:rsidR="0067120C">
        <w:t>:</w:t>
      </w:r>
    </w:p>
    <w:tbl>
      <w:tblPr>
        <w:tblStyle w:val="TableGrid"/>
        <w:tblW w:w="0" w:type="auto"/>
        <w:tblLook w:val="04A0" w:firstRow="1" w:lastRow="0" w:firstColumn="1" w:lastColumn="0" w:noHBand="0" w:noVBand="1"/>
      </w:tblPr>
      <w:tblGrid>
        <w:gridCol w:w="9617"/>
      </w:tblGrid>
      <w:tr w:rsidR="00570990" w14:paraId="2AC68E61" w14:textId="77777777" w:rsidTr="00570990">
        <w:tc>
          <w:tcPr>
            <w:tcW w:w="9617" w:type="dxa"/>
          </w:tcPr>
          <w:p w14:paraId="1E50EB71" w14:textId="77777777" w:rsidR="00570990" w:rsidRDefault="00570990" w:rsidP="00570990">
            <w:pPr>
              <w:outlineLvl w:val="2"/>
              <w:rPr>
                <w:b/>
                <w:color w:val="000000" w:themeColor="text1"/>
                <w:u w:val="single"/>
                <w:lang w:eastAsia="ko-KR"/>
              </w:rPr>
            </w:pPr>
            <w:r>
              <w:rPr>
                <w:b/>
                <w:color w:val="000000" w:themeColor="text1"/>
                <w:u w:val="single"/>
                <w:lang w:eastAsia="ko-KR"/>
              </w:rPr>
              <w:t>Issue 1-3-1: Applicability of new requirements to different QCL types</w:t>
            </w:r>
          </w:p>
          <w:p w14:paraId="21651D7A" w14:textId="77777777" w:rsidR="00570990" w:rsidRDefault="00570990" w:rsidP="00570990">
            <w:pPr>
              <w:spacing w:afterLines="50" w:after="120"/>
              <w:rPr>
                <w:b/>
                <w:bCs/>
                <w:color w:val="0070C0"/>
                <w:szCs w:val="24"/>
                <w:lang w:eastAsia="zh-CN"/>
              </w:rPr>
            </w:pPr>
            <w:r>
              <w:rPr>
                <w:b/>
                <w:bCs/>
                <w:color w:val="0070C0"/>
                <w:szCs w:val="24"/>
                <w:lang w:eastAsia="zh-CN"/>
              </w:rPr>
              <w:t>&lt;Way forward &gt;:</w:t>
            </w:r>
          </w:p>
          <w:p w14:paraId="3F28997A" w14:textId="77777777" w:rsidR="00570990" w:rsidRDefault="00570990" w:rsidP="00570990">
            <w:pPr>
              <w:pStyle w:val="ListParagraph"/>
              <w:numPr>
                <w:ilvl w:val="0"/>
                <w:numId w:val="37"/>
              </w:numPr>
              <w:spacing w:after="120"/>
              <w:ind w:left="720"/>
              <w:contextualSpacing w:val="0"/>
              <w:rPr>
                <w:rFonts w:eastAsia="SimSun"/>
                <w:color w:val="000000" w:themeColor="text1"/>
                <w:szCs w:val="24"/>
                <w:lang w:eastAsia="zh-CN"/>
              </w:rPr>
            </w:pPr>
            <w:r>
              <w:rPr>
                <w:rFonts w:eastAsia="SimSun"/>
                <w:color w:val="000000" w:themeColor="text1"/>
                <w:szCs w:val="24"/>
                <w:lang w:eastAsia="zh-CN"/>
              </w:rPr>
              <w:lastRenderedPageBreak/>
              <w:t>Proposals</w:t>
            </w:r>
          </w:p>
          <w:p w14:paraId="1394B417" w14:textId="77777777" w:rsidR="00570990" w:rsidRDefault="00570990" w:rsidP="00570990">
            <w:pPr>
              <w:pStyle w:val="ListParagraph"/>
              <w:numPr>
                <w:ilvl w:val="1"/>
                <w:numId w:val="37"/>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Option 1: </w:t>
            </w:r>
          </w:p>
          <w:p w14:paraId="4ACD96DE" w14:textId="77777777" w:rsidR="00570990" w:rsidRDefault="00570990" w:rsidP="00570990">
            <w:pPr>
              <w:pStyle w:val="ListParagraph"/>
              <w:numPr>
                <w:ilvl w:val="2"/>
                <w:numId w:val="37"/>
              </w:numPr>
              <w:spacing w:after="120"/>
              <w:contextualSpacing w:val="0"/>
              <w:rPr>
                <w:rFonts w:eastAsia="SimSun"/>
                <w:color w:val="000000" w:themeColor="text1"/>
                <w:szCs w:val="24"/>
                <w:lang w:eastAsia="zh-CN"/>
              </w:rPr>
            </w:pPr>
            <w:r>
              <w:rPr>
                <w:bCs/>
                <w:iCs/>
              </w:rPr>
              <w:t xml:space="preserve">Requirements defined for QCL type-D only are also applicable when QCL type D </w:t>
            </w:r>
            <w:r>
              <w:rPr>
                <w:rFonts w:hint="eastAsia"/>
                <w:bCs/>
                <w:iCs/>
              </w:rPr>
              <w:t>i</w:t>
            </w:r>
            <w:r>
              <w:rPr>
                <w:bCs/>
                <w:iCs/>
              </w:rPr>
              <w:t>s configured together with QCL type A/C.</w:t>
            </w:r>
          </w:p>
          <w:p w14:paraId="4C21AB8C" w14:textId="77777777" w:rsidR="00570990" w:rsidRDefault="00570990" w:rsidP="00570990">
            <w:pPr>
              <w:pStyle w:val="ListParagraph"/>
              <w:numPr>
                <w:ilvl w:val="1"/>
                <w:numId w:val="37"/>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Option 2: </w:t>
            </w:r>
          </w:p>
          <w:p w14:paraId="42BEFF16" w14:textId="77777777" w:rsidR="00570990" w:rsidRDefault="00570990" w:rsidP="00570990">
            <w:pPr>
              <w:pStyle w:val="ListParagraph"/>
              <w:numPr>
                <w:ilvl w:val="2"/>
                <w:numId w:val="37"/>
              </w:numPr>
              <w:overflowPunct w:val="0"/>
              <w:autoSpaceDE w:val="0"/>
              <w:autoSpaceDN w:val="0"/>
              <w:adjustRightInd w:val="0"/>
              <w:spacing w:after="120"/>
              <w:contextualSpacing w:val="0"/>
              <w:textAlignment w:val="baseline"/>
              <w:rPr>
                <w:rFonts w:eastAsia="SimSun"/>
                <w:color w:val="000000" w:themeColor="text1"/>
                <w:szCs w:val="24"/>
                <w:lang w:eastAsia="zh-CN"/>
              </w:rPr>
            </w:pPr>
            <w:r>
              <w:rPr>
                <w:rFonts w:eastAsia="SimSun"/>
                <w:color w:val="000000" w:themeColor="text1"/>
                <w:szCs w:val="24"/>
                <w:lang w:eastAsia="zh-CN"/>
              </w:rPr>
              <w:t>Scenarios where QCL type D is configured in combination with QCL type A/C should be also covered by the requirements for simultaneous RS reception.</w:t>
            </w:r>
          </w:p>
          <w:p w14:paraId="344CD80B" w14:textId="77777777" w:rsidR="00570990" w:rsidRDefault="00570990" w:rsidP="00570990">
            <w:pPr>
              <w:pStyle w:val="ListParagraph"/>
              <w:numPr>
                <w:ilvl w:val="2"/>
                <w:numId w:val="37"/>
              </w:numPr>
              <w:overflowPunct w:val="0"/>
              <w:autoSpaceDE w:val="0"/>
              <w:autoSpaceDN w:val="0"/>
              <w:adjustRightInd w:val="0"/>
              <w:spacing w:after="120"/>
              <w:contextualSpacing w:val="0"/>
              <w:textAlignment w:val="baseline"/>
              <w:rPr>
                <w:rFonts w:eastAsia="SimSun"/>
                <w:color w:val="000000" w:themeColor="text1"/>
                <w:szCs w:val="24"/>
                <w:lang w:eastAsia="zh-CN"/>
              </w:rPr>
            </w:pPr>
            <w:r>
              <w:rPr>
                <w:rFonts w:eastAsia="SimSun"/>
                <w:color w:val="000000" w:themeColor="text1"/>
                <w:szCs w:val="24"/>
                <w:lang w:eastAsia="zh-CN"/>
              </w:rPr>
              <w:t>FFS: The same RRM requirements for simultaneous RS reception can apply for RS configured with:</w:t>
            </w:r>
          </w:p>
          <w:p w14:paraId="0308EACD" w14:textId="77777777" w:rsidR="00570990" w:rsidRDefault="00570990" w:rsidP="00570990">
            <w:pPr>
              <w:pStyle w:val="ListParagraph"/>
              <w:numPr>
                <w:ilvl w:val="3"/>
                <w:numId w:val="37"/>
              </w:numPr>
              <w:overflowPunct w:val="0"/>
              <w:autoSpaceDE w:val="0"/>
              <w:autoSpaceDN w:val="0"/>
              <w:adjustRightInd w:val="0"/>
              <w:spacing w:after="120"/>
              <w:contextualSpacing w:val="0"/>
              <w:textAlignment w:val="baseline"/>
              <w:rPr>
                <w:rFonts w:eastAsia="SimSun"/>
                <w:color w:val="000000" w:themeColor="text1"/>
                <w:szCs w:val="24"/>
                <w:lang w:eastAsia="zh-CN"/>
              </w:rPr>
            </w:pPr>
            <w:r>
              <w:rPr>
                <w:rFonts w:eastAsia="SimSun"/>
                <w:color w:val="000000" w:themeColor="text1"/>
                <w:szCs w:val="24"/>
                <w:lang w:eastAsia="zh-CN"/>
              </w:rPr>
              <w:t>QCL type D,</w:t>
            </w:r>
          </w:p>
          <w:p w14:paraId="082474EC" w14:textId="77777777" w:rsidR="00570990" w:rsidRDefault="00570990" w:rsidP="00570990">
            <w:pPr>
              <w:pStyle w:val="ListParagraph"/>
              <w:numPr>
                <w:ilvl w:val="3"/>
                <w:numId w:val="37"/>
              </w:numPr>
              <w:overflowPunct w:val="0"/>
              <w:autoSpaceDE w:val="0"/>
              <w:autoSpaceDN w:val="0"/>
              <w:adjustRightInd w:val="0"/>
              <w:spacing w:after="120"/>
              <w:contextualSpacing w:val="0"/>
              <w:textAlignment w:val="baseline"/>
              <w:rPr>
                <w:rFonts w:eastAsia="SimSun"/>
                <w:color w:val="000000" w:themeColor="text1"/>
                <w:szCs w:val="24"/>
                <w:lang w:eastAsia="zh-CN"/>
              </w:rPr>
            </w:pPr>
            <w:r>
              <w:rPr>
                <w:rFonts w:eastAsia="SimSun"/>
                <w:color w:val="000000" w:themeColor="text1"/>
                <w:szCs w:val="24"/>
                <w:lang w:eastAsia="zh-CN"/>
              </w:rPr>
              <w:t>QCL type D + QCL type A, or</w:t>
            </w:r>
          </w:p>
          <w:p w14:paraId="79A628EC" w14:textId="77777777" w:rsidR="00570990" w:rsidRDefault="00570990" w:rsidP="00570990">
            <w:pPr>
              <w:pStyle w:val="ListParagraph"/>
              <w:numPr>
                <w:ilvl w:val="3"/>
                <w:numId w:val="37"/>
              </w:numPr>
              <w:spacing w:after="120"/>
              <w:contextualSpacing w:val="0"/>
              <w:rPr>
                <w:rFonts w:eastAsia="SimSun"/>
                <w:color w:val="000000" w:themeColor="text1"/>
                <w:szCs w:val="24"/>
                <w:lang w:eastAsia="zh-CN"/>
              </w:rPr>
            </w:pPr>
            <w:r>
              <w:rPr>
                <w:rFonts w:eastAsia="SimSun"/>
                <w:color w:val="000000" w:themeColor="text1"/>
                <w:szCs w:val="24"/>
                <w:lang w:eastAsia="zh-CN"/>
              </w:rPr>
              <w:t>QCL type D + QCL type C.</w:t>
            </w:r>
          </w:p>
          <w:p w14:paraId="767CD67D" w14:textId="77777777" w:rsidR="00570990" w:rsidRDefault="00570990" w:rsidP="00570990">
            <w:pPr>
              <w:rPr>
                <w:color w:val="000000" w:themeColor="text1"/>
                <w:lang w:eastAsia="zh-CN"/>
              </w:rPr>
            </w:pPr>
          </w:p>
          <w:p w14:paraId="2E3D7891" w14:textId="77777777" w:rsidR="00570990" w:rsidRDefault="00570990" w:rsidP="00570990">
            <w:pPr>
              <w:outlineLvl w:val="2"/>
              <w:rPr>
                <w:b/>
                <w:color w:val="000000" w:themeColor="text1"/>
                <w:u w:val="single"/>
                <w:lang w:eastAsia="ko-KR"/>
              </w:rPr>
            </w:pPr>
            <w:r>
              <w:rPr>
                <w:b/>
                <w:color w:val="000000" w:themeColor="text1"/>
                <w:u w:val="single"/>
                <w:lang w:eastAsia="ko-KR"/>
              </w:rPr>
              <w:t>Issue 1-3-3: Detectable condition of RS signals</w:t>
            </w:r>
          </w:p>
          <w:p w14:paraId="07470F99" w14:textId="77777777" w:rsidR="00570990" w:rsidRDefault="00570990" w:rsidP="00570990">
            <w:pPr>
              <w:spacing w:afterLines="50" w:after="120"/>
              <w:rPr>
                <w:b/>
                <w:bCs/>
                <w:color w:val="0070C0"/>
                <w:szCs w:val="24"/>
                <w:lang w:eastAsia="zh-CN"/>
              </w:rPr>
            </w:pPr>
            <w:r>
              <w:rPr>
                <w:b/>
                <w:bCs/>
                <w:color w:val="0070C0"/>
                <w:szCs w:val="24"/>
                <w:lang w:eastAsia="zh-CN"/>
              </w:rPr>
              <w:t>&lt;Way forward &gt;:</w:t>
            </w:r>
          </w:p>
          <w:p w14:paraId="4C2E078B" w14:textId="77777777" w:rsidR="00570990" w:rsidRDefault="00570990" w:rsidP="00570990">
            <w:pPr>
              <w:pStyle w:val="ListParagraph"/>
              <w:numPr>
                <w:ilvl w:val="0"/>
                <w:numId w:val="37"/>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1CE44AB9" w14:textId="77777777" w:rsidR="00570990" w:rsidRDefault="00570990" w:rsidP="00570990">
            <w:pPr>
              <w:pStyle w:val="ListParagraph"/>
              <w:numPr>
                <w:ilvl w:val="1"/>
                <w:numId w:val="37"/>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Option 1: </w:t>
            </w:r>
          </w:p>
          <w:p w14:paraId="7D134BE8" w14:textId="77777777" w:rsidR="00570990" w:rsidRDefault="00570990" w:rsidP="00570990">
            <w:pPr>
              <w:pStyle w:val="ListParagraph"/>
              <w:numPr>
                <w:ilvl w:val="2"/>
                <w:numId w:val="37"/>
              </w:numPr>
              <w:spacing w:after="120"/>
              <w:contextualSpacing w:val="0"/>
            </w:pPr>
            <w:r>
              <w:t>For detectable condition, all RSs in the same TCI chain for the target TCI state should remain detectable during the entire measurement/switch period.</w:t>
            </w:r>
          </w:p>
          <w:p w14:paraId="68540607" w14:textId="77777777" w:rsidR="00570990" w:rsidRDefault="00570990" w:rsidP="00570990">
            <w:pPr>
              <w:pStyle w:val="ListParagraph"/>
              <w:numPr>
                <w:ilvl w:val="1"/>
                <w:numId w:val="37"/>
              </w:numPr>
              <w:spacing w:after="120"/>
              <w:contextualSpacing w:val="0"/>
              <w:rPr>
                <w:rFonts w:eastAsia="SimSun"/>
                <w:color w:val="000000" w:themeColor="text1"/>
                <w:szCs w:val="24"/>
                <w:lang w:eastAsia="zh-CN"/>
              </w:rPr>
            </w:pPr>
            <w:r>
              <w:t xml:space="preserve">Option 2: </w:t>
            </w:r>
          </w:p>
          <w:p w14:paraId="41E935ED" w14:textId="1DCEDFD4" w:rsidR="00570990" w:rsidRDefault="00570990" w:rsidP="00BD0297">
            <w:pPr>
              <w:pStyle w:val="ListParagraph"/>
              <w:numPr>
                <w:ilvl w:val="2"/>
                <w:numId w:val="37"/>
              </w:numPr>
              <w:spacing w:afterLines="50" w:after="120"/>
              <w:contextualSpacing w:val="0"/>
            </w:pPr>
            <w:r>
              <w:t xml:space="preserve">Both RSs and their associated signals in the QCL type D </w:t>
            </w:r>
            <w:proofErr w:type="spellStart"/>
            <w:r>
              <w:t>infos</w:t>
            </w:r>
            <w:proofErr w:type="spellEnd"/>
            <w:r>
              <w:t xml:space="preserve"> are detectable during the entire measurement/evaluation/TCI state switching period.</w:t>
            </w:r>
          </w:p>
        </w:tc>
      </w:tr>
    </w:tbl>
    <w:p w14:paraId="587F37D8" w14:textId="77777777" w:rsidR="002939B1" w:rsidRDefault="002939B1" w:rsidP="002939B1"/>
    <w:p w14:paraId="0A78B4FC" w14:textId="77777777" w:rsidR="008E56DC" w:rsidRPr="008E56DC" w:rsidRDefault="008E56DC" w:rsidP="00276927">
      <w:pPr>
        <w:rPr>
          <w:rFonts w:ascii="Segoe UI" w:hAnsi="Segoe UI" w:cs="Segoe UI"/>
        </w:rPr>
      </w:pPr>
      <w:r w:rsidRPr="008E56DC">
        <w:t>Applicability conditions for TCI state switching in UEs capable of multi-Rx DL reception should cover the following scenarios  </w:t>
      </w:r>
    </w:p>
    <w:p w14:paraId="53C3DDF2" w14:textId="2B5170D5" w:rsidR="008E56DC" w:rsidRPr="008E56DC" w:rsidRDefault="008E56DC" w:rsidP="00276927">
      <w:pPr>
        <w:pStyle w:val="ListParagraph"/>
        <w:numPr>
          <w:ilvl w:val="0"/>
          <w:numId w:val="49"/>
        </w:numPr>
      </w:pPr>
      <w:r w:rsidRPr="008E56DC">
        <w:t>Simultaneously receive RS for L</w:t>
      </w:r>
      <w:r>
        <w:t>1</w:t>
      </w:r>
      <w:r w:rsidRPr="008E56DC">
        <w:t xml:space="preserve"> measurements and data from two different QCL-D sources. </w:t>
      </w:r>
    </w:p>
    <w:p w14:paraId="1C2661CF" w14:textId="77777777" w:rsidR="008E56DC" w:rsidRPr="008E56DC" w:rsidRDefault="008E56DC" w:rsidP="00276927">
      <w:pPr>
        <w:pStyle w:val="ListParagraph"/>
        <w:numPr>
          <w:ilvl w:val="0"/>
          <w:numId w:val="49"/>
        </w:numPr>
      </w:pPr>
      <w:r w:rsidRPr="008E56DC">
        <w:t>Simultaneously receive data from two different QCL-D sources. </w:t>
      </w:r>
    </w:p>
    <w:p w14:paraId="07831453" w14:textId="77777777" w:rsidR="008E56DC" w:rsidRPr="008E56DC" w:rsidRDefault="008E56DC" w:rsidP="00276927">
      <w:pPr>
        <w:pStyle w:val="ListParagraph"/>
        <w:numPr>
          <w:ilvl w:val="0"/>
          <w:numId w:val="49"/>
        </w:numPr>
      </w:pPr>
      <w:r w:rsidRPr="008E56DC">
        <w:t>Simultaneously receive RS for L1 measurements from two different QCL-D sources. </w:t>
      </w:r>
    </w:p>
    <w:p w14:paraId="27DBBD96" w14:textId="6328FA93" w:rsidR="00430366" w:rsidRDefault="008E56DC" w:rsidP="002939B1">
      <w:r w:rsidRPr="008E56DC">
        <w:t xml:space="preserve">For MAC-CE based TCI switch delay, section 8.10.3 of </w:t>
      </w:r>
      <w:r w:rsidR="00C55CBB">
        <w:t>3</w:t>
      </w:r>
      <w:r w:rsidR="00EB437F">
        <w:t>GPP TS 38.133</w:t>
      </w:r>
      <w:r w:rsidRPr="008E56DC">
        <w:t xml:space="preserve"> states the following regarding QCL-Type-A or QCL-Type-C relations. </w:t>
      </w:r>
    </w:p>
    <w:tbl>
      <w:tblPr>
        <w:tblStyle w:val="TableGrid"/>
        <w:tblW w:w="0" w:type="auto"/>
        <w:tblLook w:val="04A0" w:firstRow="1" w:lastRow="0" w:firstColumn="1" w:lastColumn="0" w:noHBand="0" w:noVBand="1"/>
      </w:tblPr>
      <w:tblGrid>
        <w:gridCol w:w="9617"/>
      </w:tblGrid>
      <w:tr w:rsidR="0045007F" w14:paraId="4287C5FE" w14:textId="77777777" w:rsidTr="0045007F">
        <w:tc>
          <w:tcPr>
            <w:tcW w:w="9617" w:type="dxa"/>
          </w:tcPr>
          <w:p w14:paraId="1A999B37" w14:textId="0EBE2215" w:rsidR="00BB2A7E" w:rsidRPr="00BB2A7E" w:rsidRDefault="00BB2A7E" w:rsidP="00BB2A7E">
            <w:pPr>
              <w:textAlignment w:val="baseline"/>
              <w:rPr>
                <w:rFonts w:ascii="Segoe UI" w:eastAsia="Times New Roman" w:hAnsi="Segoe UI" w:cs="Segoe UI"/>
                <w:color w:val="000000"/>
                <w:sz w:val="18"/>
                <w:szCs w:val="18"/>
              </w:rPr>
            </w:pPr>
            <w:r w:rsidRPr="00BB2A7E">
              <w:rPr>
                <w:rFonts w:eastAsia="Times New Roman" w:cs="Times New Roman"/>
                <w:szCs w:val="20"/>
              </w:rPr>
              <w:t>If the target TCI state is known, upon receiving PDSCH carrying MAC-CE activation command in slot n, UE shall be able to receive PDCCH with target TCI state of the serving cell on which TCI state switch occurs at the first slot that is after slot n+ T</w:t>
            </w:r>
            <w:r w:rsidRPr="00BB2A7E">
              <w:rPr>
                <w:rFonts w:eastAsia="Times New Roman" w:cs="Times New Roman"/>
                <w:sz w:val="16"/>
                <w:szCs w:val="16"/>
                <w:vertAlign w:val="subscript"/>
              </w:rPr>
              <w:t>HARQ</w:t>
            </w:r>
            <w:r w:rsidRPr="00BB2A7E">
              <w:rPr>
                <w:rFonts w:eastAsia="Times New Roman" w:cs="Times New Roman"/>
                <w:szCs w:val="20"/>
              </w:rPr>
              <w:t xml:space="preserve"> + </w:t>
            </w:r>
            <w:r w:rsidRPr="00BB2A7E">
              <w:rPr>
                <w:rFonts w:ascii="MathJax_Main" w:eastAsia="Times New Roman" w:hAnsi="MathJax_Main" w:cs="Segoe UI"/>
                <w:color w:val="000000"/>
                <w:sz w:val="23"/>
                <w:szCs w:val="23"/>
                <w:bdr w:val="none" w:sz="0" w:space="0" w:color="auto" w:frame="1"/>
              </w:rPr>
              <w:t>3N</w:t>
            </w:r>
            <w:r w:rsidRPr="00BB2A7E">
              <w:rPr>
                <w:rFonts w:ascii="MathJax_Main" w:eastAsia="Times New Roman" w:hAnsi="MathJax_Main" w:cs="Segoe UI"/>
                <w:color w:val="000000"/>
                <w:sz w:val="16"/>
                <w:szCs w:val="16"/>
                <w:bdr w:val="none" w:sz="0" w:space="0" w:color="auto" w:frame="1"/>
              </w:rPr>
              <w:t>subframe,</w:t>
            </w:r>
            <w:r w:rsidRPr="00BB2A7E">
              <w:rPr>
                <w:rFonts w:ascii="Arial Unicode MS" w:eastAsia="Arial Unicode MS" w:hAnsi="Arial Unicode MS" w:cs="Arial Unicode MS" w:hint="eastAsia"/>
                <w:color w:val="000000"/>
                <w:sz w:val="16"/>
                <w:szCs w:val="16"/>
                <w:bdr w:val="none" w:sz="0" w:space="0" w:color="auto" w:frame="1"/>
              </w:rPr>
              <w:t>µ</w:t>
            </w:r>
            <w:r w:rsidRPr="00BB2A7E">
              <w:rPr>
                <w:rFonts w:ascii="MathJax_Main" w:eastAsia="Times New Roman" w:hAnsi="MathJax_Main" w:cs="Segoe UI"/>
                <w:color w:val="000000"/>
                <w:sz w:val="16"/>
                <w:szCs w:val="16"/>
                <w:bdr w:val="none" w:sz="0" w:space="0" w:color="auto" w:frame="1"/>
              </w:rPr>
              <w:t>slot</w:t>
            </w:r>
            <w:r w:rsidRPr="00BB2A7E">
              <w:rPr>
                <w:rFonts w:eastAsia="Times New Roman" w:cs="Times New Roman"/>
                <w:color w:val="000000"/>
                <w:szCs w:val="20"/>
              </w:rPr>
              <w:t xml:space="preserve">+ </w:t>
            </w:r>
            <w:proofErr w:type="spellStart"/>
            <w:r w:rsidRPr="00BB2A7E">
              <w:rPr>
                <w:rFonts w:eastAsia="Times New Roman" w:cs="Times New Roman"/>
                <w:color w:val="000000"/>
                <w:szCs w:val="20"/>
              </w:rPr>
              <w:t>TO</w:t>
            </w:r>
            <w:r w:rsidRPr="00BB2A7E">
              <w:rPr>
                <w:rFonts w:eastAsia="Times New Roman" w:cs="Times New Roman"/>
                <w:color w:val="000000"/>
                <w:sz w:val="16"/>
                <w:szCs w:val="16"/>
                <w:vertAlign w:val="subscript"/>
              </w:rPr>
              <w:t>k</w:t>
            </w:r>
            <w:proofErr w:type="spellEnd"/>
            <w:r w:rsidRPr="00BB2A7E">
              <w:rPr>
                <w:rFonts w:eastAsia="Times New Roman" w:cs="Times New Roman"/>
                <w:color w:val="000000"/>
                <w:szCs w:val="20"/>
              </w:rPr>
              <w:t>*(</w:t>
            </w:r>
            <w:proofErr w:type="spellStart"/>
            <w:r w:rsidRPr="00BB2A7E">
              <w:rPr>
                <w:rFonts w:eastAsia="Times New Roman" w:cs="Times New Roman"/>
                <w:color w:val="000000"/>
                <w:szCs w:val="20"/>
              </w:rPr>
              <w:t>T</w:t>
            </w:r>
            <w:r w:rsidRPr="00BB2A7E">
              <w:rPr>
                <w:rFonts w:eastAsia="Times New Roman" w:cs="Times New Roman"/>
                <w:color w:val="000000"/>
                <w:sz w:val="16"/>
                <w:szCs w:val="16"/>
                <w:vertAlign w:val="subscript"/>
              </w:rPr>
              <w:t>first</w:t>
            </w:r>
            <w:proofErr w:type="spellEnd"/>
            <w:r w:rsidRPr="00BB2A7E">
              <w:rPr>
                <w:rFonts w:eastAsia="Times New Roman" w:cs="Times New Roman"/>
                <w:color w:val="000000"/>
                <w:sz w:val="16"/>
                <w:szCs w:val="16"/>
                <w:vertAlign w:val="subscript"/>
              </w:rPr>
              <w:t xml:space="preserve">-SSB </w:t>
            </w:r>
            <w:r w:rsidRPr="00BB2A7E">
              <w:rPr>
                <w:rFonts w:eastAsia="Times New Roman" w:cs="Times New Roman"/>
                <w:color w:val="000000"/>
                <w:szCs w:val="20"/>
              </w:rPr>
              <w:t>+ T</w:t>
            </w:r>
            <w:r w:rsidRPr="00BB2A7E">
              <w:rPr>
                <w:rFonts w:eastAsia="Times New Roman" w:cs="Times New Roman"/>
                <w:color w:val="000000"/>
                <w:sz w:val="16"/>
                <w:szCs w:val="16"/>
                <w:vertAlign w:val="subscript"/>
              </w:rPr>
              <w:t>SSB-proc</w:t>
            </w:r>
            <w:r w:rsidRPr="00BB2A7E">
              <w:rPr>
                <w:rFonts w:eastAsia="Times New Roman" w:cs="Times New Roman"/>
                <w:color w:val="000000"/>
                <w:szCs w:val="20"/>
              </w:rPr>
              <w:t xml:space="preserve">) / </w:t>
            </w:r>
            <w:r w:rsidRPr="00BB2A7E">
              <w:rPr>
                <w:rFonts w:eastAsia="Times New Roman" w:cs="Times New Roman"/>
                <w:i/>
                <w:iCs/>
                <w:color w:val="000000"/>
                <w:szCs w:val="20"/>
              </w:rPr>
              <w:t>NR slot length.</w:t>
            </w:r>
            <w:r w:rsidRPr="00BB2A7E">
              <w:rPr>
                <w:rFonts w:eastAsia="Times New Roman" w:cs="Times New Roman"/>
                <w:color w:val="000000"/>
                <w:szCs w:val="20"/>
              </w:rPr>
              <w:t> </w:t>
            </w:r>
          </w:p>
          <w:p w14:paraId="11E43B11" w14:textId="77777777" w:rsidR="00BB2A7E" w:rsidRPr="00BB2A7E" w:rsidRDefault="00BB2A7E" w:rsidP="00BB2A7E">
            <w:pPr>
              <w:textAlignment w:val="baseline"/>
              <w:rPr>
                <w:rFonts w:ascii="Segoe UI" w:eastAsia="Times New Roman" w:hAnsi="Segoe UI" w:cs="Segoe UI"/>
                <w:sz w:val="18"/>
                <w:szCs w:val="18"/>
              </w:rPr>
            </w:pPr>
            <w:r w:rsidRPr="00BB2A7E">
              <w:rPr>
                <w:rFonts w:eastAsia="Times New Roman" w:cs="Times New Roman"/>
                <w:szCs w:val="20"/>
              </w:rPr>
              <w:t> </w:t>
            </w:r>
          </w:p>
          <w:p w14:paraId="30F6575D" w14:textId="3E618713" w:rsidR="00BB2A7E" w:rsidRPr="00BB2A7E" w:rsidRDefault="00BB2A7E" w:rsidP="00713361">
            <w:pPr>
              <w:textAlignment w:val="baseline"/>
              <w:rPr>
                <w:rFonts w:ascii="Segoe UI" w:eastAsia="Times New Roman" w:hAnsi="Segoe UI" w:cs="Segoe UI"/>
                <w:color w:val="000000"/>
                <w:sz w:val="18"/>
                <w:szCs w:val="18"/>
              </w:rPr>
            </w:pPr>
            <w:r w:rsidRPr="00BB2A7E">
              <w:rPr>
                <w:rFonts w:eastAsia="Times New Roman" w:cs="Times New Roman"/>
                <w:szCs w:val="20"/>
              </w:rPr>
              <w:t>If the target TCI state is unknown, upon receiving PDSCH carrying MAC-CE activation command in slot n, UE shall be able to receive PDCCH with target TCI state of the serving cell on which TCI state switch occurs at the first slot that is after slot n+ T</w:t>
            </w:r>
            <w:r w:rsidRPr="00BB2A7E">
              <w:rPr>
                <w:rFonts w:eastAsia="Times New Roman" w:cs="Times New Roman"/>
                <w:sz w:val="16"/>
                <w:szCs w:val="16"/>
                <w:vertAlign w:val="subscript"/>
              </w:rPr>
              <w:t>HARQ</w:t>
            </w:r>
            <w:r w:rsidRPr="00BB2A7E">
              <w:rPr>
                <w:rFonts w:eastAsia="Times New Roman" w:cs="Times New Roman"/>
                <w:szCs w:val="20"/>
              </w:rPr>
              <w:t xml:space="preserve"> +</w:t>
            </w:r>
            <w:r w:rsidRPr="00BB2A7E">
              <w:rPr>
                <w:rFonts w:ascii="MathJax_Main" w:eastAsia="Times New Roman" w:hAnsi="MathJax_Main" w:cs="Segoe UI"/>
                <w:color w:val="000000"/>
                <w:sz w:val="23"/>
                <w:szCs w:val="23"/>
                <w:bdr w:val="none" w:sz="0" w:space="0" w:color="auto" w:frame="1"/>
              </w:rPr>
              <w:t>3N</w:t>
            </w:r>
            <w:r w:rsidRPr="00BB2A7E">
              <w:rPr>
                <w:rFonts w:ascii="MathJax_Main" w:eastAsia="Times New Roman" w:hAnsi="MathJax_Main" w:cs="Segoe UI"/>
                <w:color w:val="000000"/>
                <w:sz w:val="16"/>
                <w:szCs w:val="16"/>
                <w:bdr w:val="none" w:sz="0" w:space="0" w:color="auto" w:frame="1"/>
              </w:rPr>
              <w:t>subframe,</w:t>
            </w:r>
            <w:r w:rsidRPr="00BB2A7E">
              <w:rPr>
                <w:rFonts w:ascii="Arial Unicode MS" w:eastAsia="Arial Unicode MS" w:hAnsi="Arial Unicode MS" w:cs="Arial Unicode MS" w:hint="eastAsia"/>
                <w:color w:val="000000"/>
                <w:sz w:val="16"/>
                <w:szCs w:val="16"/>
                <w:bdr w:val="none" w:sz="0" w:space="0" w:color="auto" w:frame="1"/>
              </w:rPr>
              <w:t>µ</w:t>
            </w:r>
            <w:r w:rsidRPr="00BB2A7E">
              <w:rPr>
                <w:rFonts w:ascii="MathJax_Main" w:eastAsia="Times New Roman" w:hAnsi="MathJax_Main" w:cs="Segoe UI"/>
                <w:color w:val="000000"/>
                <w:sz w:val="16"/>
                <w:szCs w:val="16"/>
                <w:bdr w:val="none" w:sz="0" w:space="0" w:color="auto" w:frame="1"/>
              </w:rPr>
              <w:t>slot</w:t>
            </w:r>
            <w:r w:rsidRPr="00BB2A7E">
              <w:rPr>
                <w:rFonts w:eastAsia="Times New Roman" w:cs="Times New Roman"/>
                <w:color w:val="000000"/>
                <w:szCs w:val="20"/>
              </w:rPr>
              <w:t>+ T</w:t>
            </w:r>
            <w:r w:rsidRPr="00BB2A7E">
              <w:rPr>
                <w:rFonts w:eastAsia="Times New Roman" w:cs="Times New Roman"/>
                <w:color w:val="000000"/>
                <w:sz w:val="16"/>
                <w:szCs w:val="16"/>
                <w:vertAlign w:val="subscript"/>
              </w:rPr>
              <w:t xml:space="preserve">L1-RSRP </w:t>
            </w:r>
            <w:r w:rsidRPr="00BB2A7E">
              <w:rPr>
                <w:rFonts w:eastAsia="Times New Roman" w:cs="Times New Roman"/>
                <w:color w:val="000000"/>
                <w:szCs w:val="20"/>
              </w:rPr>
              <w:t>+</w:t>
            </w:r>
            <w:proofErr w:type="spellStart"/>
            <w:r w:rsidRPr="00BB2A7E">
              <w:rPr>
                <w:rFonts w:eastAsia="Times New Roman" w:cs="Times New Roman"/>
                <w:color w:val="000000"/>
                <w:szCs w:val="20"/>
              </w:rPr>
              <w:t>TO</w:t>
            </w:r>
            <w:r w:rsidRPr="00BB2A7E">
              <w:rPr>
                <w:rFonts w:eastAsia="Times New Roman" w:cs="Times New Roman"/>
                <w:color w:val="000000"/>
                <w:sz w:val="16"/>
                <w:szCs w:val="16"/>
                <w:vertAlign w:val="subscript"/>
              </w:rPr>
              <w:t>uk</w:t>
            </w:r>
            <w:proofErr w:type="spellEnd"/>
            <w:r w:rsidRPr="00BB2A7E">
              <w:rPr>
                <w:rFonts w:eastAsia="Times New Roman" w:cs="Times New Roman"/>
                <w:color w:val="000000"/>
                <w:szCs w:val="20"/>
              </w:rPr>
              <w:t>*(</w:t>
            </w:r>
            <w:proofErr w:type="spellStart"/>
            <w:r w:rsidRPr="00BB2A7E">
              <w:rPr>
                <w:rFonts w:eastAsia="Times New Roman" w:cs="Times New Roman"/>
                <w:color w:val="000000"/>
                <w:szCs w:val="20"/>
              </w:rPr>
              <w:t>T</w:t>
            </w:r>
            <w:r w:rsidRPr="00BB2A7E">
              <w:rPr>
                <w:rFonts w:eastAsia="Times New Roman" w:cs="Times New Roman"/>
                <w:color w:val="000000"/>
                <w:sz w:val="16"/>
                <w:szCs w:val="16"/>
                <w:vertAlign w:val="subscript"/>
              </w:rPr>
              <w:t>first</w:t>
            </w:r>
            <w:proofErr w:type="spellEnd"/>
            <w:r w:rsidRPr="00BB2A7E">
              <w:rPr>
                <w:rFonts w:eastAsia="Times New Roman" w:cs="Times New Roman"/>
                <w:color w:val="000000"/>
                <w:sz w:val="16"/>
                <w:szCs w:val="16"/>
                <w:vertAlign w:val="subscript"/>
              </w:rPr>
              <w:t>-SSB</w:t>
            </w:r>
            <w:r w:rsidRPr="00BB2A7E">
              <w:rPr>
                <w:rFonts w:eastAsia="Times New Roman" w:cs="Times New Roman"/>
                <w:color w:val="000000"/>
                <w:szCs w:val="20"/>
              </w:rPr>
              <w:t>+ T</w:t>
            </w:r>
            <w:r w:rsidRPr="00BB2A7E">
              <w:rPr>
                <w:rFonts w:eastAsia="Times New Roman" w:cs="Times New Roman"/>
                <w:color w:val="000000"/>
                <w:sz w:val="16"/>
                <w:szCs w:val="16"/>
                <w:vertAlign w:val="subscript"/>
              </w:rPr>
              <w:t>SSB-proc</w:t>
            </w:r>
            <w:r w:rsidRPr="00BB2A7E">
              <w:rPr>
                <w:rFonts w:eastAsia="Times New Roman" w:cs="Times New Roman"/>
                <w:color w:val="000000"/>
                <w:szCs w:val="20"/>
              </w:rPr>
              <w:t xml:space="preserve">) / </w:t>
            </w:r>
            <w:r w:rsidRPr="00BB2A7E">
              <w:rPr>
                <w:rFonts w:eastAsia="Times New Roman" w:cs="Times New Roman"/>
                <w:i/>
                <w:iCs/>
                <w:color w:val="000000"/>
                <w:szCs w:val="20"/>
              </w:rPr>
              <w:t>NR slot length</w:t>
            </w:r>
            <w:r w:rsidRPr="00BB2A7E">
              <w:rPr>
                <w:rFonts w:eastAsia="Times New Roman" w:cs="Times New Roman"/>
                <w:color w:val="000000"/>
                <w:szCs w:val="20"/>
              </w:rPr>
              <w:t> </w:t>
            </w:r>
          </w:p>
          <w:p w14:paraId="75824E84" w14:textId="77777777" w:rsidR="00BB2A7E" w:rsidRPr="00BB2A7E" w:rsidRDefault="00BB2A7E" w:rsidP="00BB2A7E">
            <w:pPr>
              <w:textAlignment w:val="baseline"/>
              <w:rPr>
                <w:rFonts w:ascii="Segoe UI" w:eastAsia="Times New Roman" w:hAnsi="Segoe UI" w:cs="Segoe UI"/>
                <w:sz w:val="18"/>
                <w:szCs w:val="18"/>
              </w:rPr>
            </w:pPr>
            <w:r w:rsidRPr="00BB2A7E">
              <w:rPr>
                <w:rFonts w:eastAsia="Times New Roman" w:cs="Times New Roman"/>
                <w:szCs w:val="20"/>
              </w:rPr>
              <w:t> </w:t>
            </w:r>
          </w:p>
          <w:p w14:paraId="230B25F3" w14:textId="77777777" w:rsidR="00BB2A7E" w:rsidRPr="00BB2A7E" w:rsidRDefault="00BB2A7E" w:rsidP="00BB2A7E">
            <w:pPr>
              <w:numPr>
                <w:ilvl w:val="0"/>
                <w:numId w:val="40"/>
              </w:numPr>
              <w:ind w:left="1080" w:firstLine="0"/>
              <w:textAlignment w:val="baseline"/>
              <w:rPr>
                <w:rFonts w:eastAsia="Times New Roman" w:cs="Times New Roman"/>
                <w:sz w:val="18"/>
                <w:szCs w:val="18"/>
              </w:rPr>
            </w:pPr>
            <w:proofErr w:type="spellStart"/>
            <w:r w:rsidRPr="00BB2A7E">
              <w:rPr>
                <w:rFonts w:eastAsia="Times New Roman" w:cs="Times New Roman"/>
                <w:szCs w:val="20"/>
              </w:rPr>
              <w:t>T</w:t>
            </w:r>
            <w:r w:rsidRPr="00BB2A7E">
              <w:rPr>
                <w:rFonts w:eastAsia="Times New Roman" w:cs="Times New Roman"/>
                <w:sz w:val="16"/>
                <w:szCs w:val="16"/>
                <w:vertAlign w:val="subscript"/>
              </w:rPr>
              <w:t>first</w:t>
            </w:r>
            <w:proofErr w:type="spellEnd"/>
            <w:r w:rsidRPr="00BB2A7E">
              <w:rPr>
                <w:rFonts w:eastAsia="Times New Roman" w:cs="Times New Roman"/>
                <w:sz w:val="16"/>
                <w:szCs w:val="16"/>
                <w:vertAlign w:val="subscript"/>
              </w:rPr>
              <w:t xml:space="preserve">-SSB </w:t>
            </w:r>
            <w:r w:rsidRPr="00BB2A7E">
              <w:rPr>
                <w:rFonts w:eastAsia="Times New Roman" w:cs="Times New Roman"/>
                <w:szCs w:val="20"/>
              </w:rPr>
              <w:t xml:space="preserve">is time to first SSB transmission after MAC CE command is decoded by the UE; </w:t>
            </w:r>
            <w:r w:rsidRPr="00BB2A7E">
              <w:rPr>
                <w:rFonts w:eastAsia="Times New Roman" w:cs="Times New Roman"/>
                <w:b/>
                <w:bCs/>
                <w:szCs w:val="20"/>
              </w:rPr>
              <w:t>The SSB shall be the QCL-</w:t>
            </w:r>
            <w:proofErr w:type="spellStart"/>
            <w:r w:rsidRPr="00BB2A7E">
              <w:rPr>
                <w:rFonts w:eastAsia="Times New Roman" w:cs="Times New Roman"/>
                <w:b/>
                <w:bCs/>
                <w:szCs w:val="20"/>
              </w:rPr>
              <w:t>TypeA</w:t>
            </w:r>
            <w:proofErr w:type="spellEnd"/>
            <w:r w:rsidRPr="00BB2A7E">
              <w:rPr>
                <w:rFonts w:eastAsia="Times New Roman" w:cs="Times New Roman"/>
                <w:b/>
                <w:bCs/>
                <w:szCs w:val="20"/>
              </w:rPr>
              <w:t xml:space="preserve"> or QCL-</w:t>
            </w:r>
            <w:proofErr w:type="spellStart"/>
            <w:r w:rsidRPr="00BB2A7E">
              <w:rPr>
                <w:rFonts w:eastAsia="Times New Roman" w:cs="Times New Roman"/>
                <w:b/>
                <w:bCs/>
                <w:szCs w:val="20"/>
              </w:rPr>
              <w:t>TypeC</w:t>
            </w:r>
            <w:proofErr w:type="spellEnd"/>
            <w:r w:rsidRPr="00BB2A7E">
              <w:rPr>
                <w:rFonts w:eastAsia="Times New Roman" w:cs="Times New Roman"/>
                <w:b/>
                <w:bCs/>
                <w:szCs w:val="20"/>
              </w:rPr>
              <w:t xml:space="preserve"> to target TCI state</w:t>
            </w:r>
            <w:r w:rsidRPr="00BB2A7E">
              <w:rPr>
                <w:rFonts w:eastAsia="Times New Roman" w:cs="Times New Roman"/>
                <w:szCs w:val="20"/>
              </w:rPr>
              <w:t> </w:t>
            </w:r>
          </w:p>
          <w:p w14:paraId="003313B5" w14:textId="77777777" w:rsidR="0045007F" w:rsidRDefault="0045007F" w:rsidP="0045007F">
            <w:pPr>
              <w:jc w:val="both"/>
              <w:textAlignment w:val="baseline"/>
              <w:rPr>
                <w:rFonts w:eastAsia="Times New Roman" w:cs="Times New Roman"/>
                <w:sz w:val="18"/>
                <w:szCs w:val="18"/>
              </w:rPr>
            </w:pPr>
          </w:p>
        </w:tc>
      </w:tr>
    </w:tbl>
    <w:p w14:paraId="3D8A3E43" w14:textId="77777777" w:rsidR="0045007F" w:rsidRDefault="0045007F" w:rsidP="0045007F">
      <w:pPr>
        <w:spacing w:after="0" w:line="240" w:lineRule="auto"/>
        <w:jc w:val="both"/>
        <w:textAlignment w:val="baseline"/>
        <w:rPr>
          <w:rFonts w:eastAsia="Times New Roman" w:cs="Times New Roman"/>
          <w:sz w:val="18"/>
          <w:szCs w:val="18"/>
        </w:rPr>
      </w:pPr>
    </w:p>
    <w:p w14:paraId="257D2931" w14:textId="359C3830" w:rsidR="0045007F" w:rsidRPr="0045007F" w:rsidRDefault="0045007F" w:rsidP="000F58F6">
      <w:pPr>
        <w:rPr>
          <w:rFonts w:ascii="Segoe UI" w:hAnsi="Segoe UI" w:cs="Segoe UI"/>
        </w:rPr>
      </w:pPr>
      <w:r w:rsidRPr="0045007F">
        <w:t>Considering the requirement above, it should be fine to discuss QCL-A and QCL-C as part of the TCI state switching delay. In the requirements</w:t>
      </w:r>
      <w:r w:rsidR="00333AC5">
        <w:t>,</w:t>
      </w:r>
      <w:r w:rsidRPr="0045007F">
        <w:t xml:space="preserve"> if the target TCI state is not in the active list, the UE needs to acquire timing from the first SSB transmission after the MAC CE command, where this SSB can be QCL-A or QCL-C with the target state. Therefore, the same reasoning can be used for multi</w:t>
      </w:r>
      <w:r w:rsidR="00EC0421">
        <w:t xml:space="preserve"> </w:t>
      </w:r>
      <w:r w:rsidRPr="0045007F">
        <w:t>R</w:t>
      </w:r>
      <w:r w:rsidR="00EC0421">
        <w:t>x</w:t>
      </w:r>
      <w:r w:rsidRPr="0045007F">
        <w:t xml:space="preserve"> TCI switching, where reference signals with different types of QCL can be used during this procedure. However, it is not clear why to discuss QCL A/C for other requirements, that are not TCI state switching.  </w:t>
      </w:r>
    </w:p>
    <w:p w14:paraId="4DA1F2C0" w14:textId="77777777" w:rsidR="0045007F" w:rsidRDefault="0045007F" w:rsidP="00286248">
      <w:pPr>
        <w:pStyle w:val="RAN4observation0"/>
      </w:pPr>
      <w:bookmarkStart w:id="28" w:name="_Toc135068450"/>
      <w:r w:rsidRPr="0045007F">
        <w:rPr>
          <w:lang w:val="en-GB"/>
        </w:rPr>
        <w:lastRenderedPageBreak/>
        <w:t>QCL-A and QCL-C relation is used in existing RAN4 RRM requirements in TCI state switching delay, for the determination of the first SSB available for the UE to acquire timing.</w:t>
      </w:r>
      <w:bookmarkEnd w:id="28"/>
      <w:r w:rsidRPr="0045007F">
        <w:t> </w:t>
      </w:r>
    </w:p>
    <w:p w14:paraId="2029893F" w14:textId="359AA792" w:rsidR="00286248" w:rsidRPr="00286248" w:rsidRDefault="000A0DF2" w:rsidP="000A0DF2">
      <w:pPr>
        <w:pStyle w:val="RAN4proposal"/>
      </w:pPr>
      <w:bookmarkStart w:id="29" w:name="_Toc135068451"/>
      <w:r>
        <w:rPr>
          <w:rStyle w:val="normaltextrun"/>
          <w:color w:val="000000"/>
          <w:szCs w:val="20"/>
          <w:shd w:val="clear" w:color="auto" w:fill="FFFFFF"/>
        </w:rPr>
        <w:t>RAN4 should discuss QCL relations as part of requirements of TCI state switching delay.</w:t>
      </w:r>
      <w:bookmarkEnd w:id="29"/>
      <w:r>
        <w:rPr>
          <w:rStyle w:val="eop"/>
          <w:b w:val="0"/>
          <w:bCs/>
          <w:color w:val="000000"/>
          <w:szCs w:val="20"/>
          <w:shd w:val="clear" w:color="auto" w:fill="FFFFFF"/>
        </w:rPr>
        <w:t> </w:t>
      </w:r>
    </w:p>
    <w:p w14:paraId="79C436E8" w14:textId="4D6E7C44" w:rsidR="0045007F" w:rsidRDefault="00701111" w:rsidP="002939B1">
      <w:r>
        <w:t>In R-17, a</w:t>
      </w:r>
      <w:r w:rsidR="00CC3CD3">
        <w:t xml:space="preserve">ccording to 38.133, section </w:t>
      </w:r>
      <w:r>
        <w:t>8.10.2, known conditions for TCI state are:</w:t>
      </w:r>
    </w:p>
    <w:tbl>
      <w:tblPr>
        <w:tblStyle w:val="TableGrid"/>
        <w:tblW w:w="0" w:type="auto"/>
        <w:tblLook w:val="04A0" w:firstRow="1" w:lastRow="0" w:firstColumn="1" w:lastColumn="0" w:noHBand="0" w:noVBand="1"/>
      </w:tblPr>
      <w:tblGrid>
        <w:gridCol w:w="9617"/>
      </w:tblGrid>
      <w:tr w:rsidR="00701111" w14:paraId="1344E2E3" w14:textId="77777777" w:rsidTr="00701111">
        <w:tc>
          <w:tcPr>
            <w:tcW w:w="9617" w:type="dxa"/>
          </w:tcPr>
          <w:p w14:paraId="54C0E173" w14:textId="77777777" w:rsidR="00701111" w:rsidRPr="009C5807" w:rsidRDefault="00701111" w:rsidP="00701111">
            <w:pPr>
              <w:keepNext/>
              <w:keepLines/>
              <w:spacing w:before="120"/>
              <w:ind w:left="1134" w:hanging="1134"/>
              <w:outlineLvl w:val="2"/>
              <w:rPr>
                <w:rFonts w:ascii="Arial" w:hAnsi="Arial"/>
                <w:sz w:val="28"/>
              </w:rPr>
            </w:pPr>
            <w:r w:rsidRPr="009C5807">
              <w:rPr>
                <w:rFonts w:ascii="Arial" w:hAnsi="Arial"/>
                <w:sz w:val="28"/>
              </w:rPr>
              <w:t>8.10.2</w:t>
            </w:r>
            <w:r w:rsidRPr="009C5807">
              <w:rPr>
                <w:rFonts w:ascii="Arial" w:hAnsi="Arial"/>
                <w:sz w:val="28"/>
              </w:rPr>
              <w:tab/>
              <w:t>Known conditions for TCI state</w:t>
            </w:r>
          </w:p>
          <w:p w14:paraId="0695E175" w14:textId="77777777" w:rsidR="00701111" w:rsidRPr="009C5807" w:rsidRDefault="00701111" w:rsidP="00701111">
            <w:pPr>
              <w:tabs>
                <w:tab w:val="left" w:pos="0"/>
              </w:tabs>
              <w:rPr>
                <w:rFonts w:eastAsia="Malgun Gothic" w:cs="v4.2.0"/>
                <w:lang w:eastAsia="zh-CN"/>
              </w:rPr>
            </w:pPr>
            <w:r w:rsidRPr="009C5807">
              <w:rPr>
                <w:rFonts w:eastAsia="Malgun Gothic" w:cs="v4.2.0"/>
                <w:lang w:eastAsia="zh-CN"/>
              </w:rPr>
              <w:t>The TCI state is known if the following conditions are met:</w:t>
            </w:r>
          </w:p>
          <w:p w14:paraId="3EF6EF77" w14:textId="77777777" w:rsidR="00701111" w:rsidRPr="009C5807" w:rsidRDefault="00701111" w:rsidP="00701111">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224D7748" w14:textId="77777777" w:rsidR="00701111" w:rsidRPr="009C5807" w:rsidRDefault="00701111" w:rsidP="00701111">
            <w:pPr>
              <w:pStyle w:val="B2"/>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10E5D0D6" w14:textId="77777777" w:rsidR="00701111" w:rsidRPr="009C5807" w:rsidRDefault="00701111" w:rsidP="00701111">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5B8966C0" w14:textId="77777777" w:rsidR="00701111" w:rsidRPr="009C5807" w:rsidRDefault="00701111" w:rsidP="00701111">
            <w:pPr>
              <w:pStyle w:val="B2"/>
              <w:rPr>
                <w:lang w:eastAsia="zh-CN"/>
              </w:rPr>
            </w:pPr>
            <w:r w:rsidRPr="009C5807">
              <w:rPr>
                <w:lang w:eastAsia="zh-CN"/>
              </w:rPr>
              <w:t>-</w:t>
            </w:r>
            <w:r w:rsidRPr="009C5807">
              <w:rPr>
                <w:lang w:eastAsia="zh-CN"/>
              </w:rPr>
              <w:tab/>
              <w:t>The TCI state remains detectable during the TCI state switching period</w:t>
            </w:r>
          </w:p>
          <w:p w14:paraId="4137B8C1" w14:textId="77777777" w:rsidR="00701111" w:rsidRPr="009C5807" w:rsidRDefault="00701111" w:rsidP="00701111">
            <w:pPr>
              <w:pStyle w:val="B2"/>
              <w:rPr>
                <w:lang w:eastAsia="zh-CN"/>
              </w:rPr>
            </w:pPr>
            <w:r w:rsidRPr="009C5807">
              <w:rPr>
                <w:lang w:eastAsia="zh-CN"/>
              </w:rPr>
              <w:t>-</w:t>
            </w:r>
            <w:r w:rsidRPr="009C5807">
              <w:rPr>
                <w:lang w:eastAsia="zh-CN"/>
              </w:rPr>
              <w:tab/>
            </w:r>
            <w:bookmarkStart w:id="30" w:name="_Hlk18067072"/>
            <w:r w:rsidRPr="009C5807">
              <w:rPr>
                <w:lang w:eastAsia="zh-CN"/>
              </w:rPr>
              <w:t>The SSB associated with the TCI state remain detectable during the TCI switching period</w:t>
            </w:r>
            <w:bookmarkEnd w:id="30"/>
          </w:p>
          <w:p w14:paraId="11B79843" w14:textId="77777777" w:rsidR="00701111" w:rsidRPr="009C5807" w:rsidRDefault="00701111" w:rsidP="00701111">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4B58F524" w14:textId="77777777" w:rsidR="00701111" w:rsidRDefault="00701111" w:rsidP="00701111">
            <w:pPr>
              <w:rPr>
                <w:rFonts w:eastAsia="Malgun Gothic"/>
                <w:lang w:eastAsia="zh-CN"/>
              </w:rPr>
            </w:pPr>
            <w:r w:rsidRPr="00EB778F">
              <w:rPr>
                <w:rFonts w:eastAsia="Malgun Gothic"/>
                <w:lang w:eastAsia="zh-CN"/>
              </w:rPr>
              <w:t>Otherwise, the TCI state is unknown.</w:t>
            </w:r>
          </w:p>
          <w:p w14:paraId="58DF8D84" w14:textId="77777777" w:rsidR="00701111" w:rsidRDefault="00701111" w:rsidP="002939B1"/>
        </w:tc>
      </w:tr>
    </w:tbl>
    <w:p w14:paraId="4F8C967E" w14:textId="77777777" w:rsidR="00701111" w:rsidRDefault="00701111" w:rsidP="002939B1"/>
    <w:p w14:paraId="0139B010" w14:textId="77777777" w:rsidR="00177A56" w:rsidRDefault="00CB4AB8" w:rsidP="00CB4AB8">
      <w:pPr>
        <w:pStyle w:val="RAN4observation0"/>
      </w:pPr>
      <w:bookmarkStart w:id="31" w:name="_Toc135068452"/>
      <w:r>
        <w:t xml:space="preserve">If the </w:t>
      </w:r>
      <w:r w:rsidR="00177A56">
        <w:t>RSs associated with a TCI state are not detectable during the period of measurement to TCI state switch, then the TCI state is considered unknown.</w:t>
      </w:r>
      <w:bookmarkEnd w:id="31"/>
    </w:p>
    <w:p w14:paraId="72DD7DDA" w14:textId="3AF979F2" w:rsidR="004E4FFB" w:rsidRPr="004E4FFB" w:rsidRDefault="00304E04">
      <w:pPr>
        <w:pStyle w:val="RAN4proposal"/>
      </w:pPr>
      <w:bookmarkStart w:id="32" w:name="_Toc135068453"/>
      <w:r>
        <w:t xml:space="preserve">RAN4 </w:t>
      </w:r>
      <w:r w:rsidR="0037001D">
        <w:t xml:space="preserve">RRM </w:t>
      </w:r>
      <w:r>
        <w:t xml:space="preserve">should discuss </w:t>
      </w:r>
      <w:r w:rsidR="00E27A4B">
        <w:t xml:space="preserve">detectability </w:t>
      </w:r>
      <w:r>
        <w:t xml:space="preserve">conditions for </w:t>
      </w:r>
      <w:proofErr w:type="spellStart"/>
      <w:r w:rsidR="00E27A4B">
        <w:t>mTR</w:t>
      </w:r>
      <w:r w:rsidR="0037001D">
        <w:t>P</w:t>
      </w:r>
      <w:proofErr w:type="spellEnd"/>
      <w:r w:rsidR="0037001D">
        <w:t xml:space="preserve"> </w:t>
      </w:r>
      <w:r>
        <w:t xml:space="preserve">TCI state </w:t>
      </w:r>
      <w:r w:rsidR="0037001D">
        <w:t xml:space="preserve">management </w:t>
      </w:r>
      <w:r w:rsidR="004130DC">
        <w:rPr>
          <w:rStyle w:val="normaltextrun"/>
          <w:color w:val="000000"/>
          <w:szCs w:val="20"/>
          <w:shd w:val="clear" w:color="auto" w:fill="FFFFFF"/>
        </w:rPr>
        <w:t>as part of requirements of TCI state switching delay</w:t>
      </w:r>
      <w:r w:rsidR="004130DC">
        <w:t>.</w:t>
      </w:r>
      <w:bookmarkEnd w:id="32"/>
      <w:r w:rsidR="0037001D">
        <w:t xml:space="preserve"> </w:t>
      </w:r>
    </w:p>
    <w:p w14:paraId="16CA844C" w14:textId="36C6F986" w:rsidR="00CD7492" w:rsidRPr="008C39F7" w:rsidRDefault="00CD7492" w:rsidP="00042CC2">
      <w:pPr>
        <w:pStyle w:val="RAN4H1"/>
      </w:pPr>
      <w:bookmarkStart w:id="33" w:name="_Toc116995848"/>
      <w:r w:rsidRPr="008C39F7">
        <w:t>Conclusion</w:t>
      </w:r>
      <w:bookmarkEnd w:id="33"/>
    </w:p>
    <w:p w14:paraId="0950A82B" w14:textId="00CB2BB8" w:rsidR="00C22641" w:rsidRDefault="00C22641" w:rsidP="002C24A1">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xml:space="preserve">In the </w:t>
      </w:r>
      <w:r w:rsidR="00EB778F">
        <w:rPr>
          <w:rStyle w:val="normaltextrun"/>
          <w:sz w:val="20"/>
          <w:szCs w:val="20"/>
        </w:rPr>
        <w:t>contribution</w:t>
      </w:r>
      <w:r>
        <w:rPr>
          <w:rStyle w:val="normaltextrun"/>
          <w:sz w:val="20"/>
          <w:szCs w:val="20"/>
        </w:rPr>
        <w:t>, the following Observations and Proposals were made:</w:t>
      </w:r>
      <w:r>
        <w:rPr>
          <w:rStyle w:val="eop"/>
          <w:sz w:val="20"/>
          <w:szCs w:val="20"/>
        </w:rPr>
        <w:t> </w:t>
      </w:r>
    </w:p>
    <w:p w14:paraId="1092EA18" w14:textId="77777777" w:rsidR="00D5270B" w:rsidRPr="008C39F7" w:rsidRDefault="00D5270B" w:rsidP="00936159">
      <w:pPr>
        <w:rPr>
          <w:highlight w:val="yellow"/>
        </w:rPr>
      </w:pPr>
    </w:p>
    <w:bookmarkStart w:id="34" w:name="_Hlk135057853"/>
    <w:p w14:paraId="6810C647" w14:textId="4EFB958D" w:rsidR="009C7753" w:rsidRDefault="00A4355E">
      <w:pPr>
        <w:pStyle w:val="TOC4"/>
        <w:rPr>
          <w:rFonts w:asciiTheme="minorHAnsi" w:eastAsiaTheme="minorEastAsia" w:hAnsiTheme="minorHAnsi"/>
          <w:noProof/>
          <w:sz w:val="22"/>
        </w:rPr>
      </w:pPr>
      <w:r w:rsidRPr="008C39F7">
        <w:rPr>
          <w:i/>
          <w:iCs/>
        </w:rPr>
        <w:fldChar w:fldCharType="begin"/>
      </w:r>
      <w:r w:rsidRPr="008C39F7">
        <w:rPr>
          <w:i/>
        </w:rPr>
        <w:instrText xml:space="preserve"> TOC \n \h \z \t "RAN4 proposal,5,RAN4 observation,4" </w:instrText>
      </w:r>
      <w:r w:rsidRPr="008C39F7">
        <w:rPr>
          <w:i/>
          <w:iCs/>
        </w:rPr>
        <w:fldChar w:fldCharType="separate"/>
      </w:r>
      <w:hyperlink w:anchor="_Toc135068431" w:history="1">
        <w:r w:rsidR="009C7753" w:rsidRPr="00AC68C2">
          <w:rPr>
            <w:rStyle w:val="Hyperlink"/>
            <w:b/>
            <w:noProof/>
          </w:rPr>
          <w:t>Observation 1:</w:t>
        </w:r>
        <w:r w:rsidR="009C7753" w:rsidRPr="00AC68C2">
          <w:rPr>
            <w:rStyle w:val="Hyperlink"/>
            <w:noProof/>
          </w:rPr>
          <w:t xml:space="preserve"> When, due to changed UE conditions, the UE can no longer receive a beam pair simultaneously, based on the existing mechanism the network gets this information only at the next group-based report.</w:t>
        </w:r>
      </w:hyperlink>
    </w:p>
    <w:p w14:paraId="66938C4C" w14:textId="6D496273" w:rsidR="009C7753" w:rsidRDefault="009C7753">
      <w:pPr>
        <w:pStyle w:val="TOC4"/>
        <w:rPr>
          <w:rFonts w:asciiTheme="minorHAnsi" w:eastAsiaTheme="minorEastAsia" w:hAnsiTheme="minorHAnsi"/>
          <w:noProof/>
          <w:sz w:val="22"/>
        </w:rPr>
      </w:pPr>
      <w:hyperlink w:anchor="_Toc135068432" w:history="1">
        <w:r w:rsidRPr="00AC68C2">
          <w:rPr>
            <w:rStyle w:val="Hyperlink"/>
            <w:b/>
            <w:noProof/>
          </w:rPr>
          <w:t>Observation 2:</w:t>
        </w:r>
        <w:r w:rsidRPr="00AC68C2">
          <w:rPr>
            <w:rStyle w:val="Hyperlink"/>
            <w:noProof/>
          </w:rPr>
          <w:t xml:space="preserve"> The network does not have visibility to the cause of the problem in simultaneous reception, and without this information the network may not be able to take the best next action.</w:t>
        </w:r>
      </w:hyperlink>
    </w:p>
    <w:p w14:paraId="457A3F23" w14:textId="06E5C99D" w:rsidR="009C7753" w:rsidRDefault="009C7753">
      <w:pPr>
        <w:pStyle w:val="TOC5"/>
        <w:tabs>
          <w:tab w:val="right" w:leader="dot" w:pos="9617"/>
        </w:tabs>
        <w:rPr>
          <w:rFonts w:asciiTheme="minorHAnsi" w:eastAsiaTheme="minorEastAsia" w:hAnsiTheme="minorHAnsi"/>
          <w:b w:val="0"/>
          <w:noProof/>
          <w:sz w:val="22"/>
        </w:rPr>
      </w:pPr>
      <w:hyperlink w:anchor="_Toc135068433" w:history="1">
        <w:r w:rsidRPr="00AC68C2">
          <w:rPr>
            <w:rStyle w:val="Hyperlink"/>
            <w:noProof/>
          </w:rPr>
          <w:t>Proposal 1: Introduce UE indication to inform the network that the beam pair being currently received and reported can no longer be received simultaneously.</w:t>
        </w:r>
      </w:hyperlink>
    </w:p>
    <w:p w14:paraId="7DD50165" w14:textId="5F2B30F5" w:rsidR="009C7753" w:rsidRDefault="009C7753">
      <w:pPr>
        <w:pStyle w:val="TOC5"/>
        <w:tabs>
          <w:tab w:val="right" w:leader="dot" w:pos="9617"/>
        </w:tabs>
        <w:rPr>
          <w:rFonts w:asciiTheme="minorHAnsi" w:eastAsiaTheme="minorEastAsia" w:hAnsiTheme="minorHAnsi"/>
          <w:b w:val="0"/>
          <w:noProof/>
          <w:sz w:val="22"/>
        </w:rPr>
      </w:pPr>
      <w:hyperlink w:anchor="_Toc135068434" w:history="1">
        <w:r w:rsidRPr="00AC68C2">
          <w:rPr>
            <w:rStyle w:val="Hyperlink"/>
            <w:noProof/>
          </w:rPr>
          <w:t>Proposal 2: Introduce UE indication to inform the network about the cause of m-TRP link degradation, the causes including at least:</w:t>
        </w:r>
      </w:hyperlink>
    </w:p>
    <w:p w14:paraId="6FA37E2B" w14:textId="4642A979" w:rsidR="009C7753" w:rsidRDefault="009C7753">
      <w:pPr>
        <w:pStyle w:val="TOC5"/>
        <w:tabs>
          <w:tab w:val="left" w:pos="400"/>
          <w:tab w:val="right" w:leader="dot" w:pos="9617"/>
        </w:tabs>
        <w:rPr>
          <w:rFonts w:asciiTheme="minorHAnsi" w:eastAsiaTheme="minorEastAsia" w:hAnsiTheme="minorHAnsi"/>
          <w:b w:val="0"/>
          <w:noProof/>
          <w:sz w:val="22"/>
        </w:rPr>
      </w:pPr>
      <w:hyperlink w:anchor="_Toc135068435" w:history="1">
        <w:r w:rsidRPr="00AC68C2">
          <w:rPr>
            <w:rStyle w:val="Hyperlink"/>
            <w:rFonts w:ascii="Symbol" w:hAnsi="Symbol" w:cs="Times New Roman"/>
            <w:noProof/>
          </w:rPr>
          <w:t></w:t>
        </w:r>
        <w:r>
          <w:rPr>
            <w:rFonts w:asciiTheme="minorHAnsi" w:eastAsiaTheme="minorEastAsia" w:hAnsiTheme="minorHAnsi"/>
            <w:b w:val="0"/>
            <w:noProof/>
            <w:sz w:val="22"/>
          </w:rPr>
          <w:tab/>
        </w:r>
        <w:r w:rsidRPr="00AC68C2">
          <w:rPr>
            <w:rStyle w:val="Hyperlink"/>
            <w:rFonts w:cs="Times New Roman"/>
            <w:noProof/>
          </w:rPr>
          <w:t xml:space="preserve">Case 1: </w:t>
        </w:r>
        <w:r w:rsidRPr="00AC68C2">
          <w:rPr>
            <w:rStyle w:val="Hyperlink"/>
            <w:rFonts w:cs="Times New Roman"/>
            <w:bCs/>
            <w:noProof/>
          </w:rPr>
          <w:t>Both TCI states can be received separately, but not simultaneously</w:t>
        </w:r>
      </w:hyperlink>
    </w:p>
    <w:p w14:paraId="6E2C28D6" w14:textId="0609AC73" w:rsidR="009C7753" w:rsidRDefault="009C7753">
      <w:pPr>
        <w:pStyle w:val="TOC5"/>
        <w:tabs>
          <w:tab w:val="left" w:pos="400"/>
          <w:tab w:val="right" w:leader="dot" w:pos="9617"/>
        </w:tabs>
        <w:rPr>
          <w:rFonts w:asciiTheme="minorHAnsi" w:eastAsiaTheme="minorEastAsia" w:hAnsiTheme="minorHAnsi"/>
          <w:b w:val="0"/>
          <w:noProof/>
          <w:sz w:val="22"/>
        </w:rPr>
      </w:pPr>
      <w:hyperlink w:anchor="_Toc135068436" w:history="1">
        <w:r w:rsidRPr="00AC68C2">
          <w:rPr>
            <w:rStyle w:val="Hyperlink"/>
            <w:rFonts w:ascii="Symbol" w:hAnsi="Symbol" w:cs="Times New Roman"/>
            <w:noProof/>
          </w:rPr>
          <w:t></w:t>
        </w:r>
        <w:r>
          <w:rPr>
            <w:rFonts w:asciiTheme="minorHAnsi" w:eastAsiaTheme="minorEastAsia" w:hAnsiTheme="minorHAnsi"/>
            <w:b w:val="0"/>
            <w:noProof/>
            <w:sz w:val="22"/>
          </w:rPr>
          <w:tab/>
        </w:r>
        <w:r w:rsidRPr="00AC68C2">
          <w:rPr>
            <w:rStyle w:val="Hyperlink"/>
            <w:rFonts w:cs="Times New Roman"/>
            <w:noProof/>
          </w:rPr>
          <w:t>Case 2: Single TCI state is experiencing link degradation (UE indicates the TCI state ID)</w:t>
        </w:r>
      </w:hyperlink>
    </w:p>
    <w:p w14:paraId="2F278544" w14:textId="1D158200" w:rsidR="009C7753" w:rsidRDefault="009C7753">
      <w:pPr>
        <w:pStyle w:val="TOC5"/>
        <w:tabs>
          <w:tab w:val="left" w:pos="400"/>
          <w:tab w:val="right" w:leader="dot" w:pos="9617"/>
        </w:tabs>
        <w:rPr>
          <w:rFonts w:asciiTheme="minorHAnsi" w:eastAsiaTheme="minorEastAsia" w:hAnsiTheme="minorHAnsi"/>
          <w:b w:val="0"/>
          <w:noProof/>
          <w:sz w:val="22"/>
        </w:rPr>
      </w:pPr>
      <w:hyperlink w:anchor="_Toc135068437" w:history="1">
        <w:r w:rsidRPr="00AC68C2">
          <w:rPr>
            <w:rStyle w:val="Hyperlink"/>
            <w:rFonts w:ascii="Symbol" w:hAnsi="Symbol" w:cs="Times New Roman"/>
            <w:bCs/>
            <w:noProof/>
          </w:rPr>
          <w:t></w:t>
        </w:r>
        <w:r>
          <w:rPr>
            <w:rFonts w:asciiTheme="minorHAnsi" w:eastAsiaTheme="minorEastAsia" w:hAnsiTheme="minorHAnsi"/>
            <w:b w:val="0"/>
            <w:noProof/>
            <w:sz w:val="22"/>
          </w:rPr>
          <w:tab/>
        </w:r>
        <w:r w:rsidRPr="00AC68C2">
          <w:rPr>
            <w:rStyle w:val="Hyperlink"/>
            <w:rFonts w:cs="Times New Roman"/>
            <w:noProof/>
          </w:rPr>
          <w:t>Case 3: Both TCI states expedience link degradation</w:t>
        </w:r>
      </w:hyperlink>
    </w:p>
    <w:p w14:paraId="1A304E5B" w14:textId="0AABDF23" w:rsidR="009C7753" w:rsidRDefault="009C7753">
      <w:pPr>
        <w:pStyle w:val="TOC5"/>
        <w:tabs>
          <w:tab w:val="right" w:leader="dot" w:pos="9617"/>
        </w:tabs>
        <w:rPr>
          <w:rFonts w:asciiTheme="minorHAnsi" w:eastAsiaTheme="minorEastAsia" w:hAnsiTheme="minorHAnsi"/>
          <w:b w:val="0"/>
          <w:noProof/>
          <w:sz w:val="22"/>
        </w:rPr>
      </w:pPr>
      <w:hyperlink w:anchor="_Toc135068438" w:history="1">
        <w:r w:rsidRPr="00AC68C2">
          <w:rPr>
            <w:rStyle w:val="Hyperlink"/>
            <w:noProof/>
          </w:rPr>
          <w:t>Proposal 3: Send LS to RAN2 requesting signaling support for mTRP link degradation indication.</w:t>
        </w:r>
      </w:hyperlink>
    </w:p>
    <w:p w14:paraId="4A3ACBEE" w14:textId="3F98D04B" w:rsidR="009C7753" w:rsidRDefault="009C7753">
      <w:pPr>
        <w:pStyle w:val="TOC4"/>
        <w:rPr>
          <w:rFonts w:asciiTheme="minorHAnsi" w:eastAsiaTheme="minorEastAsia" w:hAnsiTheme="minorHAnsi"/>
          <w:noProof/>
          <w:sz w:val="22"/>
        </w:rPr>
      </w:pPr>
      <w:hyperlink w:anchor="_Toc135068439" w:history="1">
        <w:r w:rsidRPr="00AC68C2">
          <w:rPr>
            <w:rStyle w:val="Hyperlink"/>
            <w:b/>
            <w:noProof/>
          </w:rPr>
          <w:t>Observation 3:</w:t>
        </w:r>
        <w:r w:rsidRPr="00AC68C2">
          <w:rPr>
            <w:rStyle w:val="Hyperlink"/>
            <w:noProof/>
          </w:rPr>
          <w:t xml:space="preserve"> Optimum Beam pair selection for GBBR could depend on AoA offsets, RSRP differences, RTD differences, maximum MIMO rank, inter-TRP interference.</w:t>
        </w:r>
      </w:hyperlink>
    </w:p>
    <w:p w14:paraId="4CAE3F41" w14:textId="75C3144D" w:rsidR="009C7753" w:rsidRDefault="009C7753">
      <w:pPr>
        <w:pStyle w:val="TOC5"/>
        <w:tabs>
          <w:tab w:val="right" w:leader="dot" w:pos="9617"/>
        </w:tabs>
        <w:rPr>
          <w:rFonts w:asciiTheme="minorHAnsi" w:eastAsiaTheme="minorEastAsia" w:hAnsiTheme="minorHAnsi"/>
          <w:b w:val="0"/>
          <w:noProof/>
          <w:sz w:val="22"/>
        </w:rPr>
      </w:pPr>
      <w:hyperlink w:anchor="_Toc135068440" w:history="1">
        <w:r w:rsidRPr="00AC68C2">
          <w:rPr>
            <w:rStyle w:val="Hyperlink"/>
            <w:noProof/>
          </w:rPr>
          <w:t>Proposal 4: RAN4 RRM requirements should define conditions for beam selection for R-17 Group-Based Beam Reporting.</w:t>
        </w:r>
      </w:hyperlink>
    </w:p>
    <w:p w14:paraId="53BD79A1" w14:textId="7D6E7CDA" w:rsidR="009C7753" w:rsidRDefault="009C7753">
      <w:pPr>
        <w:pStyle w:val="TOC4"/>
        <w:rPr>
          <w:rFonts w:asciiTheme="minorHAnsi" w:eastAsiaTheme="minorEastAsia" w:hAnsiTheme="minorHAnsi"/>
          <w:noProof/>
          <w:sz w:val="22"/>
        </w:rPr>
      </w:pPr>
      <w:hyperlink w:anchor="_Toc135068441" w:history="1">
        <w:r w:rsidRPr="00AC68C2">
          <w:rPr>
            <w:rStyle w:val="Hyperlink"/>
            <w:b/>
            <w:noProof/>
          </w:rPr>
          <w:t>Observation 4:</w:t>
        </w:r>
        <w:r w:rsidRPr="00AC68C2">
          <w:rPr>
            <w:rStyle w:val="Hyperlink"/>
            <w:noProof/>
            <w:shd w:val="clear" w:color="auto" w:fill="FFFFFF"/>
          </w:rPr>
          <w:t xml:space="preserve"> Multi Rx operation is not necessary to be maintained constantly.</w:t>
        </w:r>
      </w:hyperlink>
    </w:p>
    <w:p w14:paraId="26EFE73D" w14:textId="53D0B0D5" w:rsidR="009C7753" w:rsidRDefault="009C7753">
      <w:pPr>
        <w:pStyle w:val="TOC5"/>
        <w:tabs>
          <w:tab w:val="right" w:leader="dot" w:pos="9617"/>
        </w:tabs>
        <w:rPr>
          <w:rFonts w:asciiTheme="minorHAnsi" w:eastAsiaTheme="minorEastAsia" w:hAnsiTheme="minorHAnsi"/>
          <w:b w:val="0"/>
          <w:noProof/>
          <w:sz w:val="22"/>
        </w:rPr>
      </w:pPr>
      <w:hyperlink w:anchor="_Toc135068442" w:history="1">
        <w:r w:rsidRPr="00AC68C2">
          <w:rPr>
            <w:rStyle w:val="Hyperlink"/>
            <w:noProof/>
          </w:rPr>
          <w:t>Proposal 5: When a UE is capable of multi Rx reception, the network should be aware of when the UE is using 2 Rx chains for reducing measurement times or reducing scheduling restrictions or when it is using a single Rx chain.</w:t>
        </w:r>
      </w:hyperlink>
    </w:p>
    <w:p w14:paraId="5C86C927" w14:textId="514F8C48" w:rsidR="009C7753" w:rsidRDefault="009C7753">
      <w:pPr>
        <w:pStyle w:val="TOC5"/>
        <w:tabs>
          <w:tab w:val="right" w:leader="dot" w:pos="9617"/>
        </w:tabs>
        <w:rPr>
          <w:rFonts w:asciiTheme="minorHAnsi" w:eastAsiaTheme="minorEastAsia" w:hAnsiTheme="minorHAnsi"/>
          <w:b w:val="0"/>
          <w:noProof/>
          <w:sz w:val="22"/>
        </w:rPr>
      </w:pPr>
      <w:hyperlink w:anchor="_Toc135068443" w:history="1">
        <w:r w:rsidRPr="00AC68C2">
          <w:rPr>
            <w:rStyle w:val="Hyperlink"/>
            <w:noProof/>
          </w:rPr>
          <w:t>Proposal 6: RAN4 to discuss new signaling for UE indication of use of 2 Rx chains.</w:t>
        </w:r>
      </w:hyperlink>
    </w:p>
    <w:p w14:paraId="39DFCDA3" w14:textId="7B368685" w:rsidR="009C7753" w:rsidRDefault="009C7753">
      <w:pPr>
        <w:pStyle w:val="TOC5"/>
        <w:tabs>
          <w:tab w:val="right" w:leader="dot" w:pos="9617"/>
        </w:tabs>
        <w:rPr>
          <w:rFonts w:asciiTheme="minorHAnsi" w:eastAsiaTheme="minorEastAsia" w:hAnsiTheme="minorHAnsi"/>
          <w:b w:val="0"/>
          <w:noProof/>
          <w:sz w:val="22"/>
        </w:rPr>
      </w:pPr>
      <w:hyperlink w:anchor="_Toc135068444" w:history="1">
        <w:r w:rsidRPr="00AC68C2">
          <w:rPr>
            <w:rStyle w:val="Hyperlink"/>
            <w:noProof/>
          </w:rPr>
          <w:t>Proposal 7: RAN4 to consider the following modes for multi-Rx indication:</w:t>
        </w:r>
      </w:hyperlink>
    </w:p>
    <w:p w14:paraId="59E0B257" w14:textId="523F6B07" w:rsidR="009C7753" w:rsidRDefault="009C7753">
      <w:pPr>
        <w:pStyle w:val="TOC5"/>
        <w:tabs>
          <w:tab w:val="left" w:pos="400"/>
          <w:tab w:val="right" w:leader="dot" w:pos="9617"/>
        </w:tabs>
        <w:rPr>
          <w:rFonts w:asciiTheme="minorHAnsi" w:eastAsiaTheme="minorEastAsia" w:hAnsiTheme="minorHAnsi"/>
          <w:b w:val="0"/>
          <w:noProof/>
          <w:sz w:val="22"/>
        </w:rPr>
      </w:pPr>
      <w:hyperlink w:anchor="_Toc135068445" w:history="1">
        <w:r w:rsidRPr="00AC68C2">
          <w:rPr>
            <w:rStyle w:val="Hyperlink"/>
            <w:noProof/>
          </w:rPr>
          <w:t>a.</w:t>
        </w:r>
        <w:r>
          <w:rPr>
            <w:rFonts w:asciiTheme="minorHAnsi" w:eastAsiaTheme="minorEastAsia" w:hAnsiTheme="minorHAnsi"/>
            <w:b w:val="0"/>
            <w:noProof/>
            <w:sz w:val="22"/>
          </w:rPr>
          <w:tab/>
        </w:r>
        <w:r w:rsidRPr="00AC68C2">
          <w:rPr>
            <w:rStyle w:val="Hyperlink"/>
            <w:noProof/>
          </w:rPr>
          <w:t>Mode 1: single chain RRM</w:t>
        </w:r>
      </w:hyperlink>
    </w:p>
    <w:p w14:paraId="1C26A26D" w14:textId="3BE1FD95" w:rsidR="009C7753" w:rsidRDefault="009C7753">
      <w:pPr>
        <w:pStyle w:val="TOC5"/>
        <w:tabs>
          <w:tab w:val="left" w:pos="400"/>
          <w:tab w:val="right" w:leader="dot" w:pos="9617"/>
        </w:tabs>
        <w:rPr>
          <w:rFonts w:asciiTheme="minorHAnsi" w:eastAsiaTheme="minorEastAsia" w:hAnsiTheme="minorHAnsi"/>
          <w:b w:val="0"/>
          <w:noProof/>
          <w:sz w:val="22"/>
        </w:rPr>
      </w:pPr>
      <w:hyperlink w:anchor="_Toc135068446" w:history="1">
        <w:r w:rsidRPr="00AC68C2">
          <w:rPr>
            <w:rStyle w:val="Hyperlink"/>
            <w:noProof/>
          </w:rPr>
          <w:t>b.</w:t>
        </w:r>
        <w:r>
          <w:rPr>
            <w:rFonts w:asciiTheme="minorHAnsi" w:eastAsiaTheme="minorEastAsia" w:hAnsiTheme="minorHAnsi"/>
            <w:b w:val="0"/>
            <w:noProof/>
            <w:sz w:val="22"/>
          </w:rPr>
          <w:tab/>
        </w:r>
        <w:r w:rsidRPr="00AC68C2">
          <w:rPr>
            <w:rStyle w:val="Hyperlink"/>
            <w:noProof/>
          </w:rPr>
          <w:t>Mode 2: multi-Rx RRM enabled for reduction of scheduling restrictions</w:t>
        </w:r>
      </w:hyperlink>
    </w:p>
    <w:p w14:paraId="1131FBE1" w14:textId="4DBAC6F5" w:rsidR="009C7753" w:rsidRDefault="009C7753">
      <w:pPr>
        <w:pStyle w:val="TOC5"/>
        <w:tabs>
          <w:tab w:val="left" w:pos="400"/>
          <w:tab w:val="right" w:leader="dot" w:pos="9617"/>
        </w:tabs>
        <w:rPr>
          <w:rFonts w:asciiTheme="minorHAnsi" w:eastAsiaTheme="minorEastAsia" w:hAnsiTheme="minorHAnsi"/>
          <w:b w:val="0"/>
          <w:noProof/>
          <w:sz w:val="22"/>
        </w:rPr>
      </w:pPr>
      <w:hyperlink w:anchor="_Toc135068447" w:history="1">
        <w:r w:rsidRPr="00AC68C2">
          <w:rPr>
            <w:rStyle w:val="Hyperlink"/>
            <w:noProof/>
          </w:rPr>
          <w:t>c.</w:t>
        </w:r>
        <w:r>
          <w:rPr>
            <w:rFonts w:asciiTheme="minorHAnsi" w:eastAsiaTheme="minorEastAsia" w:hAnsiTheme="minorHAnsi"/>
            <w:b w:val="0"/>
            <w:noProof/>
            <w:sz w:val="22"/>
          </w:rPr>
          <w:tab/>
        </w:r>
        <w:r w:rsidRPr="00AC68C2">
          <w:rPr>
            <w:rStyle w:val="Hyperlink"/>
            <w:noProof/>
          </w:rPr>
          <w:t>Mode 3: multi-Rx RRM enabled for reduction of L1 measurement time</w:t>
        </w:r>
      </w:hyperlink>
    </w:p>
    <w:p w14:paraId="459896C4" w14:textId="7D1179C2" w:rsidR="009C7753" w:rsidRDefault="009C7753">
      <w:pPr>
        <w:pStyle w:val="TOC5"/>
        <w:tabs>
          <w:tab w:val="right" w:leader="dot" w:pos="9617"/>
        </w:tabs>
        <w:rPr>
          <w:rFonts w:asciiTheme="minorHAnsi" w:eastAsiaTheme="minorEastAsia" w:hAnsiTheme="minorHAnsi"/>
          <w:b w:val="0"/>
          <w:noProof/>
          <w:sz w:val="22"/>
        </w:rPr>
      </w:pPr>
      <w:hyperlink w:anchor="_Toc135068448" w:history="1">
        <w:r w:rsidRPr="00AC68C2">
          <w:rPr>
            <w:rStyle w:val="Hyperlink"/>
            <w:noProof/>
          </w:rPr>
          <w:t>Proposal 8: Modes 1, 2 and 3 are configured by the network based on indicated UE capabilities and preferences.</w:t>
        </w:r>
      </w:hyperlink>
    </w:p>
    <w:p w14:paraId="09DCC79B" w14:textId="1822B038" w:rsidR="009C7753" w:rsidRDefault="009C7753">
      <w:pPr>
        <w:pStyle w:val="TOC5"/>
        <w:tabs>
          <w:tab w:val="right" w:leader="dot" w:pos="9617"/>
        </w:tabs>
        <w:rPr>
          <w:rFonts w:asciiTheme="minorHAnsi" w:eastAsiaTheme="minorEastAsia" w:hAnsiTheme="minorHAnsi"/>
          <w:b w:val="0"/>
          <w:noProof/>
          <w:sz w:val="22"/>
        </w:rPr>
      </w:pPr>
      <w:hyperlink w:anchor="_Toc135068449" w:history="1">
        <w:r w:rsidRPr="00AC68C2">
          <w:rPr>
            <w:rStyle w:val="Hyperlink"/>
            <w:noProof/>
          </w:rPr>
          <w:t>Proposal 9: RAN4 to send LS to RAN2 requesting signaling support for the multi-Rx mode configuration.</w:t>
        </w:r>
      </w:hyperlink>
    </w:p>
    <w:p w14:paraId="75E23615" w14:textId="74A21B7B" w:rsidR="009C7753" w:rsidRDefault="009C7753">
      <w:pPr>
        <w:pStyle w:val="TOC4"/>
        <w:rPr>
          <w:rFonts w:asciiTheme="minorHAnsi" w:eastAsiaTheme="minorEastAsia" w:hAnsiTheme="minorHAnsi"/>
          <w:noProof/>
          <w:sz w:val="22"/>
        </w:rPr>
      </w:pPr>
      <w:hyperlink w:anchor="_Toc135068450" w:history="1">
        <w:r w:rsidRPr="00AC68C2">
          <w:rPr>
            <w:rStyle w:val="Hyperlink"/>
            <w:b/>
            <w:noProof/>
          </w:rPr>
          <w:t>Observation 5:</w:t>
        </w:r>
        <w:r w:rsidRPr="00AC68C2">
          <w:rPr>
            <w:rStyle w:val="Hyperlink"/>
            <w:noProof/>
            <w:lang w:val="en-GB"/>
          </w:rPr>
          <w:t xml:space="preserve"> QCL-A and QCL-C relation is used in existing RAN4 RRM requirements in TCI state switching delay, for the determination of the first SSB available for the UE to acquire timing.</w:t>
        </w:r>
      </w:hyperlink>
    </w:p>
    <w:p w14:paraId="0241CD5A" w14:textId="05242ACD" w:rsidR="009C7753" w:rsidRDefault="009C7753">
      <w:pPr>
        <w:pStyle w:val="TOC5"/>
        <w:tabs>
          <w:tab w:val="right" w:leader="dot" w:pos="9617"/>
        </w:tabs>
        <w:rPr>
          <w:rFonts w:asciiTheme="minorHAnsi" w:eastAsiaTheme="minorEastAsia" w:hAnsiTheme="minorHAnsi"/>
          <w:b w:val="0"/>
          <w:noProof/>
          <w:sz w:val="22"/>
        </w:rPr>
      </w:pPr>
      <w:hyperlink w:anchor="_Toc135068451" w:history="1">
        <w:r w:rsidRPr="00AC68C2">
          <w:rPr>
            <w:rStyle w:val="Hyperlink"/>
            <w:noProof/>
          </w:rPr>
          <w:t>Proposal 10:</w:t>
        </w:r>
        <w:r w:rsidRPr="00AC68C2">
          <w:rPr>
            <w:rStyle w:val="Hyperlink"/>
            <w:noProof/>
            <w:shd w:val="clear" w:color="auto" w:fill="FFFFFF"/>
          </w:rPr>
          <w:t xml:space="preserve"> RAN4 should discuss QCL relations as part of requirements of TCI state switching delay.</w:t>
        </w:r>
      </w:hyperlink>
    </w:p>
    <w:p w14:paraId="316FA3C7" w14:textId="7DBEBAC4" w:rsidR="009C7753" w:rsidRDefault="009C7753">
      <w:pPr>
        <w:pStyle w:val="TOC4"/>
        <w:rPr>
          <w:rFonts w:asciiTheme="minorHAnsi" w:eastAsiaTheme="minorEastAsia" w:hAnsiTheme="minorHAnsi"/>
          <w:noProof/>
          <w:sz w:val="22"/>
        </w:rPr>
      </w:pPr>
      <w:hyperlink w:anchor="_Toc135068452" w:history="1">
        <w:r w:rsidRPr="00AC68C2">
          <w:rPr>
            <w:rStyle w:val="Hyperlink"/>
            <w:b/>
            <w:noProof/>
          </w:rPr>
          <w:t>Observation 6:</w:t>
        </w:r>
        <w:r w:rsidRPr="00AC68C2">
          <w:rPr>
            <w:rStyle w:val="Hyperlink"/>
            <w:noProof/>
          </w:rPr>
          <w:t xml:space="preserve"> If the RSs associated with a TCI state are not detectable during the period of measurement to TCI state switch, then the TCI state is considered unknown.</w:t>
        </w:r>
      </w:hyperlink>
    </w:p>
    <w:p w14:paraId="22EAD7F9" w14:textId="12A7603A" w:rsidR="009C7753" w:rsidRDefault="009C7753">
      <w:pPr>
        <w:pStyle w:val="TOC5"/>
        <w:tabs>
          <w:tab w:val="right" w:leader="dot" w:pos="9617"/>
        </w:tabs>
        <w:rPr>
          <w:rFonts w:asciiTheme="minorHAnsi" w:eastAsiaTheme="minorEastAsia" w:hAnsiTheme="minorHAnsi"/>
          <w:b w:val="0"/>
          <w:noProof/>
          <w:sz w:val="22"/>
        </w:rPr>
      </w:pPr>
      <w:hyperlink w:anchor="_Toc135068453" w:history="1">
        <w:r w:rsidRPr="00AC68C2">
          <w:rPr>
            <w:rStyle w:val="Hyperlink"/>
            <w:noProof/>
          </w:rPr>
          <w:t xml:space="preserve">Proposal 11: RAN4 RRM should discuss detectability conditions for mTRP TCI state management </w:t>
        </w:r>
        <w:r w:rsidRPr="00AC68C2">
          <w:rPr>
            <w:rStyle w:val="Hyperlink"/>
            <w:noProof/>
            <w:shd w:val="clear" w:color="auto" w:fill="FFFFFF"/>
          </w:rPr>
          <w:t>as part of requirements of TCI state switching delay</w:t>
        </w:r>
        <w:r w:rsidRPr="00AC68C2">
          <w:rPr>
            <w:rStyle w:val="Hyperlink"/>
            <w:noProof/>
          </w:rPr>
          <w:t>.</w:t>
        </w:r>
      </w:hyperlink>
    </w:p>
    <w:p w14:paraId="6D2671DE" w14:textId="266C2B4C" w:rsidR="008C39F7" w:rsidRPr="008C39F7" w:rsidRDefault="00A4355E" w:rsidP="00E05A80">
      <w:pPr>
        <w:jc w:val="both"/>
      </w:pPr>
      <w:r w:rsidRPr="008C39F7">
        <w:fldChar w:fldCharType="end"/>
      </w:r>
      <w:bookmarkStart w:id="35" w:name="_Toc116995849"/>
      <w:bookmarkEnd w:id="34"/>
    </w:p>
    <w:p w14:paraId="6E61D21D" w14:textId="48A4964A" w:rsidR="003B659E" w:rsidRPr="008C39F7" w:rsidRDefault="003B659E" w:rsidP="0060543D">
      <w:pPr>
        <w:pStyle w:val="RAN4H1"/>
        <w:numPr>
          <w:ilvl w:val="0"/>
          <w:numId w:val="0"/>
        </w:numPr>
        <w:ind w:left="360" w:hanging="360"/>
      </w:pPr>
      <w:r w:rsidRPr="008C39F7">
        <w:t>References</w:t>
      </w:r>
      <w:bookmarkEnd w:id="35"/>
    </w:p>
    <w:p w14:paraId="39C69540" w14:textId="29213796" w:rsidR="00687FA0" w:rsidRPr="008C39F7" w:rsidRDefault="001A113F" w:rsidP="00042CC2">
      <w:pPr>
        <w:pStyle w:val="ListParagraph"/>
        <w:numPr>
          <w:ilvl w:val="0"/>
          <w:numId w:val="5"/>
        </w:numPr>
        <w:ind w:right="-22"/>
      </w:pPr>
      <w:bookmarkStart w:id="36" w:name="_Ref134686891"/>
      <w:r w:rsidRPr="001A113F">
        <w:t>R4-2306318</w:t>
      </w:r>
      <w:r>
        <w:t xml:space="preserve">, </w:t>
      </w:r>
      <w:r w:rsidRPr="001A113F">
        <w:t>WF on NR FR2 multi-Rx chain DL reception RRM requirements (part 1)</w:t>
      </w:r>
      <w:r>
        <w:t>, vivo</w:t>
      </w:r>
      <w:r w:rsidR="000040DC" w:rsidRPr="008C39F7">
        <w:t>.</w:t>
      </w:r>
      <w:bookmarkEnd w:id="36"/>
      <w:r w:rsidR="000040DC" w:rsidRPr="008C39F7">
        <w:t xml:space="preserve"> </w:t>
      </w:r>
    </w:p>
    <w:p w14:paraId="5ED3E800" w14:textId="6C6A146E" w:rsidR="00D94D41" w:rsidRPr="00D94D41" w:rsidRDefault="00000000" w:rsidP="00D94D41">
      <w:pPr>
        <w:pStyle w:val="ListParagraph"/>
        <w:numPr>
          <w:ilvl w:val="0"/>
          <w:numId w:val="5"/>
        </w:numPr>
        <w:ind w:right="-22"/>
      </w:pPr>
      <w:hyperlink r:id="rId14" w:history="1">
        <w:r w:rsidR="00D94D41" w:rsidRPr="00D94D41">
          <w:t>R4-2306392</w:t>
        </w:r>
      </w:hyperlink>
      <w:r w:rsidR="00D94D41" w:rsidRPr="00D94D41">
        <w:t xml:space="preserve">    Topic summary for [106-bis-e][202] FR2_multiRx_part1</w:t>
      </w:r>
      <w:r w:rsidR="00404183">
        <w:t>, vivo</w:t>
      </w:r>
    </w:p>
    <w:p w14:paraId="5C405D89" w14:textId="74B161D7" w:rsidR="000040DC" w:rsidRPr="008C39F7" w:rsidRDefault="000040DC" w:rsidP="00382CAC">
      <w:pPr>
        <w:ind w:right="-22"/>
      </w:pPr>
    </w:p>
    <w:p w14:paraId="2379D0E4" w14:textId="7F17DF65"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21A11" w14:textId="77777777" w:rsidR="00EE7844" w:rsidRDefault="00EE7844" w:rsidP="00001C9B">
      <w:pPr>
        <w:spacing w:after="0" w:line="240" w:lineRule="auto"/>
      </w:pPr>
      <w:r>
        <w:separator/>
      </w:r>
    </w:p>
  </w:endnote>
  <w:endnote w:type="continuationSeparator" w:id="0">
    <w:p w14:paraId="73025B40" w14:textId="77777777" w:rsidR="00EE7844" w:rsidRDefault="00EE7844" w:rsidP="00001C9B">
      <w:pPr>
        <w:spacing w:after="0" w:line="240" w:lineRule="auto"/>
      </w:pPr>
      <w:r>
        <w:continuationSeparator/>
      </w:r>
    </w:p>
  </w:endnote>
  <w:endnote w:type="continuationNotice" w:id="1">
    <w:p w14:paraId="39869BC1" w14:textId="77777777" w:rsidR="00EE7844" w:rsidRDefault="00EE7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thJax_Main">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EE944" w14:textId="77777777" w:rsidR="00EE7844" w:rsidRDefault="00EE7844" w:rsidP="00001C9B">
      <w:pPr>
        <w:spacing w:after="0" w:line="240" w:lineRule="auto"/>
      </w:pPr>
      <w:r>
        <w:separator/>
      </w:r>
    </w:p>
  </w:footnote>
  <w:footnote w:type="continuationSeparator" w:id="0">
    <w:p w14:paraId="68F88E01" w14:textId="77777777" w:rsidR="00EE7844" w:rsidRDefault="00EE7844" w:rsidP="00001C9B">
      <w:pPr>
        <w:spacing w:after="0" w:line="240" w:lineRule="auto"/>
      </w:pPr>
      <w:r>
        <w:continuationSeparator/>
      </w:r>
    </w:p>
  </w:footnote>
  <w:footnote w:type="continuationNotice" w:id="1">
    <w:p w14:paraId="3D6BBC4D" w14:textId="77777777" w:rsidR="00EE7844" w:rsidRDefault="00EE78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0BAC"/>
    <w:multiLevelType w:val="hybridMultilevel"/>
    <w:tmpl w:val="CD6C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1A62"/>
    <w:multiLevelType w:val="multilevel"/>
    <w:tmpl w:val="D2720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929CD"/>
    <w:multiLevelType w:val="multilevel"/>
    <w:tmpl w:val="A440C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C22A32"/>
    <w:multiLevelType w:val="hybridMultilevel"/>
    <w:tmpl w:val="5338F8FA"/>
    <w:lvl w:ilvl="0" w:tplc="3278A0A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8C71D3"/>
    <w:multiLevelType w:val="multilevel"/>
    <w:tmpl w:val="F8A20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F97F51"/>
    <w:multiLevelType w:val="multilevel"/>
    <w:tmpl w:val="4742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AB20B2"/>
    <w:multiLevelType w:val="multilevel"/>
    <w:tmpl w:val="2C9E38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BA4D10"/>
    <w:multiLevelType w:val="multilevel"/>
    <w:tmpl w:val="5D923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280EF6"/>
    <w:multiLevelType w:val="multilevel"/>
    <w:tmpl w:val="40BC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762F6"/>
    <w:multiLevelType w:val="multilevel"/>
    <w:tmpl w:val="86060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860041"/>
    <w:multiLevelType w:val="multilevel"/>
    <w:tmpl w:val="BA18A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D43939"/>
    <w:multiLevelType w:val="hybridMultilevel"/>
    <w:tmpl w:val="0016A19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DE1288"/>
    <w:multiLevelType w:val="multilevel"/>
    <w:tmpl w:val="1BAA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9F7F0B"/>
    <w:multiLevelType w:val="multilevel"/>
    <w:tmpl w:val="4558B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378E5"/>
    <w:multiLevelType w:val="hybridMultilevel"/>
    <w:tmpl w:val="7C0EC2C2"/>
    <w:lvl w:ilvl="0" w:tplc="04090001">
      <w:start w:val="1"/>
      <w:numFmt w:val="bullet"/>
      <w:lvlText w:val=""/>
      <w:lvlJc w:val="left"/>
      <w:pPr>
        <w:ind w:left="360" w:hanging="360"/>
      </w:pPr>
      <w:rPr>
        <w:rFonts w:ascii="Symbol" w:hAnsi="Symbol" w:hint="default"/>
        <w:b/>
        <w:i w:val="0"/>
        <w:color w:val="auto"/>
        <w:sz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07E1184"/>
    <w:multiLevelType w:val="multilevel"/>
    <w:tmpl w:val="5C56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7439A1"/>
    <w:multiLevelType w:val="multilevel"/>
    <w:tmpl w:val="3162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E70EFA"/>
    <w:multiLevelType w:val="multilevel"/>
    <w:tmpl w:val="99829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215640"/>
    <w:multiLevelType w:val="multilevel"/>
    <w:tmpl w:val="57BC5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410F7D"/>
    <w:multiLevelType w:val="multilevel"/>
    <w:tmpl w:val="CDA4A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672720"/>
    <w:multiLevelType w:val="multilevel"/>
    <w:tmpl w:val="67DA9C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9E6D22"/>
    <w:multiLevelType w:val="multilevel"/>
    <w:tmpl w:val="07B03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E807A6"/>
    <w:multiLevelType w:val="hybridMultilevel"/>
    <w:tmpl w:val="346EC7E4"/>
    <w:lvl w:ilvl="0" w:tplc="FC06215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DF193F"/>
    <w:multiLevelType w:val="multilevel"/>
    <w:tmpl w:val="5560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D74EAB"/>
    <w:multiLevelType w:val="hybridMultilevel"/>
    <w:tmpl w:val="8BB87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6E1869"/>
    <w:multiLevelType w:val="hybridMultilevel"/>
    <w:tmpl w:val="C10A34DC"/>
    <w:lvl w:ilvl="0" w:tplc="7D2ED310">
      <w:start w:val="3"/>
      <w:numFmt w:val="bullet"/>
      <w:lvlText w:val="-"/>
      <w:lvlJc w:val="left"/>
      <w:pPr>
        <w:ind w:left="720" w:hanging="360"/>
      </w:pPr>
      <w:rPr>
        <w:rFonts w:ascii="Segoe UI" w:eastAsia="Calibr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797F"/>
    <w:multiLevelType w:val="multilevel"/>
    <w:tmpl w:val="95E6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1F48DC"/>
    <w:multiLevelType w:val="multilevel"/>
    <w:tmpl w:val="C708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3E3827"/>
    <w:multiLevelType w:val="multilevel"/>
    <w:tmpl w:val="EBEE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CE624B"/>
    <w:multiLevelType w:val="multilevel"/>
    <w:tmpl w:val="29C01B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87AF8"/>
    <w:multiLevelType w:val="multilevel"/>
    <w:tmpl w:val="804C5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E65C73"/>
    <w:multiLevelType w:val="hybridMultilevel"/>
    <w:tmpl w:val="C99AA8BE"/>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A14C4B"/>
    <w:multiLevelType w:val="multilevel"/>
    <w:tmpl w:val="51BCF56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F245FD"/>
    <w:multiLevelType w:val="multilevel"/>
    <w:tmpl w:val="597E9A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A35E92"/>
    <w:multiLevelType w:val="multilevel"/>
    <w:tmpl w:val="87E6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A71725"/>
    <w:multiLevelType w:val="multilevel"/>
    <w:tmpl w:val="2CECC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2513D1"/>
    <w:multiLevelType w:val="hybridMultilevel"/>
    <w:tmpl w:val="D14C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7931EE"/>
    <w:multiLevelType w:val="multilevel"/>
    <w:tmpl w:val="8458B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3816EDC"/>
    <w:multiLevelType w:val="multilevel"/>
    <w:tmpl w:val="EBEE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5"/>
  </w:num>
  <w:num w:numId="2" w16cid:durableId="80681869">
    <w:abstractNumId w:val="23"/>
  </w:num>
  <w:num w:numId="3" w16cid:durableId="1566528953">
    <w:abstractNumId w:val="24"/>
  </w:num>
  <w:num w:numId="4" w16cid:durableId="1456096507">
    <w:abstractNumId w:val="36"/>
  </w:num>
  <w:num w:numId="5" w16cid:durableId="1659071369">
    <w:abstractNumId w:val="31"/>
  </w:num>
  <w:num w:numId="6" w16cid:durableId="143009612">
    <w:abstractNumId w:val="3"/>
  </w:num>
  <w:num w:numId="7" w16cid:durableId="1214316988">
    <w:abstractNumId w:val="18"/>
    <w:lvlOverride w:ilvl="0">
      <w:startOverride w:val="1"/>
    </w:lvlOverride>
  </w:num>
  <w:num w:numId="8" w16cid:durableId="1450051620">
    <w:abstractNumId w:val="10"/>
  </w:num>
  <w:num w:numId="9" w16cid:durableId="1846482249">
    <w:abstractNumId w:val="34"/>
  </w:num>
  <w:num w:numId="10" w16cid:durableId="1444155317">
    <w:abstractNumId w:val="12"/>
  </w:num>
  <w:num w:numId="11" w16cid:durableId="299768296">
    <w:abstractNumId w:val="33"/>
    <w:lvlOverride w:ilvl="0">
      <w:startOverride w:val="2"/>
    </w:lvlOverride>
  </w:num>
  <w:num w:numId="12" w16cid:durableId="873615589">
    <w:abstractNumId w:val="4"/>
  </w:num>
  <w:num w:numId="13" w16cid:durableId="1561675749">
    <w:abstractNumId w:val="16"/>
  </w:num>
  <w:num w:numId="14" w16cid:durableId="2002731811">
    <w:abstractNumId w:val="43"/>
    <w:lvlOverride w:ilvl="0">
      <w:startOverride w:val="4"/>
    </w:lvlOverride>
  </w:num>
  <w:num w:numId="15" w16cid:durableId="774446291">
    <w:abstractNumId w:val="40"/>
  </w:num>
  <w:num w:numId="16" w16cid:durableId="291323700">
    <w:abstractNumId w:val="5"/>
  </w:num>
  <w:num w:numId="17" w16cid:durableId="2080707937">
    <w:abstractNumId w:val="26"/>
  </w:num>
  <w:num w:numId="18" w16cid:durableId="187566680">
    <w:abstractNumId w:val="8"/>
    <w:lvlOverride w:ilvl="0">
      <w:startOverride w:val="1"/>
    </w:lvlOverride>
  </w:num>
  <w:num w:numId="19" w16cid:durableId="1858275531">
    <w:abstractNumId w:val="35"/>
  </w:num>
  <w:num w:numId="20" w16cid:durableId="1280212776">
    <w:abstractNumId w:val="13"/>
  </w:num>
  <w:num w:numId="21" w16cid:durableId="2115636353">
    <w:abstractNumId w:val="9"/>
  </w:num>
  <w:num w:numId="22" w16cid:durableId="1603806740">
    <w:abstractNumId w:val="6"/>
  </w:num>
  <w:num w:numId="23" w16cid:durableId="319310009">
    <w:abstractNumId w:val="2"/>
    <w:lvlOverride w:ilvl="0">
      <w:startOverride w:val="3"/>
    </w:lvlOverride>
  </w:num>
  <w:num w:numId="24" w16cid:durableId="954604046">
    <w:abstractNumId w:val="17"/>
  </w:num>
  <w:num w:numId="25" w16cid:durableId="1139802245">
    <w:abstractNumId w:val="39"/>
  </w:num>
  <w:num w:numId="26" w16cid:durableId="525364254">
    <w:abstractNumId w:val="41"/>
  </w:num>
  <w:num w:numId="27" w16cid:durableId="312023350">
    <w:abstractNumId w:val="21"/>
  </w:num>
  <w:num w:numId="28" w16cid:durableId="1312755822">
    <w:abstractNumId w:val="19"/>
    <w:lvlOverride w:ilvl="0">
      <w:startOverride w:val="4"/>
    </w:lvlOverride>
  </w:num>
  <w:num w:numId="29" w16cid:durableId="415632306">
    <w:abstractNumId w:val="29"/>
  </w:num>
  <w:num w:numId="30" w16cid:durableId="1884558935">
    <w:abstractNumId w:val="7"/>
  </w:num>
  <w:num w:numId="31" w16cid:durableId="958145787">
    <w:abstractNumId w:val="15"/>
  </w:num>
  <w:num w:numId="32" w16cid:durableId="1940484401">
    <w:abstractNumId w:val="20"/>
  </w:num>
  <w:num w:numId="33" w16cid:durableId="1461461818">
    <w:abstractNumId w:val="36"/>
  </w:num>
  <w:num w:numId="34" w16cid:durableId="1176193423">
    <w:abstractNumId w:val="36"/>
  </w:num>
  <w:num w:numId="35" w16cid:durableId="474840750">
    <w:abstractNumId w:val="36"/>
  </w:num>
  <w:num w:numId="36" w16cid:durableId="2078892492">
    <w:abstractNumId w:val="36"/>
  </w:num>
  <w:num w:numId="37" w16cid:durableId="1073159297">
    <w:abstractNumId w:val="30"/>
  </w:num>
  <w:num w:numId="38" w16cid:durableId="1445996822">
    <w:abstractNumId w:val="32"/>
  </w:num>
  <w:num w:numId="39" w16cid:durableId="267153810">
    <w:abstractNumId w:val="38"/>
  </w:num>
  <w:num w:numId="40" w16cid:durableId="445587765">
    <w:abstractNumId w:val="1"/>
  </w:num>
  <w:num w:numId="41" w16cid:durableId="463698820">
    <w:abstractNumId w:val="44"/>
  </w:num>
  <w:num w:numId="42" w16cid:durableId="1136099007">
    <w:abstractNumId w:val="28"/>
  </w:num>
  <w:num w:numId="43" w16cid:durableId="1689484733">
    <w:abstractNumId w:val="27"/>
  </w:num>
  <w:num w:numId="44" w16cid:durableId="1570965427">
    <w:abstractNumId w:val="0"/>
  </w:num>
  <w:num w:numId="45" w16cid:durableId="324822469">
    <w:abstractNumId w:val="22"/>
  </w:num>
  <w:num w:numId="46" w16cid:durableId="469596407">
    <w:abstractNumId w:val="14"/>
  </w:num>
  <w:num w:numId="47" w16cid:durableId="150101757">
    <w:abstractNumId w:val="37"/>
  </w:num>
  <w:num w:numId="48" w16cid:durableId="1283339505">
    <w:abstractNumId w:val="11"/>
  </w:num>
  <w:num w:numId="49" w16cid:durableId="1258635921">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B9D"/>
    <w:rsid w:val="00001C9B"/>
    <w:rsid w:val="000040DC"/>
    <w:rsid w:val="0000567F"/>
    <w:rsid w:val="00010436"/>
    <w:rsid w:val="00011784"/>
    <w:rsid w:val="0001222E"/>
    <w:rsid w:val="000151EF"/>
    <w:rsid w:val="000217BF"/>
    <w:rsid w:val="000232CF"/>
    <w:rsid w:val="000239F5"/>
    <w:rsid w:val="00023FCA"/>
    <w:rsid w:val="00037AD1"/>
    <w:rsid w:val="00042CC2"/>
    <w:rsid w:val="00043955"/>
    <w:rsid w:val="00045795"/>
    <w:rsid w:val="00045EC8"/>
    <w:rsid w:val="00046C1D"/>
    <w:rsid w:val="00054E95"/>
    <w:rsid w:val="0005551E"/>
    <w:rsid w:val="00055B71"/>
    <w:rsid w:val="00057C90"/>
    <w:rsid w:val="00063095"/>
    <w:rsid w:val="00071B5D"/>
    <w:rsid w:val="0007392F"/>
    <w:rsid w:val="00074448"/>
    <w:rsid w:val="00074BE7"/>
    <w:rsid w:val="0008612A"/>
    <w:rsid w:val="00090E18"/>
    <w:rsid w:val="00091165"/>
    <w:rsid w:val="0009324A"/>
    <w:rsid w:val="00095D36"/>
    <w:rsid w:val="0009679C"/>
    <w:rsid w:val="00097F68"/>
    <w:rsid w:val="000A0DF2"/>
    <w:rsid w:val="000A10BC"/>
    <w:rsid w:val="000A1C86"/>
    <w:rsid w:val="000A27AD"/>
    <w:rsid w:val="000A4786"/>
    <w:rsid w:val="000A7EF3"/>
    <w:rsid w:val="000B0056"/>
    <w:rsid w:val="000B233E"/>
    <w:rsid w:val="000C3C7B"/>
    <w:rsid w:val="000C5870"/>
    <w:rsid w:val="000C6801"/>
    <w:rsid w:val="000C72F6"/>
    <w:rsid w:val="000C76CD"/>
    <w:rsid w:val="000D0F93"/>
    <w:rsid w:val="000E0D53"/>
    <w:rsid w:val="000E4195"/>
    <w:rsid w:val="000E5421"/>
    <w:rsid w:val="000E670D"/>
    <w:rsid w:val="000F074A"/>
    <w:rsid w:val="000F1D00"/>
    <w:rsid w:val="000F58F6"/>
    <w:rsid w:val="00105132"/>
    <w:rsid w:val="00106416"/>
    <w:rsid w:val="001071BE"/>
    <w:rsid w:val="0010789B"/>
    <w:rsid w:val="00110481"/>
    <w:rsid w:val="001127C9"/>
    <w:rsid w:val="00114C09"/>
    <w:rsid w:val="00115B88"/>
    <w:rsid w:val="001206C3"/>
    <w:rsid w:val="00121744"/>
    <w:rsid w:val="00122455"/>
    <w:rsid w:val="0013189E"/>
    <w:rsid w:val="00131F23"/>
    <w:rsid w:val="00132F6A"/>
    <w:rsid w:val="00133913"/>
    <w:rsid w:val="001375B8"/>
    <w:rsid w:val="00140221"/>
    <w:rsid w:val="001449B4"/>
    <w:rsid w:val="00155B9F"/>
    <w:rsid w:val="001576DD"/>
    <w:rsid w:val="00160425"/>
    <w:rsid w:val="001606CA"/>
    <w:rsid w:val="001642FC"/>
    <w:rsid w:val="0016496B"/>
    <w:rsid w:val="0016512F"/>
    <w:rsid w:val="00166C2D"/>
    <w:rsid w:val="001704B3"/>
    <w:rsid w:val="001743E2"/>
    <w:rsid w:val="001745F8"/>
    <w:rsid w:val="001777F0"/>
    <w:rsid w:val="00177A56"/>
    <w:rsid w:val="00177EA0"/>
    <w:rsid w:val="001817FA"/>
    <w:rsid w:val="001838CF"/>
    <w:rsid w:val="001868EE"/>
    <w:rsid w:val="00191744"/>
    <w:rsid w:val="001A013E"/>
    <w:rsid w:val="001A113F"/>
    <w:rsid w:val="001A286C"/>
    <w:rsid w:val="001A368B"/>
    <w:rsid w:val="001A3BA4"/>
    <w:rsid w:val="001A5316"/>
    <w:rsid w:val="001A6D1F"/>
    <w:rsid w:val="001B6991"/>
    <w:rsid w:val="001C2D01"/>
    <w:rsid w:val="001C5B0E"/>
    <w:rsid w:val="001C77C7"/>
    <w:rsid w:val="001D03B0"/>
    <w:rsid w:val="001D1DEC"/>
    <w:rsid w:val="001D36F7"/>
    <w:rsid w:val="001D7995"/>
    <w:rsid w:val="001E1177"/>
    <w:rsid w:val="001E1AB4"/>
    <w:rsid w:val="001E2D45"/>
    <w:rsid w:val="001E30F6"/>
    <w:rsid w:val="001E4B89"/>
    <w:rsid w:val="001E75E5"/>
    <w:rsid w:val="001F2F79"/>
    <w:rsid w:val="001F4E32"/>
    <w:rsid w:val="001F7E53"/>
    <w:rsid w:val="00213693"/>
    <w:rsid w:val="00214865"/>
    <w:rsid w:val="00217EE5"/>
    <w:rsid w:val="00221439"/>
    <w:rsid w:val="00221FDE"/>
    <w:rsid w:val="0022225B"/>
    <w:rsid w:val="00223F16"/>
    <w:rsid w:val="00224B28"/>
    <w:rsid w:val="00225917"/>
    <w:rsid w:val="00227D74"/>
    <w:rsid w:val="0023319E"/>
    <w:rsid w:val="00233619"/>
    <w:rsid w:val="002343D7"/>
    <w:rsid w:val="002353B4"/>
    <w:rsid w:val="00235EB9"/>
    <w:rsid w:val="00235F5C"/>
    <w:rsid w:val="00242C17"/>
    <w:rsid w:val="002452EA"/>
    <w:rsid w:val="00246C0A"/>
    <w:rsid w:val="00250FA2"/>
    <w:rsid w:val="00251A46"/>
    <w:rsid w:val="0025336C"/>
    <w:rsid w:val="00257FA3"/>
    <w:rsid w:val="00262294"/>
    <w:rsid w:val="00272D3F"/>
    <w:rsid w:val="0027377E"/>
    <w:rsid w:val="00276927"/>
    <w:rsid w:val="00277B56"/>
    <w:rsid w:val="00277C25"/>
    <w:rsid w:val="00280780"/>
    <w:rsid w:val="002811B6"/>
    <w:rsid w:val="002839D8"/>
    <w:rsid w:val="00286248"/>
    <w:rsid w:val="00286A47"/>
    <w:rsid w:val="002939B1"/>
    <w:rsid w:val="002A11CE"/>
    <w:rsid w:val="002A19F5"/>
    <w:rsid w:val="002A7F84"/>
    <w:rsid w:val="002B0A95"/>
    <w:rsid w:val="002B407B"/>
    <w:rsid w:val="002B45C2"/>
    <w:rsid w:val="002B4922"/>
    <w:rsid w:val="002B4B85"/>
    <w:rsid w:val="002B5084"/>
    <w:rsid w:val="002C22C3"/>
    <w:rsid w:val="002C24A1"/>
    <w:rsid w:val="002C2D19"/>
    <w:rsid w:val="002C3354"/>
    <w:rsid w:val="002C662E"/>
    <w:rsid w:val="002D10FA"/>
    <w:rsid w:val="002D13D4"/>
    <w:rsid w:val="002D4C55"/>
    <w:rsid w:val="002D6B31"/>
    <w:rsid w:val="002D749B"/>
    <w:rsid w:val="002E1B7D"/>
    <w:rsid w:val="002E4F5A"/>
    <w:rsid w:val="002E6DED"/>
    <w:rsid w:val="002F0545"/>
    <w:rsid w:val="002F44D1"/>
    <w:rsid w:val="00300251"/>
    <w:rsid w:val="00300956"/>
    <w:rsid w:val="00300CF7"/>
    <w:rsid w:val="003010F4"/>
    <w:rsid w:val="00301CE0"/>
    <w:rsid w:val="0030325A"/>
    <w:rsid w:val="0030481E"/>
    <w:rsid w:val="00304E04"/>
    <w:rsid w:val="00317187"/>
    <w:rsid w:val="0032499A"/>
    <w:rsid w:val="003305FC"/>
    <w:rsid w:val="00332C27"/>
    <w:rsid w:val="00333AC5"/>
    <w:rsid w:val="003341F7"/>
    <w:rsid w:val="003406AC"/>
    <w:rsid w:val="003426A1"/>
    <w:rsid w:val="003443DF"/>
    <w:rsid w:val="003458DF"/>
    <w:rsid w:val="0034689D"/>
    <w:rsid w:val="00347FEC"/>
    <w:rsid w:val="00352DB1"/>
    <w:rsid w:val="00352DB3"/>
    <w:rsid w:val="00352E31"/>
    <w:rsid w:val="00355002"/>
    <w:rsid w:val="00356F45"/>
    <w:rsid w:val="00360ACC"/>
    <w:rsid w:val="00362D87"/>
    <w:rsid w:val="00363B61"/>
    <w:rsid w:val="003661FF"/>
    <w:rsid w:val="00366B74"/>
    <w:rsid w:val="0037001D"/>
    <w:rsid w:val="00370167"/>
    <w:rsid w:val="00371466"/>
    <w:rsid w:val="0038270C"/>
    <w:rsid w:val="00382CAC"/>
    <w:rsid w:val="00385714"/>
    <w:rsid w:val="00394938"/>
    <w:rsid w:val="00395474"/>
    <w:rsid w:val="003A2A49"/>
    <w:rsid w:val="003A710A"/>
    <w:rsid w:val="003A75B2"/>
    <w:rsid w:val="003B0B99"/>
    <w:rsid w:val="003B659E"/>
    <w:rsid w:val="003C264C"/>
    <w:rsid w:val="003C275E"/>
    <w:rsid w:val="003C4FDE"/>
    <w:rsid w:val="003C6A02"/>
    <w:rsid w:val="003C792F"/>
    <w:rsid w:val="003D341A"/>
    <w:rsid w:val="003D3585"/>
    <w:rsid w:val="003D3EE9"/>
    <w:rsid w:val="003D5015"/>
    <w:rsid w:val="003D69D6"/>
    <w:rsid w:val="003E015F"/>
    <w:rsid w:val="003E16E5"/>
    <w:rsid w:val="003E2DFC"/>
    <w:rsid w:val="003E58DF"/>
    <w:rsid w:val="003F492C"/>
    <w:rsid w:val="003F494F"/>
    <w:rsid w:val="003F54CD"/>
    <w:rsid w:val="003F7223"/>
    <w:rsid w:val="004000DD"/>
    <w:rsid w:val="0040408B"/>
    <w:rsid w:val="00404183"/>
    <w:rsid w:val="00404C4C"/>
    <w:rsid w:val="004059D6"/>
    <w:rsid w:val="00405B5D"/>
    <w:rsid w:val="004130DC"/>
    <w:rsid w:val="0041423F"/>
    <w:rsid w:val="00414F81"/>
    <w:rsid w:val="00420EBB"/>
    <w:rsid w:val="00422651"/>
    <w:rsid w:val="004230FB"/>
    <w:rsid w:val="00423D18"/>
    <w:rsid w:val="00426B76"/>
    <w:rsid w:val="00430366"/>
    <w:rsid w:val="00433036"/>
    <w:rsid w:val="00434231"/>
    <w:rsid w:val="00434268"/>
    <w:rsid w:val="00436A0F"/>
    <w:rsid w:val="00437150"/>
    <w:rsid w:val="0043750A"/>
    <w:rsid w:val="00441645"/>
    <w:rsid w:val="0045007F"/>
    <w:rsid w:val="00453FD0"/>
    <w:rsid w:val="00454289"/>
    <w:rsid w:val="004567DC"/>
    <w:rsid w:val="0046207B"/>
    <w:rsid w:val="00462B78"/>
    <w:rsid w:val="00463809"/>
    <w:rsid w:val="004732E9"/>
    <w:rsid w:val="00474C03"/>
    <w:rsid w:val="0048007B"/>
    <w:rsid w:val="00481734"/>
    <w:rsid w:val="00481CD6"/>
    <w:rsid w:val="00484F37"/>
    <w:rsid w:val="004854BB"/>
    <w:rsid w:val="00490BEB"/>
    <w:rsid w:val="00494493"/>
    <w:rsid w:val="00494D17"/>
    <w:rsid w:val="00496606"/>
    <w:rsid w:val="004A0C4E"/>
    <w:rsid w:val="004A1706"/>
    <w:rsid w:val="004B0715"/>
    <w:rsid w:val="004B38F5"/>
    <w:rsid w:val="004B4F08"/>
    <w:rsid w:val="004B6667"/>
    <w:rsid w:val="004C49EC"/>
    <w:rsid w:val="004C54B4"/>
    <w:rsid w:val="004D2DE5"/>
    <w:rsid w:val="004E18F6"/>
    <w:rsid w:val="004E4FFB"/>
    <w:rsid w:val="004E5E66"/>
    <w:rsid w:val="004E7ADB"/>
    <w:rsid w:val="004F06F0"/>
    <w:rsid w:val="004F2061"/>
    <w:rsid w:val="004F368B"/>
    <w:rsid w:val="00500B75"/>
    <w:rsid w:val="00503B4D"/>
    <w:rsid w:val="00504EE9"/>
    <w:rsid w:val="005105F0"/>
    <w:rsid w:val="00512C82"/>
    <w:rsid w:val="0051788E"/>
    <w:rsid w:val="00520453"/>
    <w:rsid w:val="005207CB"/>
    <w:rsid w:val="00521576"/>
    <w:rsid w:val="00522DC1"/>
    <w:rsid w:val="005250E6"/>
    <w:rsid w:val="00525D98"/>
    <w:rsid w:val="00531CF3"/>
    <w:rsid w:val="00534220"/>
    <w:rsid w:val="005359E6"/>
    <w:rsid w:val="00537669"/>
    <w:rsid w:val="0054132F"/>
    <w:rsid w:val="00542D23"/>
    <w:rsid w:val="005439F7"/>
    <w:rsid w:val="0054442C"/>
    <w:rsid w:val="00544BAB"/>
    <w:rsid w:val="00545642"/>
    <w:rsid w:val="00546F13"/>
    <w:rsid w:val="00547E6C"/>
    <w:rsid w:val="00550285"/>
    <w:rsid w:val="0055552E"/>
    <w:rsid w:val="0056210E"/>
    <w:rsid w:val="00562492"/>
    <w:rsid w:val="005701D5"/>
    <w:rsid w:val="00570990"/>
    <w:rsid w:val="00570FE4"/>
    <w:rsid w:val="00572948"/>
    <w:rsid w:val="00572A20"/>
    <w:rsid w:val="005819E4"/>
    <w:rsid w:val="005836F8"/>
    <w:rsid w:val="005918FA"/>
    <w:rsid w:val="00592A86"/>
    <w:rsid w:val="005A51C9"/>
    <w:rsid w:val="005A755B"/>
    <w:rsid w:val="005A7F7B"/>
    <w:rsid w:val="005B0EA9"/>
    <w:rsid w:val="005B3891"/>
    <w:rsid w:val="005B4801"/>
    <w:rsid w:val="005C23A4"/>
    <w:rsid w:val="005C4954"/>
    <w:rsid w:val="005D1CDF"/>
    <w:rsid w:val="005D2BB7"/>
    <w:rsid w:val="005D576A"/>
    <w:rsid w:val="005D70AF"/>
    <w:rsid w:val="005E043D"/>
    <w:rsid w:val="005E1E50"/>
    <w:rsid w:val="005E3F0E"/>
    <w:rsid w:val="005E5A0C"/>
    <w:rsid w:val="005E61A8"/>
    <w:rsid w:val="005E6414"/>
    <w:rsid w:val="005E7FBF"/>
    <w:rsid w:val="005F2AEB"/>
    <w:rsid w:val="005F3D40"/>
    <w:rsid w:val="005F4140"/>
    <w:rsid w:val="005F4BC3"/>
    <w:rsid w:val="005F6419"/>
    <w:rsid w:val="00601032"/>
    <w:rsid w:val="006032B9"/>
    <w:rsid w:val="0060543D"/>
    <w:rsid w:val="00606447"/>
    <w:rsid w:val="006066D1"/>
    <w:rsid w:val="006104DD"/>
    <w:rsid w:val="0061063A"/>
    <w:rsid w:val="00611EC8"/>
    <w:rsid w:val="006130B5"/>
    <w:rsid w:val="00616590"/>
    <w:rsid w:val="00617400"/>
    <w:rsid w:val="006212D6"/>
    <w:rsid w:val="006229E2"/>
    <w:rsid w:val="006255C4"/>
    <w:rsid w:val="0062565C"/>
    <w:rsid w:val="00627D54"/>
    <w:rsid w:val="0063128A"/>
    <w:rsid w:val="00632D29"/>
    <w:rsid w:val="006363B7"/>
    <w:rsid w:val="006367C7"/>
    <w:rsid w:val="00636970"/>
    <w:rsid w:val="00636BD8"/>
    <w:rsid w:val="0064076D"/>
    <w:rsid w:val="00640F3A"/>
    <w:rsid w:val="00645A7E"/>
    <w:rsid w:val="0064741F"/>
    <w:rsid w:val="00647CDB"/>
    <w:rsid w:val="0065505D"/>
    <w:rsid w:val="0065735E"/>
    <w:rsid w:val="00660696"/>
    <w:rsid w:val="0066383B"/>
    <w:rsid w:val="00664229"/>
    <w:rsid w:val="00664695"/>
    <w:rsid w:val="00664950"/>
    <w:rsid w:val="00664E9A"/>
    <w:rsid w:val="00665D05"/>
    <w:rsid w:val="0067083A"/>
    <w:rsid w:val="00670894"/>
    <w:rsid w:val="00670D0D"/>
    <w:rsid w:val="0067120C"/>
    <w:rsid w:val="00675450"/>
    <w:rsid w:val="00680B43"/>
    <w:rsid w:val="00683220"/>
    <w:rsid w:val="006862E0"/>
    <w:rsid w:val="00687B15"/>
    <w:rsid w:val="00687FA0"/>
    <w:rsid w:val="006949B7"/>
    <w:rsid w:val="00696E3E"/>
    <w:rsid w:val="006A0779"/>
    <w:rsid w:val="006A2B94"/>
    <w:rsid w:val="006A3C11"/>
    <w:rsid w:val="006B451E"/>
    <w:rsid w:val="006B57D0"/>
    <w:rsid w:val="006B7010"/>
    <w:rsid w:val="006B7E6A"/>
    <w:rsid w:val="006C1691"/>
    <w:rsid w:val="006C1E48"/>
    <w:rsid w:val="006C2A9D"/>
    <w:rsid w:val="006C3095"/>
    <w:rsid w:val="006C3EC7"/>
    <w:rsid w:val="006D38DA"/>
    <w:rsid w:val="006D5963"/>
    <w:rsid w:val="006E1151"/>
    <w:rsid w:val="006E2F43"/>
    <w:rsid w:val="006E359F"/>
    <w:rsid w:val="006E6311"/>
    <w:rsid w:val="006E6FB1"/>
    <w:rsid w:val="006E70F1"/>
    <w:rsid w:val="006E7AE9"/>
    <w:rsid w:val="006F2BF2"/>
    <w:rsid w:val="006F7940"/>
    <w:rsid w:val="007001DA"/>
    <w:rsid w:val="00701111"/>
    <w:rsid w:val="00701DD8"/>
    <w:rsid w:val="00704614"/>
    <w:rsid w:val="00704DF8"/>
    <w:rsid w:val="00705426"/>
    <w:rsid w:val="0071236A"/>
    <w:rsid w:val="00712F13"/>
    <w:rsid w:val="00713361"/>
    <w:rsid w:val="00713B2B"/>
    <w:rsid w:val="007145FF"/>
    <w:rsid w:val="00715220"/>
    <w:rsid w:val="00715B2A"/>
    <w:rsid w:val="007161DF"/>
    <w:rsid w:val="007228F0"/>
    <w:rsid w:val="00723ABA"/>
    <w:rsid w:val="00741F04"/>
    <w:rsid w:val="007450F1"/>
    <w:rsid w:val="007464ED"/>
    <w:rsid w:val="00750667"/>
    <w:rsid w:val="00751515"/>
    <w:rsid w:val="00752071"/>
    <w:rsid w:val="007522C6"/>
    <w:rsid w:val="00752875"/>
    <w:rsid w:val="007574D2"/>
    <w:rsid w:val="007612D9"/>
    <w:rsid w:val="007626B7"/>
    <w:rsid w:val="007632D3"/>
    <w:rsid w:val="00764281"/>
    <w:rsid w:val="00765918"/>
    <w:rsid w:val="00765AD9"/>
    <w:rsid w:val="00773444"/>
    <w:rsid w:val="00775959"/>
    <w:rsid w:val="00776824"/>
    <w:rsid w:val="00776EC7"/>
    <w:rsid w:val="00780811"/>
    <w:rsid w:val="0078212B"/>
    <w:rsid w:val="00782468"/>
    <w:rsid w:val="007829A8"/>
    <w:rsid w:val="00782F98"/>
    <w:rsid w:val="00783896"/>
    <w:rsid w:val="00784833"/>
    <w:rsid w:val="00784DF6"/>
    <w:rsid w:val="00785232"/>
    <w:rsid w:val="0079474A"/>
    <w:rsid w:val="007952AA"/>
    <w:rsid w:val="007A1D77"/>
    <w:rsid w:val="007A3E2B"/>
    <w:rsid w:val="007B186C"/>
    <w:rsid w:val="007B1A87"/>
    <w:rsid w:val="007B5F91"/>
    <w:rsid w:val="007B6918"/>
    <w:rsid w:val="007C157A"/>
    <w:rsid w:val="007C1696"/>
    <w:rsid w:val="007C18B4"/>
    <w:rsid w:val="007C2B17"/>
    <w:rsid w:val="007C3ED0"/>
    <w:rsid w:val="007C5971"/>
    <w:rsid w:val="007C5AE5"/>
    <w:rsid w:val="007C640D"/>
    <w:rsid w:val="007C6EDF"/>
    <w:rsid w:val="007D2739"/>
    <w:rsid w:val="007D4EED"/>
    <w:rsid w:val="007E2A97"/>
    <w:rsid w:val="007E4DD1"/>
    <w:rsid w:val="007E68AC"/>
    <w:rsid w:val="007F0FDF"/>
    <w:rsid w:val="007F54B9"/>
    <w:rsid w:val="00806A76"/>
    <w:rsid w:val="0081075B"/>
    <w:rsid w:val="00811C9D"/>
    <w:rsid w:val="00812E07"/>
    <w:rsid w:val="0081567C"/>
    <w:rsid w:val="00816C80"/>
    <w:rsid w:val="00816EDA"/>
    <w:rsid w:val="008203FC"/>
    <w:rsid w:val="00823F2A"/>
    <w:rsid w:val="00824AFA"/>
    <w:rsid w:val="00826542"/>
    <w:rsid w:val="00832E5A"/>
    <w:rsid w:val="00836ED6"/>
    <w:rsid w:val="00837CA0"/>
    <w:rsid w:val="00837CA4"/>
    <w:rsid w:val="00841BCD"/>
    <w:rsid w:val="00843EFF"/>
    <w:rsid w:val="00845FA2"/>
    <w:rsid w:val="00846976"/>
    <w:rsid w:val="00851A8E"/>
    <w:rsid w:val="0085365B"/>
    <w:rsid w:val="00860A3C"/>
    <w:rsid w:val="00861A65"/>
    <w:rsid w:val="0086442D"/>
    <w:rsid w:val="00870D21"/>
    <w:rsid w:val="008727CA"/>
    <w:rsid w:val="00880A5C"/>
    <w:rsid w:val="008826C1"/>
    <w:rsid w:val="00883DFD"/>
    <w:rsid w:val="00885A18"/>
    <w:rsid w:val="0088640B"/>
    <w:rsid w:val="008879B0"/>
    <w:rsid w:val="008904C6"/>
    <w:rsid w:val="00891552"/>
    <w:rsid w:val="00891702"/>
    <w:rsid w:val="00892CFD"/>
    <w:rsid w:val="00895BE1"/>
    <w:rsid w:val="008968F0"/>
    <w:rsid w:val="00896B22"/>
    <w:rsid w:val="008A1BF7"/>
    <w:rsid w:val="008A2589"/>
    <w:rsid w:val="008A45D7"/>
    <w:rsid w:val="008A4DC0"/>
    <w:rsid w:val="008A5B0E"/>
    <w:rsid w:val="008A71C3"/>
    <w:rsid w:val="008A752A"/>
    <w:rsid w:val="008B071B"/>
    <w:rsid w:val="008B0961"/>
    <w:rsid w:val="008B23F2"/>
    <w:rsid w:val="008B37A4"/>
    <w:rsid w:val="008B543A"/>
    <w:rsid w:val="008B5996"/>
    <w:rsid w:val="008C3685"/>
    <w:rsid w:val="008C39F7"/>
    <w:rsid w:val="008C7234"/>
    <w:rsid w:val="008D1634"/>
    <w:rsid w:val="008D23DB"/>
    <w:rsid w:val="008D3924"/>
    <w:rsid w:val="008D6EEE"/>
    <w:rsid w:val="008E0F3A"/>
    <w:rsid w:val="008E52E7"/>
    <w:rsid w:val="008E56DC"/>
    <w:rsid w:val="008E5E33"/>
    <w:rsid w:val="008E7AE5"/>
    <w:rsid w:val="008F0C1D"/>
    <w:rsid w:val="008F3128"/>
    <w:rsid w:val="008F6DB1"/>
    <w:rsid w:val="0090091A"/>
    <w:rsid w:val="00901931"/>
    <w:rsid w:val="009042BD"/>
    <w:rsid w:val="00904FE4"/>
    <w:rsid w:val="00911204"/>
    <w:rsid w:val="0091402B"/>
    <w:rsid w:val="00923428"/>
    <w:rsid w:val="00925486"/>
    <w:rsid w:val="00930326"/>
    <w:rsid w:val="00936159"/>
    <w:rsid w:val="00940A20"/>
    <w:rsid w:val="009441D9"/>
    <w:rsid w:val="00951305"/>
    <w:rsid w:val="00951A69"/>
    <w:rsid w:val="00953EAD"/>
    <w:rsid w:val="009546FC"/>
    <w:rsid w:val="00955450"/>
    <w:rsid w:val="00957698"/>
    <w:rsid w:val="00961FF8"/>
    <w:rsid w:val="00967019"/>
    <w:rsid w:val="00970F48"/>
    <w:rsid w:val="0097484F"/>
    <w:rsid w:val="009754A6"/>
    <w:rsid w:val="00976017"/>
    <w:rsid w:val="009772AF"/>
    <w:rsid w:val="00977E1D"/>
    <w:rsid w:val="00977F62"/>
    <w:rsid w:val="00990092"/>
    <w:rsid w:val="00990307"/>
    <w:rsid w:val="0099089F"/>
    <w:rsid w:val="0099638D"/>
    <w:rsid w:val="009A6C9B"/>
    <w:rsid w:val="009B0122"/>
    <w:rsid w:val="009B047F"/>
    <w:rsid w:val="009B0573"/>
    <w:rsid w:val="009B1C83"/>
    <w:rsid w:val="009B7B4B"/>
    <w:rsid w:val="009B7C21"/>
    <w:rsid w:val="009C0927"/>
    <w:rsid w:val="009C1D84"/>
    <w:rsid w:val="009C4856"/>
    <w:rsid w:val="009C7753"/>
    <w:rsid w:val="009D6CE4"/>
    <w:rsid w:val="009D7893"/>
    <w:rsid w:val="009E048D"/>
    <w:rsid w:val="009E0781"/>
    <w:rsid w:val="009E2424"/>
    <w:rsid w:val="009E3C34"/>
    <w:rsid w:val="009E5C72"/>
    <w:rsid w:val="009E7BB0"/>
    <w:rsid w:val="009F2BAC"/>
    <w:rsid w:val="009F63BF"/>
    <w:rsid w:val="009F64D0"/>
    <w:rsid w:val="009F680A"/>
    <w:rsid w:val="009F7E0A"/>
    <w:rsid w:val="00A0130E"/>
    <w:rsid w:val="00A03210"/>
    <w:rsid w:val="00A03B82"/>
    <w:rsid w:val="00A04992"/>
    <w:rsid w:val="00A12ADA"/>
    <w:rsid w:val="00A13292"/>
    <w:rsid w:val="00A147AA"/>
    <w:rsid w:val="00A21D71"/>
    <w:rsid w:val="00A22B78"/>
    <w:rsid w:val="00A25AE5"/>
    <w:rsid w:val="00A329BF"/>
    <w:rsid w:val="00A32C97"/>
    <w:rsid w:val="00A368B6"/>
    <w:rsid w:val="00A37002"/>
    <w:rsid w:val="00A4355E"/>
    <w:rsid w:val="00A5127D"/>
    <w:rsid w:val="00A51EA5"/>
    <w:rsid w:val="00A528AE"/>
    <w:rsid w:val="00A52B5D"/>
    <w:rsid w:val="00A60441"/>
    <w:rsid w:val="00A6492A"/>
    <w:rsid w:val="00A76AB8"/>
    <w:rsid w:val="00A90304"/>
    <w:rsid w:val="00A918C4"/>
    <w:rsid w:val="00A92BCD"/>
    <w:rsid w:val="00AA1B0E"/>
    <w:rsid w:val="00AA38D9"/>
    <w:rsid w:val="00AA4702"/>
    <w:rsid w:val="00AA47B6"/>
    <w:rsid w:val="00AA7898"/>
    <w:rsid w:val="00AB1D42"/>
    <w:rsid w:val="00AB252D"/>
    <w:rsid w:val="00AB268D"/>
    <w:rsid w:val="00AB38B4"/>
    <w:rsid w:val="00AB55DC"/>
    <w:rsid w:val="00AC163B"/>
    <w:rsid w:val="00AC5CA7"/>
    <w:rsid w:val="00AC6058"/>
    <w:rsid w:val="00AC6586"/>
    <w:rsid w:val="00AC7D17"/>
    <w:rsid w:val="00AD1D4C"/>
    <w:rsid w:val="00AD41E6"/>
    <w:rsid w:val="00AD4924"/>
    <w:rsid w:val="00AD68DB"/>
    <w:rsid w:val="00AE1228"/>
    <w:rsid w:val="00AE2271"/>
    <w:rsid w:val="00AE2BA5"/>
    <w:rsid w:val="00AE31C3"/>
    <w:rsid w:val="00AE4EF0"/>
    <w:rsid w:val="00AE56B1"/>
    <w:rsid w:val="00AE6D09"/>
    <w:rsid w:val="00AE7D11"/>
    <w:rsid w:val="00AF4C98"/>
    <w:rsid w:val="00AF6F12"/>
    <w:rsid w:val="00AF7A7C"/>
    <w:rsid w:val="00B02054"/>
    <w:rsid w:val="00B02070"/>
    <w:rsid w:val="00B05ACC"/>
    <w:rsid w:val="00B11A0E"/>
    <w:rsid w:val="00B121A5"/>
    <w:rsid w:val="00B1435C"/>
    <w:rsid w:val="00B14481"/>
    <w:rsid w:val="00B14E2A"/>
    <w:rsid w:val="00B1796E"/>
    <w:rsid w:val="00B2301D"/>
    <w:rsid w:val="00B31F99"/>
    <w:rsid w:val="00B3348B"/>
    <w:rsid w:val="00B339E8"/>
    <w:rsid w:val="00B33D87"/>
    <w:rsid w:val="00B408B6"/>
    <w:rsid w:val="00B4158C"/>
    <w:rsid w:val="00B43F91"/>
    <w:rsid w:val="00B44AB5"/>
    <w:rsid w:val="00B51099"/>
    <w:rsid w:val="00B535FA"/>
    <w:rsid w:val="00B542DA"/>
    <w:rsid w:val="00B66BAE"/>
    <w:rsid w:val="00B73862"/>
    <w:rsid w:val="00B73F43"/>
    <w:rsid w:val="00B753DC"/>
    <w:rsid w:val="00B77EA7"/>
    <w:rsid w:val="00B8057A"/>
    <w:rsid w:val="00B83302"/>
    <w:rsid w:val="00B91D13"/>
    <w:rsid w:val="00B97EC1"/>
    <w:rsid w:val="00BA0504"/>
    <w:rsid w:val="00BA28E9"/>
    <w:rsid w:val="00BA2BAB"/>
    <w:rsid w:val="00BA6B66"/>
    <w:rsid w:val="00BA6E48"/>
    <w:rsid w:val="00BB2A7E"/>
    <w:rsid w:val="00BB4337"/>
    <w:rsid w:val="00BB52D0"/>
    <w:rsid w:val="00BC21BF"/>
    <w:rsid w:val="00BC4088"/>
    <w:rsid w:val="00BC54E3"/>
    <w:rsid w:val="00BC6F09"/>
    <w:rsid w:val="00BC7E78"/>
    <w:rsid w:val="00BD0297"/>
    <w:rsid w:val="00BD1E4C"/>
    <w:rsid w:val="00BD4826"/>
    <w:rsid w:val="00BE0AF6"/>
    <w:rsid w:val="00BE1F03"/>
    <w:rsid w:val="00BE29DF"/>
    <w:rsid w:val="00BE4602"/>
    <w:rsid w:val="00BE58A7"/>
    <w:rsid w:val="00BF2218"/>
    <w:rsid w:val="00BF284B"/>
    <w:rsid w:val="00BF3EB8"/>
    <w:rsid w:val="00C02FBA"/>
    <w:rsid w:val="00C0426B"/>
    <w:rsid w:val="00C045DF"/>
    <w:rsid w:val="00C0653A"/>
    <w:rsid w:val="00C100BA"/>
    <w:rsid w:val="00C12D89"/>
    <w:rsid w:val="00C130AA"/>
    <w:rsid w:val="00C13489"/>
    <w:rsid w:val="00C14BFA"/>
    <w:rsid w:val="00C156EA"/>
    <w:rsid w:val="00C21654"/>
    <w:rsid w:val="00C22624"/>
    <w:rsid w:val="00C22641"/>
    <w:rsid w:val="00C226F2"/>
    <w:rsid w:val="00C22FD8"/>
    <w:rsid w:val="00C26D43"/>
    <w:rsid w:val="00C26F8B"/>
    <w:rsid w:val="00C31B19"/>
    <w:rsid w:val="00C32C2B"/>
    <w:rsid w:val="00C360AC"/>
    <w:rsid w:val="00C36B52"/>
    <w:rsid w:val="00C437E9"/>
    <w:rsid w:val="00C46548"/>
    <w:rsid w:val="00C529FC"/>
    <w:rsid w:val="00C55583"/>
    <w:rsid w:val="00C55CBB"/>
    <w:rsid w:val="00C56527"/>
    <w:rsid w:val="00C574D5"/>
    <w:rsid w:val="00C579CA"/>
    <w:rsid w:val="00C65DFB"/>
    <w:rsid w:val="00C66B41"/>
    <w:rsid w:val="00C73F32"/>
    <w:rsid w:val="00C74BA3"/>
    <w:rsid w:val="00C74FD5"/>
    <w:rsid w:val="00C7687A"/>
    <w:rsid w:val="00C775D6"/>
    <w:rsid w:val="00C77735"/>
    <w:rsid w:val="00C8066D"/>
    <w:rsid w:val="00C807E6"/>
    <w:rsid w:val="00C81946"/>
    <w:rsid w:val="00C82931"/>
    <w:rsid w:val="00C83D57"/>
    <w:rsid w:val="00C8447A"/>
    <w:rsid w:val="00C87462"/>
    <w:rsid w:val="00C90794"/>
    <w:rsid w:val="00C94DBF"/>
    <w:rsid w:val="00CA180C"/>
    <w:rsid w:val="00CA2F33"/>
    <w:rsid w:val="00CA3683"/>
    <w:rsid w:val="00CA3F52"/>
    <w:rsid w:val="00CA4B98"/>
    <w:rsid w:val="00CB1448"/>
    <w:rsid w:val="00CB22B2"/>
    <w:rsid w:val="00CB3C8B"/>
    <w:rsid w:val="00CB4AB8"/>
    <w:rsid w:val="00CB5277"/>
    <w:rsid w:val="00CC0CF0"/>
    <w:rsid w:val="00CC1BB0"/>
    <w:rsid w:val="00CC3CD3"/>
    <w:rsid w:val="00CC3EE2"/>
    <w:rsid w:val="00CC7397"/>
    <w:rsid w:val="00CD136C"/>
    <w:rsid w:val="00CD288E"/>
    <w:rsid w:val="00CD7492"/>
    <w:rsid w:val="00CE2B37"/>
    <w:rsid w:val="00CE339E"/>
    <w:rsid w:val="00CE3A6B"/>
    <w:rsid w:val="00CE751F"/>
    <w:rsid w:val="00CF066A"/>
    <w:rsid w:val="00CF6FBA"/>
    <w:rsid w:val="00D00211"/>
    <w:rsid w:val="00D03E5A"/>
    <w:rsid w:val="00D060A0"/>
    <w:rsid w:val="00D06309"/>
    <w:rsid w:val="00D11F23"/>
    <w:rsid w:val="00D14D75"/>
    <w:rsid w:val="00D156A3"/>
    <w:rsid w:val="00D1660B"/>
    <w:rsid w:val="00D171D1"/>
    <w:rsid w:val="00D2259B"/>
    <w:rsid w:val="00D23293"/>
    <w:rsid w:val="00D304A6"/>
    <w:rsid w:val="00D351EA"/>
    <w:rsid w:val="00D371B6"/>
    <w:rsid w:val="00D372E2"/>
    <w:rsid w:val="00D40288"/>
    <w:rsid w:val="00D403F5"/>
    <w:rsid w:val="00D40B3C"/>
    <w:rsid w:val="00D43403"/>
    <w:rsid w:val="00D46C2F"/>
    <w:rsid w:val="00D504DC"/>
    <w:rsid w:val="00D5270B"/>
    <w:rsid w:val="00D53C85"/>
    <w:rsid w:val="00D55A8D"/>
    <w:rsid w:val="00D5715F"/>
    <w:rsid w:val="00D57E61"/>
    <w:rsid w:val="00D606EB"/>
    <w:rsid w:val="00D62E71"/>
    <w:rsid w:val="00D63A6D"/>
    <w:rsid w:val="00D6430D"/>
    <w:rsid w:val="00D646BC"/>
    <w:rsid w:val="00D66188"/>
    <w:rsid w:val="00D712E5"/>
    <w:rsid w:val="00D731F6"/>
    <w:rsid w:val="00D740CA"/>
    <w:rsid w:val="00D75358"/>
    <w:rsid w:val="00D75CBB"/>
    <w:rsid w:val="00D75F21"/>
    <w:rsid w:val="00D765D2"/>
    <w:rsid w:val="00D8061F"/>
    <w:rsid w:val="00D81D48"/>
    <w:rsid w:val="00D8337C"/>
    <w:rsid w:val="00D85728"/>
    <w:rsid w:val="00D867C1"/>
    <w:rsid w:val="00D8760C"/>
    <w:rsid w:val="00D936B1"/>
    <w:rsid w:val="00D94D41"/>
    <w:rsid w:val="00D95481"/>
    <w:rsid w:val="00D95744"/>
    <w:rsid w:val="00D9624C"/>
    <w:rsid w:val="00DA6D45"/>
    <w:rsid w:val="00DB1DFB"/>
    <w:rsid w:val="00DB4C3F"/>
    <w:rsid w:val="00DB58B2"/>
    <w:rsid w:val="00DC218D"/>
    <w:rsid w:val="00DC25E9"/>
    <w:rsid w:val="00DC29BD"/>
    <w:rsid w:val="00DC2DD8"/>
    <w:rsid w:val="00DC7A13"/>
    <w:rsid w:val="00DD17A7"/>
    <w:rsid w:val="00DD35B1"/>
    <w:rsid w:val="00DE257F"/>
    <w:rsid w:val="00DE62A0"/>
    <w:rsid w:val="00DF0215"/>
    <w:rsid w:val="00DF109F"/>
    <w:rsid w:val="00DF16FD"/>
    <w:rsid w:val="00DF2434"/>
    <w:rsid w:val="00DF2997"/>
    <w:rsid w:val="00DF4890"/>
    <w:rsid w:val="00DF4D1D"/>
    <w:rsid w:val="00DF5714"/>
    <w:rsid w:val="00E01A5B"/>
    <w:rsid w:val="00E05796"/>
    <w:rsid w:val="00E05A80"/>
    <w:rsid w:val="00E06093"/>
    <w:rsid w:val="00E07CD3"/>
    <w:rsid w:val="00E10BC4"/>
    <w:rsid w:val="00E10C4E"/>
    <w:rsid w:val="00E13623"/>
    <w:rsid w:val="00E1415D"/>
    <w:rsid w:val="00E15039"/>
    <w:rsid w:val="00E1547A"/>
    <w:rsid w:val="00E161B5"/>
    <w:rsid w:val="00E16DF0"/>
    <w:rsid w:val="00E279AA"/>
    <w:rsid w:val="00E27A4B"/>
    <w:rsid w:val="00E323E9"/>
    <w:rsid w:val="00E32BDE"/>
    <w:rsid w:val="00E3324F"/>
    <w:rsid w:val="00E34018"/>
    <w:rsid w:val="00E3582E"/>
    <w:rsid w:val="00E36237"/>
    <w:rsid w:val="00E417CC"/>
    <w:rsid w:val="00E42583"/>
    <w:rsid w:val="00E437D2"/>
    <w:rsid w:val="00E50891"/>
    <w:rsid w:val="00E54304"/>
    <w:rsid w:val="00E55751"/>
    <w:rsid w:val="00E64E39"/>
    <w:rsid w:val="00E70737"/>
    <w:rsid w:val="00E75263"/>
    <w:rsid w:val="00E77D68"/>
    <w:rsid w:val="00E80CC0"/>
    <w:rsid w:val="00E8449D"/>
    <w:rsid w:val="00E848F3"/>
    <w:rsid w:val="00E84DE4"/>
    <w:rsid w:val="00E92FFA"/>
    <w:rsid w:val="00E93DF0"/>
    <w:rsid w:val="00E97973"/>
    <w:rsid w:val="00E97AA0"/>
    <w:rsid w:val="00EA2311"/>
    <w:rsid w:val="00EB288F"/>
    <w:rsid w:val="00EB40D8"/>
    <w:rsid w:val="00EB437F"/>
    <w:rsid w:val="00EB5770"/>
    <w:rsid w:val="00EB778F"/>
    <w:rsid w:val="00EC0421"/>
    <w:rsid w:val="00EC4485"/>
    <w:rsid w:val="00EC7BC3"/>
    <w:rsid w:val="00ED0E99"/>
    <w:rsid w:val="00ED491C"/>
    <w:rsid w:val="00ED4AE6"/>
    <w:rsid w:val="00ED58DE"/>
    <w:rsid w:val="00ED69FF"/>
    <w:rsid w:val="00ED7600"/>
    <w:rsid w:val="00EE15AB"/>
    <w:rsid w:val="00EE7844"/>
    <w:rsid w:val="00EE7901"/>
    <w:rsid w:val="00EF1907"/>
    <w:rsid w:val="00EF27B9"/>
    <w:rsid w:val="00EF6073"/>
    <w:rsid w:val="00EF698B"/>
    <w:rsid w:val="00F02746"/>
    <w:rsid w:val="00F10E89"/>
    <w:rsid w:val="00F1362C"/>
    <w:rsid w:val="00F137DD"/>
    <w:rsid w:val="00F13D23"/>
    <w:rsid w:val="00F14F50"/>
    <w:rsid w:val="00F328C2"/>
    <w:rsid w:val="00F37754"/>
    <w:rsid w:val="00F40890"/>
    <w:rsid w:val="00F41253"/>
    <w:rsid w:val="00F414F1"/>
    <w:rsid w:val="00F41624"/>
    <w:rsid w:val="00F50498"/>
    <w:rsid w:val="00F508B8"/>
    <w:rsid w:val="00F50DBE"/>
    <w:rsid w:val="00F5384D"/>
    <w:rsid w:val="00F56DC6"/>
    <w:rsid w:val="00F60A28"/>
    <w:rsid w:val="00F63B13"/>
    <w:rsid w:val="00F6455E"/>
    <w:rsid w:val="00F65D39"/>
    <w:rsid w:val="00F66AE4"/>
    <w:rsid w:val="00F72CB1"/>
    <w:rsid w:val="00F75853"/>
    <w:rsid w:val="00F77174"/>
    <w:rsid w:val="00F8215E"/>
    <w:rsid w:val="00F821D1"/>
    <w:rsid w:val="00F824F5"/>
    <w:rsid w:val="00F82C15"/>
    <w:rsid w:val="00F90FAB"/>
    <w:rsid w:val="00F9374D"/>
    <w:rsid w:val="00FA1EFF"/>
    <w:rsid w:val="00FA6366"/>
    <w:rsid w:val="00FB0E2D"/>
    <w:rsid w:val="00FB6FD0"/>
    <w:rsid w:val="00FC225A"/>
    <w:rsid w:val="00FC29B9"/>
    <w:rsid w:val="00FC4232"/>
    <w:rsid w:val="00FC4B2B"/>
    <w:rsid w:val="00FC5C3E"/>
    <w:rsid w:val="00FC6307"/>
    <w:rsid w:val="00FC6FD3"/>
    <w:rsid w:val="00FD4CC3"/>
    <w:rsid w:val="00FD67B5"/>
    <w:rsid w:val="00FE18C2"/>
    <w:rsid w:val="00FE305C"/>
    <w:rsid w:val="00FE3A4A"/>
    <w:rsid w:val="00FE510A"/>
    <w:rsid w:val="00FF0301"/>
    <w:rsid w:val="00FF0309"/>
    <w:rsid w:val="00FF1B73"/>
    <w:rsid w:val="1306057A"/>
    <w:rsid w:val="25921BE8"/>
    <w:rsid w:val="2E3D92B7"/>
    <w:rsid w:val="37CFD2C6"/>
    <w:rsid w:val="3BD07EE7"/>
    <w:rsid w:val="3DAC9C8E"/>
    <w:rsid w:val="4275225B"/>
    <w:rsid w:val="4914CB2D"/>
    <w:rsid w:val="4D1C2886"/>
    <w:rsid w:val="4EA4D6E1"/>
    <w:rsid w:val="536B10EF"/>
    <w:rsid w:val="5CC8EEAE"/>
    <w:rsid w:val="5CFFEF53"/>
    <w:rsid w:val="629A2027"/>
    <w:rsid w:val="656C6A0C"/>
    <w:rsid w:val="6AF12C13"/>
    <w:rsid w:val="7103F7D4"/>
    <w:rsid w:val="71E8FEA1"/>
    <w:rsid w:val="76C37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266AAEA7-1B69-4B21-AD29-9901ECA91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 Char,3GPP Caption Table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861A6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athJax_Main" w:hAnsi="MathJax_Mai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05A80"/>
    <w:pPr>
      <w:tabs>
        <w:tab w:val="right" w:leader="dot" w:pos="9617"/>
      </w:tabs>
      <w:spacing w:after="100"/>
      <w:jc w:val="both"/>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074448"/>
  </w:style>
  <w:style w:type="character" w:customStyle="1" w:styleId="eop">
    <w:name w:val="eop"/>
    <w:basedOn w:val="DefaultParagraphFont"/>
    <w:rsid w:val="00074448"/>
  </w:style>
  <w:style w:type="paragraph" w:styleId="NormalWeb">
    <w:name w:val="Normal (Web)"/>
    <w:basedOn w:val="Normal"/>
    <w:uiPriority w:val="99"/>
    <w:semiHidden/>
    <w:unhideWhenUsed/>
    <w:rsid w:val="008879B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semiHidden/>
    <w:unhideWhenUsed/>
    <w:rsid w:val="00227D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27D74"/>
    <w:rPr>
      <w:rFonts w:ascii="Times New Roman" w:hAnsi="Times New Roman"/>
      <w:sz w:val="20"/>
    </w:rPr>
  </w:style>
  <w:style w:type="paragraph" w:styleId="Footer">
    <w:name w:val="footer"/>
    <w:basedOn w:val="Normal"/>
    <w:link w:val="FooterChar"/>
    <w:uiPriority w:val="99"/>
    <w:semiHidden/>
    <w:unhideWhenUsed/>
    <w:rsid w:val="00227D7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27D74"/>
    <w:rPr>
      <w:rFonts w:ascii="Times New Roman" w:hAnsi="Times New Roman"/>
      <w:sz w:val="20"/>
    </w:rPr>
  </w:style>
  <w:style w:type="paragraph" w:customStyle="1" w:styleId="paragraph">
    <w:name w:val="paragraph"/>
    <w:basedOn w:val="Normal"/>
    <w:rsid w:val="000C76CD"/>
    <w:pPr>
      <w:spacing w:before="100" w:beforeAutospacing="1" w:after="100" w:afterAutospacing="1" w:line="240" w:lineRule="auto"/>
    </w:pPr>
    <w:rPr>
      <w:rFonts w:eastAsia="Times New Roman" w:cs="Times New Roman"/>
      <w:sz w:val="24"/>
      <w:szCs w:val="24"/>
    </w:rPr>
  </w:style>
  <w:style w:type="character" w:customStyle="1" w:styleId="mathspan">
    <w:name w:val="mathspan"/>
    <w:basedOn w:val="DefaultParagraphFont"/>
    <w:rsid w:val="00BB2A7E"/>
  </w:style>
  <w:style w:type="character" w:customStyle="1" w:styleId="scxw261681465">
    <w:name w:val="scxw261681465"/>
    <w:basedOn w:val="DefaultParagraphFont"/>
    <w:rsid w:val="00BB2A7E"/>
  </w:style>
  <w:style w:type="character" w:customStyle="1" w:styleId="mn">
    <w:name w:val="mn"/>
    <w:basedOn w:val="DefaultParagraphFont"/>
    <w:rsid w:val="00BB2A7E"/>
  </w:style>
  <w:style w:type="character" w:customStyle="1" w:styleId="mi">
    <w:name w:val="mi"/>
    <w:basedOn w:val="DefaultParagraphFont"/>
    <w:rsid w:val="00BB2A7E"/>
  </w:style>
  <w:style w:type="character" w:customStyle="1" w:styleId="mo">
    <w:name w:val="mo"/>
    <w:basedOn w:val="DefaultParagraphFont"/>
    <w:rsid w:val="00BB2A7E"/>
  </w:style>
  <w:style w:type="character" w:customStyle="1" w:styleId="mjxassistivemathml">
    <w:name w:val="mjx_assistive_mathml"/>
    <w:basedOn w:val="DefaultParagraphFont"/>
    <w:rsid w:val="00BB2A7E"/>
  </w:style>
  <w:style w:type="paragraph" w:customStyle="1" w:styleId="B1">
    <w:name w:val="B1"/>
    <w:basedOn w:val="List"/>
    <w:link w:val="B1Char"/>
    <w:rsid w:val="0070111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701111"/>
    <w:rPr>
      <w:rFonts w:ascii="Times New Roman" w:eastAsia="Times New Roman" w:hAnsi="Times New Roman" w:cs="Times New Roman"/>
      <w:sz w:val="20"/>
      <w:szCs w:val="20"/>
      <w:lang w:val="en-GB" w:eastAsia="en-GB"/>
    </w:rPr>
  </w:style>
  <w:style w:type="paragraph" w:customStyle="1" w:styleId="B2">
    <w:name w:val="B2"/>
    <w:basedOn w:val="List2"/>
    <w:link w:val="B2Char"/>
    <w:rsid w:val="00701111"/>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701111"/>
    <w:rPr>
      <w:rFonts w:ascii="Times New Roman" w:eastAsia="Times New Roman" w:hAnsi="Times New Roman" w:cs="Times New Roman"/>
      <w:sz w:val="20"/>
      <w:szCs w:val="20"/>
      <w:lang w:val="en-GB" w:eastAsia="en-GB"/>
    </w:rPr>
  </w:style>
  <w:style w:type="paragraph" w:customStyle="1" w:styleId="B3">
    <w:name w:val="B3"/>
    <w:basedOn w:val="List3"/>
    <w:link w:val="B3Char"/>
    <w:rsid w:val="00701111"/>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701111"/>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701111"/>
    <w:pPr>
      <w:ind w:left="360" w:hanging="360"/>
      <w:contextualSpacing/>
    </w:pPr>
  </w:style>
  <w:style w:type="paragraph" w:styleId="List2">
    <w:name w:val="List 2"/>
    <w:basedOn w:val="Normal"/>
    <w:uiPriority w:val="99"/>
    <w:semiHidden/>
    <w:unhideWhenUsed/>
    <w:rsid w:val="00701111"/>
    <w:pPr>
      <w:ind w:left="720" w:hanging="360"/>
      <w:contextualSpacing/>
    </w:pPr>
  </w:style>
  <w:style w:type="paragraph" w:styleId="List3">
    <w:name w:val="List 3"/>
    <w:basedOn w:val="Normal"/>
    <w:uiPriority w:val="99"/>
    <w:semiHidden/>
    <w:unhideWhenUsed/>
    <w:rsid w:val="00701111"/>
    <w:pPr>
      <w:ind w:left="1080" w:hanging="360"/>
      <w:contextualSpacing/>
    </w:pPr>
  </w:style>
  <w:style w:type="character" w:styleId="Mention">
    <w:name w:val="Mention"/>
    <w:basedOn w:val="DefaultParagraphFont"/>
    <w:uiPriority w:val="99"/>
    <w:unhideWhenUsed/>
    <w:rsid w:val="009C0927"/>
    <w:rPr>
      <w:color w:val="2B579A"/>
      <w:shd w:val="clear" w:color="auto" w:fill="E1DFDD"/>
    </w:rPr>
  </w:style>
  <w:style w:type="paragraph" w:styleId="Revision">
    <w:name w:val="Revision"/>
    <w:hidden/>
    <w:uiPriority w:val="99"/>
    <w:semiHidden/>
    <w:rsid w:val="001E1AB4"/>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29689">
      <w:bodyDiv w:val="1"/>
      <w:marLeft w:val="0"/>
      <w:marRight w:val="0"/>
      <w:marTop w:val="0"/>
      <w:marBottom w:val="0"/>
      <w:divBdr>
        <w:top w:val="none" w:sz="0" w:space="0" w:color="auto"/>
        <w:left w:val="none" w:sz="0" w:space="0" w:color="auto"/>
        <w:bottom w:val="none" w:sz="0" w:space="0" w:color="auto"/>
        <w:right w:val="none" w:sz="0" w:space="0" w:color="auto"/>
      </w:divBdr>
      <w:divsChild>
        <w:div w:id="548225429">
          <w:marLeft w:val="0"/>
          <w:marRight w:val="0"/>
          <w:marTop w:val="0"/>
          <w:marBottom w:val="0"/>
          <w:divBdr>
            <w:top w:val="none" w:sz="0" w:space="0" w:color="auto"/>
            <w:left w:val="none" w:sz="0" w:space="0" w:color="auto"/>
            <w:bottom w:val="none" w:sz="0" w:space="0" w:color="auto"/>
            <w:right w:val="none" w:sz="0" w:space="0" w:color="auto"/>
          </w:divBdr>
        </w:div>
        <w:div w:id="763187103">
          <w:marLeft w:val="0"/>
          <w:marRight w:val="0"/>
          <w:marTop w:val="0"/>
          <w:marBottom w:val="0"/>
          <w:divBdr>
            <w:top w:val="none" w:sz="0" w:space="0" w:color="auto"/>
            <w:left w:val="none" w:sz="0" w:space="0" w:color="auto"/>
            <w:bottom w:val="none" w:sz="0" w:space="0" w:color="auto"/>
            <w:right w:val="none" w:sz="0" w:space="0" w:color="auto"/>
          </w:divBdr>
        </w:div>
      </w:divsChild>
    </w:div>
    <w:div w:id="238293944">
      <w:bodyDiv w:val="1"/>
      <w:marLeft w:val="0"/>
      <w:marRight w:val="0"/>
      <w:marTop w:val="0"/>
      <w:marBottom w:val="0"/>
      <w:divBdr>
        <w:top w:val="none" w:sz="0" w:space="0" w:color="auto"/>
        <w:left w:val="none" w:sz="0" w:space="0" w:color="auto"/>
        <w:bottom w:val="none" w:sz="0" w:space="0" w:color="auto"/>
        <w:right w:val="none" w:sz="0" w:space="0" w:color="auto"/>
      </w:divBdr>
      <w:divsChild>
        <w:div w:id="312949013">
          <w:marLeft w:val="0"/>
          <w:marRight w:val="0"/>
          <w:marTop w:val="0"/>
          <w:marBottom w:val="0"/>
          <w:divBdr>
            <w:top w:val="none" w:sz="0" w:space="0" w:color="auto"/>
            <w:left w:val="none" w:sz="0" w:space="0" w:color="auto"/>
            <w:bottom w:val="none" w:sz="0" w:space="0" w:color="auto"/>
            <w:right w:val="none" w:sz="0" w:space="0" w:color="auto"/>
          </w:divBdr>
        </w:div>
        <w:div w:id="855735493">
          <w:marLeft w:val="0"/>
          <w:marRight w:val="0"/>
          <w:marTop w:val="0"/>
          <w:marBottom w:val="0"/>
          <w:divBdr>
            <w:top w:val="none" w:sz="0" w:space="0" w:color="auto"/>
            <w:left w:val="none" w:sz="0" w:space="0" w:color="auto"/>
            <w:bottom w:val="none" w:sz="0" w:space="0" w:color="auto"/>
            <w:right w:val="none" w:sz="0" w:space="0" w:color="auto"/>
          </w:divBdr>
        </w:div>
        <w:div w:id="895506922">
          <w:marLeft w:val="0"/>
          <w:marRight w:val="0"/>
          <w:marTop w:val="0"/>
          <w:marBottom w:val="0"/>
          <w:divBdr>
            <w:top w:val="none" w:sz="0" w:space="0" w:color="auto"/>
            <w:left w:val="none" w:sz="0" w:space="0" w:color="auto"/>
            <w:bottom w:val="none" w:sz="0" w:space="0" w:color="auto"/>
            <w:right w:val="none" w:sz="0" w:space="0" w:color="auto"/>
          </w:divBdr>
        </w:div>
        <w:div w:id="1388071898">
          <w:marLeft w:val="0"/>
          <w:marRight w:val="0"/>
          <w:marTop w:val="0"/>
          <w:marBottom w:val="0"/>
          <w:divBdr>
            <w:top w:val="none" w:sz="0" w:space="0" w:color="auto"/>
            <w:left w:val="none" w:sz="0" w:space="0" w:color="auto"/>
            <w:bottom w:val="none" w:sz="0" w:space="0" w:color="auto"/>
            <w:right w:val="none" w:sz="0" w:space="0" w:color="auto"/>
          </w:divBdr>
        </w:div>
        <w:div w:id="1417291154">
          <w:marLeft w:val="0"/>
          <w:marRight w:val="0"/>
          <w:marTop w:val="0"/>
          <w:marBottom w:val="0"/>
          <w:divBdr>
            <w:top w:val="none" w:sz="0" w:space="0" w:color="auto"/>
            <w:left w:val="none" w:sz="0" w:space="0" w:color="auto"/>
            <w:bottom w:val="none" w:sz="0" w:space="0" w:color="auto"/>
            <w:right w:val="none" w:sz="0" w:space="0" w:color="auto"/>
          </w:divBdr>
        </w:div>
        <w:div w:id="1625381587">
          <w:marLeft w:val="0"/>
          <w:marRight w:val="0"/>
          <w:marTop w:val="0"/>
          <w:marBottom w:val="0"/>
          <w:divBdr>
            <w:top w:val="none" w:sz="0" w:space="0" w:color="auto"/>
            <w:left w:val="none" w:sz="0" w:space="0" w:color="auto"/>
            <w:bottom w:val="none" w:sz="0" w:space="0" w:color="auto"/>
            <w:right w:val="none" w:sz="0" w:space="0" w:color="auto"/>
          </w:divBdr>
        </w:div>
        <w:div w:id="1798336501">
          <w:marLeft w:val="0"/>
          <w:marRight w:val="0"/>
          <w:marTop w:val="0"/>
          <w:marBottom w:val="0"/>
          <w:divBdr>
            <w:top w:val="none" w:sz="0" w:space="0" w:color="auto"/>
            <w:left w:val="none" w:sz="0" w:space="0" w:color="auto"/>
            <w:bottom w:val="none" w:sz="0" w:space="0" w:color="auto"/>
            <w:right w:val="none" w:sz="0" w:space="0" w:color="auto"/>
          </w:divBdr>
        </w:div>
        <w:div w:id="1819882223">
          <w:marLeft w:val="0"/>
          <w:marRight w:val="0"/>
          <w:marTop w:val="0"/>
          <w:marBottom w:val="0"/>
          <w:divBdr>
            <w:top w:val="none" w:sz="0" w:space="0" w:color="auto"/>
            <w:left w:val="none" w:sz="0" w:space="0" w:color="auto"/>
            <w:bottom w:val="none" w:sz="0" w:space="0" w:color="auto"/>
            <w:right w:val="none" w:sz="0" w:space="0" w:color="auto"/>
          </w:divBdr>
        </w:div>
        <w:div w:id="2007707494">
          <w:marLeft w:val="0"/>
          <w:marRight w:val="0"/>
          <w:marTop w:val="0"/>
          <w:marBottom w:val="0"/>
          <w:divBdr>
            <w:top w:val="none" w:sz="0" w:space="0" w:color="auto"/>
            <w:left w:val="none" w:sz="0" w:space="0" w:color="auto"/>
            <w:bottom w:val="none" w:sz="0" w:space="0" w:color="auto"/>
            <w:right w:val="none" w:sz="0" w:space="0" w:color="auto"/>
          </w:divBdr>
        </w:div>
      </w:divsChild>
    </w:div>
    <w:div w:id="276256566">
      <w:bodyDiv w:val="1"/>
      <w:marLeft w:val="0"/>
      <w:marRight w:val="0"/>
      <w:marTop w:val="0"/>
      <w:marBottom w:val="0"/>
      <w:divBdr>
        <w:top w:val="none" w:sz="0" w:space="0" w:color="auto"/>
        <w:left w:val="none" w:sz="0" w:space="0" w:color="auto"/>
        <w:bottom w:val="none" w:sz="0" w:space="0" w:color="auto"/>
        <w:right w:val="none" w:sz="0" w:space="0" w:color="auto"/>
      </w:divBdr>
    </w:div>
    <w:div w:id="420639418">
      <w:bodyDiv w:val="1"/>
      <w:marLeft w:val="0"/>
      <w:marRight w:val="0"/>
      <w:marTop w:val="0"/>
      <w:marBottom w:val="0"/>
      <w:divBdr>
        <w:top w:val="none" w:sz="0" w:space="0" w:color="auto"/>
        <w:left w:val="none" w:sz="0" w:space="0" w:color="auto"/>
        <w:bottom w:val="none" w:sz="0" w:space="0" w:color="auto"/>
        <w:right w:val="none" w:sz="0" w:space="0" w:color="auto"/>
      </w:divBdr>
    </w:div>
    <w:div w:id="439837029">
      <w:bodyDiv w:val="1"/>
      <w:marLeft w:val="0"/>
      <w:marRight w:val="0"/>
      <w:marTop w:val="0"/>
      <w:marBottom w:val="0"/>
      <w:divBdr>
        <w:top w:val="none" w:sz="0" w:space="0" w:color="auto"/>
        <w:left w:val="none" w:sz="0" w:space="0" w:color="auto"/>
        <w:bottom w:val="none" w:sz="0" w:space="0" w:color="auto"/>
        <w:right w:val="none" w:sz="0" w:space="0" w:color="auto"/>
      </w:divBdr>
    </w:div>
    <w:div w:id="515115762">
      <w:bodyDiv w:val="1"/>
      <w:marLeft w:val="0"/>
      <w:marRight w:val="0"/>
      <w:marTop w:val="0"/>
      <w:marBottom w:val="0"/>
      <w:divBdr>
        <w:top w:val="none" w:sz="0" w:space="0" w:color="auto"/>
        <w:left w:val="none" w:sz="0" w:space="0" w:color="auto"/>
        <w:bottom w:val="none" w:sz="0" w:space="0" w:color="auto"/>
        <w:right w:val="none" w:sz="0" w:space="0" w:color="auto"/>
      </w:divBdr>
    </w:div>
    <w:div w:id="604969506">
      <w:bodyDiv w:val="1"/>
      <w:marLeft w:val="0"/>
      <w:marRight w:val="0"/>
      <w:marTop w:val="0"/>
      <w:marBottom w:val="0"/>
      <w:divBdr>
        <w:top w:val="none" w:sz="0" w:space="0" w:color="auto"/>
        <w:left w:val="none" w:sz="0" w:space="0" w:color="auto"/>
        <w:bottom w:val="none" w:sz="0" w:space="0" w:color="auto"/>
        <w:right w:val="none" w:sz="0" w:space="0" w:color="auto"/>
      </w:divBdr>
      <w:divsChild>
        <w:div w:id="920482362">
          <w:marLeft w:val="0"/>
          <w:marRight w:val="0"/>
          <w:marTop w:val="0"/>
          <w:marBottom w:val="0"/>
          <w:divBdr>
            <w:top w:val="none" w:sz="0" w:space="0" w:color="auto"/>
            <w:left w:val="none" w:sz="0" w:space="0" w:color="auto"/>
            <w:bottom w:val="none" w:sz="0" w:space="0" w:color="auto"/>
            <w:right w:val="none" w:sz="0" w:space="0" w:color="auto"/>
          </w:divBdr>
        </w:div>
        <w:div w:id="969287407">
          <w:marLeft w:val="0"/>
          <w:marRight w:val="0"/>
          <w:marTop w:val="0"/>
          <w:marBottom w:val="0"/>
          <w:divBdr>
            <w:top w:val="none" w:sz="0" w:space="0" w:color="auto"/>
            <w:left w:val="none" w:sz="0" w:space="0" w:color="auto"/>
            <w:bottom w:val="none" w:sz="0" w:space="0" w:color="auto"/>
            <w:right w:val="none" w:sz="0" w:space="0" w:color="auto"/>
          </w:divBdr>
        </w:div>
        <w:div w:id="1007713192">
          <w:marLeft w:val="0"/>
          <w:marRight w:val="0"/>
          <w:marTop w:val="0"/>
          <w:marBottom w:val="0"/>
          <w:divBdr>
            <w:top w:val="none" w:sz="0" w:space="0" w:color="auto"/>
            <w:left w:val="none" w:sz="0" w:space="0" w:color="auto"/>
            <w:bottom w:val="none" w:sz="0" w:space="0" w:color="auto"/>
            <w:right w:val="none" w:sz="0" w:space="0" w:color="auto"/>
          </w:divBdr>
        </w:div>
        <w:div w:id="1039624587">
          <w:marLeft w:val="0"/>
          <w:marRight w:val="0"/>
          <w:marTop w:val="0"/>
          <w:marBottom w:val="0"/>
          <w:divBdr>
            <w:top w:val="none" w:sz="0" w:space="0" w:color="auto"/>
            <w:left w:val="none" w:sz="0" w:space="0" w:color="auto"/>
            <w:bottom w:val="none" w:sz="0" w:space="0" w:color="auto"/>
            <w:right w:val="none" w:sz="0" w:space="0" w:color="auto"/>
          </w:divBdr>
        </w:div>
        <w:div w:id="1429734732">
          <w:marLeft w:val="0"/>
          <w:marRight w:val="0"/>
          <w:marTop w:val="0"/>
          <w:marBottom w:val="0"/>
          <w:divBdr>
            <w:top w:val="none" w:sz="0" w:space="0" w:color="auto"/>
            <w:left w:val="none" w:sz="0" w:space="0" w:color="auto"/>
            <w:bottom w:val="none" w:sz="0" w:space="0" w:color="auto"/>
            <w:right w:val="none" w:sz="0" w:space="0" w:color="auto"/>
          </w:divBdr>
        </w:div>
      </w:divsChild>
    </w:div>
    <w:div w:id="1031878164">
      <w:bodyDiv w:val="1"/>
      <w:marLeft w:val="0"/>
      <w:marRight w:val="0"/>
      <w:marTop w:val="0"/>
      <w:marBottom w:val="0"/>
      <w:divBdr>
        <w:top w:val="none" w:sz="0" w:space="0" w:color="auto"/>
        <w:left w:val="none" w:sz="0" w:space="0" w:color="auto"/>
        <w:bottom w:val="none" w:sz="0" w:space="0" w:color="auto"/>
        <w:right w:val="none" w:sz="0" w:space="0" w:color="auto"/>
      </w:divBdr>
    </w:div>
    <w:div w:id="1225069739">
      <w:bodyDiv w:val="1"/>
      <w:marLeft w:val="0"/>
      <w:marRight w:val="0"/>
      <w:marTop w:val="0"/>
      <w:marBottom w:val="0"/>
      <w:divBdr>
        <w:top w:val="none" w:sz="0" w:space="0" w:color="auto"/>
        <w:left w:val="none" w:sz="0" w:space="0" w:color="auto"/>
        <w:bottom w:val="none" w:sz="0" w:space="0" w:color="auto"/>
        <w:right w:val="none" w:sz="0" w:space="0" w:color="auto"/>
      </w:divBdr>
      <w:divsChild>
        <w:div w:id="390621841">
          <w:marLeft w:val="0"/>
          <w:marRight w:val="0"/>
          <w:marTop w:val="0"/>
          <w:marBottom w:val="0"/>
          <w:divBdr>
            <w:top w:val="none" w:sz="0" w:space="0" w:color="auto"/>
            <w:left w:val="none" w:sz="0" w:space="0" w:color="auto"/>
            <w:bottom w:val="none" w:sz="0" w:space="0" w:color="auto"/>
            <w:right w:val="none" w:sz="0" w:space="0" w:color="auto"/>
          </w:divBdr>
        </w:div>
        <w:div w:id="1935018607">
          <w:marLeft w:val="0"/>
          <w:marRight w:val="0"/>
          <w:marTop w:val="0"/>
          <w:marBottom w:val="0"/>
          <w:divBdr>
            <w:top w:val="none" w:sz="0" w:space="0" w:color="auto"/>
            <w:left w:val="none" w:sz="0" w:space="0" w:color="auto"/>
            <w:bottom w:val="none" w:sz="0" w:space="0" w:color="auto"/>
            <w:right w:val="none" w:sz="0" w:space="0" w:color="auto"/>
          </w:divBdr>
        </w:div>
      </w:divsChild>
    </w:div>
    <w:div w:id="1241524900">
      <w:bodyDiv w:val="1"/>
      <w:marLeft w:val="0"/>
      <w:marRight w:val="0"/>
      <w:marTop w:val="0"/>
      <w:marBottom w:val="0"/>
      <w:divBdr>
        <w:top w:val="none" w:sz="0" w:space="0" w:color="auto"/>
        <w:left w:val="none" w:sz="0" w:space="0" w:color="auto"/>
        <w:bottom w:val="none" w:sz="0" w:space="0" w:color="auto"/>
        <w:right w:val="none" w:sz="0" w:space="0" w:color="auto"/>
      </w:divBdr>
    </w:div>
    <w:div w:id="1323125653">
      <w:bodyDiv w:val="1"/>
      <w:marLeft w:val="0"/>
      <w:marRight w:val="0"/>
      <w:marTop w:val="0"/>
      <w:marBottom w:val="0"/>
      <w:divBdr>
        <w:top w:val="none" w:sz="0" w:space="0" w:color="auto"/>
        <w:left w:val="none" w:sz="0" w:space="0" w:color="auto"/>
        <w:bottom w:val="none" w:sz="0" w:space="0" w:color="auto"/>
        <w:right w:val="none" w:sz="0" w:space="0" w:color="auto"/>
      </w:divBdr>
      <w:divsChild>
        <w:div w:id="909460976">
          <w:marLeft w:val="0"/>
          <w:marRight w:val="0"/>
          <w:marTop w:val="0"/>
          <w:marBottom w:val="0"/>
          <w:divBdr>
            <w:top w:val="none" w:sz="0" w:space="0" w:color="auto"/>
            <w:left w:val="none" w:sz="0" w:space="0" w:color="auto"/>
            <w:bottom w:val="none" w:sz="0" w:space="0" w:color="auto"/>
            <w:right w:val="none" w:sz="0" w:space="0" w:color="auto"/>
          </w:divBdr>
          <w:divsChild>
            <w:div w:id="187452479">
              <w:marLeft w:val="0"/>
              <w:marRight w:val="0"/>
              <w:marTop w:val="0"/>
              <w:marBottom w:val="0"/>
              <w:divBdr>
                <w:top w:val="none" w:sz="0" w:space="0" w:color="auto"/>
                <w:left w:val="none" w:sz="0" w:space="0" w:color="auto"/>
                <w:bottom w:val="none" w:sz="0" w:space="0" w:color="auto"/>
                <w:right w:val="none" w:sz="0" w:space="0" w:color="auto"/>
              </w:divBdr>
            </w:div>
            <w:div w:id="589047502">
              <w:marLeft w:val="0"/>
              <w:marRight w:val="0"/>
              <w:marTop w:val="0"/>
              <w:marBottom w:val="0"/>
              <w:divBdr>
                <w:top w:val="none" w:sz="0" w:space="0" w:color="auto"/>
                <w:left w:val="none" w:sz="0" w:space="0" w:color="auto"/>
                <w:bottom w:val="none" w:sz="0" w:space="0" w:color="auto"/>
                <w:right w:val="none" w:sz="0" w:space="0" w:color="auto"/>
              </w:divBdr>
            </w:div>
            <w:div w:id="604995381">
              <w:marLeft w:val="0"/>
              <w:marRight w:val="0"/>
              <w:marTop w:val="0"/>
              <w:marBottom w:val="0"/>
              <w:divBdr>
                <w:top w:val="none" w:sz="0" w:space="0" w:color="auto"/>
                <w:left w:val="none" w:sz="0" w:space="0" w:color="auto"/>
                <w:bottom w:val="none" w:sz="0" w:space="0" w:color="auto"/>
                <w:right w:val="none" w:sz="0" w:space="0" w:color="auto"/>
              </w:divBdr>
            </w:div>
            <w:div w:id="892152923">
              <w:marLeft w:val="0"/>
              <w:marRight w:val="0"/>
              <w:marTop w:val="0"/>
              <w:marBottom w:val="0"/>
              <w:divBdr>
                <w:top w:val="none" w:sz="0" w:space="0" w:color="auto"/>
                <w:left w:val="none" w:sz="0" w:space="0" w:color="auto"/>
                <w:bottom w:val="none" w:sz="0" w:space="0" w:color="auto"/>
                <w:right w:val="none" w:sz="0" w:space="0" w:color="auto"/>
              </w:divBdr>
            </w:div>
            <w:div w:id="1101992719">
              <w:marLeft w:val="0"/>
              <w:marRight w:val="0"/>
              <w:marTop w:val="0"/>
              <w:marBottom w:val="0"/>
              <w:divBdr>
                <w:top w:val="none" w:sz="0" w:space="0" w:color="auto"/>
                <w:left w:val="none" w:sz="0" w:space="0" w:color="auto"/>
                <w:bottom w:val="none" w:sz="0" w:space="0" w:color="auto"/>
                <w:right w:val="none" w:sz="0" w:space="0" w:color="auto"/>
              </w:divBdr>
            </w:div>
          </w:divsChild>
        </w:div>
        <w:div w:id="1137145538">
          <w:marLeft w:val="0"/>
          <w:marRight w:val="0"/>
          <w:marTop w:val="0"/>
          <w:marBottom w:val="0"/>
          <w:divBdr>
            <w:top w:val="none" w:sz="0" w:space="0" w:color="auto"/>
            <w:left w:val="none" w:sz="0" w:space="0" w:color="auto"/>
            <w:bottom w:val="none" w:sz="0" w:space="0" w:color="auto"/>
            <w:right w:val="none" w:sz="0" w:space="0" w:color="auto"/>
          </w:divBdr>
        </w:div>
        <w:div w:id="1185287074">
          <w:marLeft w:val="0"/>
          <w:marRight w:val="0"/>
          <w:marTop w:val="0"/>
          <w:marBottom w:val="0"/>
          <w:divBdr>
            <w:top w:val="none" w:sz="0" w:space="0" w:color="auto"/>
            <w:left w:val="none" w:sz="0" w:space="0" w:color="auto"/>
            <w:bottom w:val="none" w:sz="0" w:space="0" w:color="auto"/>
            <w:right w:val="none" w:sz="0" w:space="0" w:color="auto"/>
          </w:divBdr>
          <w:divsChild>
            <w:div w:id="341199713">
              <w:marLeft w:val="0"/>
              <w:marRight w:val="0"/>
              <w:marTop w:val="0"/>
              <w:marBottom w:val="0"/>
              <w:divBdr>
                <w:top w:val="none" w:sz="0" w:space="0" w:color="auto"/>
                <w:left w:val="none" w:sz="0" w:space="0" w:color="auto"/>
                <w:bottom w:val="none" w:sz="0" w:space="0" w:color="auto"/>
                <w:right w:val="none" w:sz="0" w:space="0" w:color="auto"/>
              </w:divBdr>
            </w:div>
            <w:div w:id="1413966987">
              <w:marLeft w:val="0"/>
              <w:marRight w:val="0"/>
              <w:marTop w:val="0"/>
              <w:marBottom w:val="0"/>
              <w:divBdr>
                <w:top w:val="none" w:sz="0" w:space="0" w:color="auto"/>
                <w:left w:val="none" w:sz="0" w:space="0" w:color="auto"/>
                <w:bottom w:val="none" w:sz="0" w:space="0" w:color="auto"/>
                <w:right w:val="none" w:sz="0" w:space="0" w:color="auto"/>
              </w:divBdr>
            </w:div>
          </w:divsChild>
        </w:div>
        <w:div w:id="1847018446">
          <w:marLeft w:val="0"/>
          <w:marRight w:val="0"/>
          <w:marTop w:val="0"/>
          <w:marBottom w:val="0"/>
          <w:divBdr>
            <w:top w:val="none" w:sz="0" w:space="0" w:color="auto"/>
            <w:left w:val="none" w:sz="0" w:space="0" w:color="auto"/>
            <w:bottom w:val="none" w:sz="0" w:space="0" w:color="auto"/>
            <w:right w:val="none" w:sz="0" w:space="0" w:color="auto"/>
          </w:divBdr>
          <w:divsChild>
            <w:div w:id="373385748">
              <w:marLeft w:val="0"/>
              <w:marRight w:val="0"/>
              <w:marTop w:val="0"/>
              <w:marBottom w:val="0"/>
              <w:divBdr>
                <w:top w:val="none" w:sz="0" w:space="0" w:color="auto"/>
                <w:left w:val="none" w:sz="0" w:space="0" w:color="auto"/>
                <w:bottom w:val="none" w:sz="0" w:space="0" w:color="auto"/>
                <w:right w:val="none" w:sz="0" w:space="0" w:color="auto"/>
              </w:divBdr>
            </w:div>
            <w:div w:id="843670207">
              <w:marLeft w:val="0"/>
              <w:marRight w:val="0"/>
              <w:marTop w:val="0"/>
              <w:marBottom w:val="0"/>
              <w:divBdr>
                <w:top w:val="none" w:sz="0" w:space="0" w:color="auto"/>
                <w:left w:val="none" w:sz="0" w:space="0" w:color="auto"/>
                <w:bottom w:val="none" w:sz="0" w:space="0" w:color="auto"/>
                <w:right w:val="none" w:sz="0" w:space="0" w:color="auto"/>
              </w:divBdr>
            </w:div>
            <w:div w:id="185664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4879">
      <w:bodyDiv w:val="1"/>
      <w:marLeft w:val="0"/>
      <w:marRight w:val="0"/>
      <w:marTop w:val="0"/>
      <w:marBottom w:val="0"/>
      <w:divBdr>
        <w:top w:val="none" w:sz="0" w:space="0" w:color="auto"/>
        <w:left w:val="none" w:sz="0" w:space="0" w:color="auto"/>
        <w:bottom w:val="none" w:sz="0" w:space="0" w:color="auto"/>
        <w:right w:val="none" w:sz="0" w:space="0" w:color="auto"/>
      </w:divBdr>
    </w:div>
    <w:div w:id="1687555889">
      <w:bodyDiv w:val="1"/>
      <w:marLeft w:val="0"/>
      <w:marRight w:val="0"/>
      <w:marTop w:val="0"/>
      <w:marBottom w:val="0"/>
      <w:divBdr>
        <w:top w:val="none" w:sz="0" w:space="0" w:color="auto"/>
        <w:left w:val="none" w:sz="0" w:space="0" w:color="auto"/>
        <w:bottom w:val="none" w:sz="0" w:space="0" w:color="auto"/>
        <w:right w:val="none" w:sz="0" w:space="0" w:color="auto"/>
      </w:divBdr>
      <w:divsChild>
        <w:div w:id="475294425">
          <w:marLeft w:val="0"/>
          <w:marRight w:val="0"/>
          <w:marTop w:val="0"/>
          <w:marBottom w:val="0"/>
          <w:divBdr>
            <w:top w:val="none" w:sz="0" w:space="0" w:color="auto"/>
            <w:left w:val="none" w:sz="0" w:space="0" w:color="auto"/>
            <w:bottom w:val="none" w:sz="0" w:space="0" w:color="auto"/>
            <w:right w:val="none" w:sz="0" w:space="0" w:color="auto"/>
          </w:divBdr>
          <w:divsChild>
            <w:div w:id="1271207726">
              <w:marLeft w:val="0"/>
              <w:marRight w:val="0"/>
              <w:marTop w:val="0"/>
              <w:marBottom w:val="0"/>
              <w:divBdr>
                <w:top w:val="none" w:sz="0" w:space="0" w:color="auto"/>
                <w:left w:val="none" w:sz="0" w:space="0" w:color="auto"/>
                <w:bottom w:val="none" w:sz="0" w:space="0" w:color="auto"/>
                <w:right w:val="none" w:sz="0" w:space="0" w:color="auto"/>
              </w:divBdr>
            </w:div>
            <w:div w:id="2011440481">
              <w:marLeft w:val="0"/>
              <w:marRight w:val="0"/>
              <w:marTop w:val="0"/>
              <w:marBottom w:val="0"/>
              <w:divBdr>
                <w:top w:val="none" w:sz="0" w:space="0" w:color="auto"/>
                <w:left w:val="none" w:sz="0" w:space="0" w:color="auto"/>
                <w:bottom w:val="none" w:sz="0" w:space="0" w:color="auto"/>
                <w:right w:val="none" w:sz="0" w:space="0" w:color="auto"/>
              </w:divBdr>
            </w:div>
          </w:divsChild>
        </w:div>
        <w:div w:id="582421104">
          <w:marLeft w:val="0"/>
          <w:marRight w:val="0"/>
          <w:marTop w:val="0"/>
          <w:marBottom w:val="0"/>
          <w:divBdr>
            <w:top w:val="none" w:sz="0" w:space="0" w:color="auto"/>
            <w:left w:val="none" w:sz="0" w:space="0" w:color="auto"/>
            <w:bottom w:val="none" w:sz="0" w:space="0" w:color="auto"/>
            <w:right w:val="none" w:sz="0" w:space="0" w:color="auto"/>
          </w:divBdr>
        </w:div>
      </w:divsChild>
    </w:div>
    <w:div w:id="1715278010">
      <w:bodyDiv w:val="1"/>
      <w:marLeft w:val="0"/>
      <w:marRight w:val="0"/>
      <w:marTop w:val="0"/>
      <w:marBottom w:val="0"/>
      <w:divBdr>
        <w:top w:val="none" w:sz="0" w:space="0" w:color="auto"/>
        <w:left w:val="none" w:sz="0" w:space="0" w:color="auto"/>
        <w:bottom w:val="none" w:sz="0" w:space="0" w:color="auto"/>
        <w:right w:val="none" w:sz="0" w:space="0" w:color="auto"/>
      </w:divBdr>
    </w:div>
    <w:div w:id="1759715046">
      <w:bodyDiv w:val="1"/>
      <w:marLeft w:val="0"/>
      <w:marRight w:val="0"/>
      <w:marTop w:val="0"/>
      <w:marBottom w:val="0"/>
      <w:divBdr>
        <w:top w:val="none" w:sz="0" w:space="0" w:color="auto"/>
        <w:left w:val="none" w:sz="0" w:space="0" w:color="auto"/>
        <w:bottom w:val="none" w:sz="0" w:space="0" w:color="auto"/>
        <w:right w:val="none" w:sz="0" w:space="0" w:color="auto"/>
      </w:divBdr>
      <w:divsChild>
        <w:div w:id="24673585">
          <w:marLeft w:val="0"/>
          <w:marRight w:val="0"/>
          <w:marTop w:val="0"/>
          <w:marBottom w:val="0"/>
          <w:divBdr>
            <w:top w:val="none" w:sz="0" w:space="0" w:color="auto"/>
            <w:left w:val="none" w:sz="0" w:space="0" w:color="auto"/>
            <w:bottom w:val="none" w:sz="0" w:space="0" w:color="auto"/>
            <w:right w:val="none" w:sz="0" w:space="0" w:color="auto"/>
          </w:divBdr>
        </w:div>
        <w:div w:id="40138840">
          <w:marLeft w:val="0"/>
          <w:marRight w:val="0"/>
          <w:marTop w:val="0"/>
          <w:marBottom w:val="0"/>
          <w:divBdr>
            <w:top w:val="none" w:sz="0" w:space="0" w:color="auto"/>
            <w:left w:val="none" w:sz="0" w:space="0" w:color="auto"/>
            <w:bottom w:val="none" w:sz="0" w:space="0" w:color="auto"/>
            <w:right w:val="none" w:sz="0" w:space="0" w:color="auto"/>
          </w:divBdr>
        </w:div>
      </w:divsChild>
    </w:div>
    <w:div w:id="1778673928">
      <w:bodyDiv w:val="1"/>
      <w:marLeft w:val="0"/>
      <w:marRight w:val="0"/>
      <w:marTop w:val="0"/>
      <w:marBottom w:val="0"/>
      <w:divBdr>
        <w:top w:val="none" w:sz="0" w:space="0" w:color="auto"/>
        <w:left w:val="none" w:sz="0" w:space="0" w:color="auto"/>
        <w:bottom w:val="none" w:sz="0" w:space="0" w:color="auto"/>
        <w:right w:val="none" w:sz="0" w:space="0" w:color="auto"/>
      </w:divBdr>
    </w:div>
    <w:div w:id="184296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6bis-e/Inbox/R4-23063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5AIRPNAIUNRU-1328258698-23595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https://nokia.sharepoint.com/sites/c5g/5gradio/_layouts/15/DocIdRedir.aspx?ID=5AIRPNAIUNRU-1328258698-23595</Url>
      <Description>5AIRPNAIUNRU-1328258698-23595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3935</TotalTime>
  <Pages>8</Pages>
  <Words>3225</Words>
  <Characters>18385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401</cp:revision>
  <dcterms:created xsi:type="dcterms:W3CDTF">2023-05-03T23:16:00Z</dcterms:created>
  <dcterms:modified xsi:type="dcterms:W3CDTF">2023-05-15T15:40:00Z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cea8c05e-e7cd-4477-933a-55e4c7fdf5db</vt:lpwstr>
  </property>
</Properties>
</file>