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416DFCEE"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3D3F6A">
        <w:rPr>
          <w:rFonts w:cs="Arial"/>
          <w:sz w:val="24"/>
          <w:szCs w:val="24"/>
          <w:lang w:val="de-DE"/>
        </w:rPr>
        <w:t>6</w:t>
      </w:r>
      <w:r w:rsidRPr="00DB3907">
        <w:rPr>
          <w:rFonts w:cs="Arial"/>
          <w:sz w:val="24"/>
          <w:szCs w:val="24"/>
          <w:lang w:val="de-DE"/>
        </w:rPr>
        <w:tab/>
        <w:t>R4-</w:t>
      </w:r>
      <w:r>
        <w:rPr>
          <w:rFonts w:cs="Arial"/>
          <w:sz w:val="24"/>
          <w:szCs w:val="24"/>
          <w:lang w:val="de-DE"/>
        </w:rPr>
        <w:t>2</w:t>
      </w:r>
      <w:r w:rsidR="00FE6213">
        <w:rPr>
          <w:rFonts w:cs="Arial"/>
          <w:sz w:val="24"/>
          <w:szCs w:val="24"/>
          <w:lang w:val="de-DE"/>
        </w:rPr>
        <w:t>302704</w:t>
      </w:r>
    </w:p>
    <w:p w14:paraId="7C5F9A1F" w14:textId="39756A02" w:rsidR="006E440C" w:rsidRPr="00DB3907" w:rsidRDefault="003D3F6A" w:rsidP="006E440C">
      <w:pPr>
        <w:pStyle w:val="Header"/>
        <w:tabs>
          <w:tab w:val="left" w:pos="6521"/>
        </w:tabs>
        <w:rPr>
          <w:rFonts w:cs="Arial"/>
          <w:sz w:val="24"/>
          <w:szCs w:val="24"/>
        </w:rPr>
      </w:pPr>
      <w:r>
        <w:rPr>
          <w:rFonts w:cs="Arial"/>
          <w:sz w:val="24"/>
          <w:szCs w:val="24"/>
        </w:rPr>
        <w:t>February</w:t>
      </w:r>
      <w:r w:rsidR="006E440C">
        <w:rPr>
          <w:rFonts w:cs="Arial"/>
          <w:sz w:val="24"/>
          <w:szCs w:val="24"/>
        </w:rPr>
        <w:t xml:space="preserve"> </w:t>
      </w:r>
      <w:r w:rsidR="00EE4326">
        <w:rPr>
          <w:rFonts w:cs="Arial"/>
          <w:sz w:val="24"/>
          <w:szCs w:val="24"/>
        </w:rPr>
        <w:t>27</w:t>
      </w:r>
      <w:r w:rsidR="006E440C">
        <w:rPr>
          <w:rFonts w:cs="Arial"/>
          <w:sz w:val="24"/>
          <w:szCs w:val="24"/>
          <w:vertAlign w:val="superscript"/>
        </w:rPr>
        <w:t>th</w:t>
      </w:r>
      <w:r w:rsidR="006E440C">
        <w:rPr>
          <w:rFonts w:cs="Arial"/>
          <w:sz w:val="24"/>
          <w:szCs w:val="24"/>
        </w:rPr>
        <w:t xml:space="preserve"> ‒ </w:t>
      </w:r>
      <w:r w:rsidR="00EE4326">
        <w:rPr>
          <w:rFonts w:cs="Arial"/>
          <w:sz w:val="24"/>
          <w:szCs w:val="24"/>
        </w:rPr>
        <w:t>March 3</w:t>
      </w:r>
      <w:r w:rsidR="00EE4326" w:rsidRPr="00EE4326">
        <w:rPr>
          <w:rFonts w:cs="Arial"/>
          <w:sz w:val="24"/>
          <w:szCs w:val="24"/>
          <w:vertAlign w:val="superscript"/>
        </w:rPr>
        <w:t>rd</w:t>
      </w:r>
      <w:r w:rsidR="006E440C">
        <w:rPr>
          <w:rFonts w:cs="Arial"/>
          <w:sz w:val="24"/>
          <w:szCs w:val="24"/>
        </w:rPr>
        <w:t>, 202</w:t>
      </w:r>
      <w:r w:rsidR="00DB0387">
        <w:rPr>
          <w:rFonts w:cs="Arial"/>
          <w:sz w:val="24"/>
          <w:szCs w:val="24"/>
        </w:rPr>
        <w:t>3</w:t>
      </w:r>
    </w:p>
    <w:p w14:paraId="73F03791" w14:textId="272D67C1" w:rsidR="006B0412" w:rsidRPr="00DB3907" w:rsidRDefault="003D3F6A" w:rsidP="006B0412">
      <w:pPr>
        <w:pStyle w:val="Header"/>
        <w:rPr>
          <w:rFonts w:cs="Arial"/>
          <w:sz w:val="24"/>
          <w:szCs w:val="24"/>
        </w:rPr>
      </w:pPr>
      <w:r>
        <w:rPr>
          <w:rFonts w:cs="Arial"/>
          <w:sz w:val="24"/>
          <w:szCs w:val="24"/>
        </w:rPr>
        <w:t>Athens</w:t>
      </w:r>
      <w:r w:rsidR="00F26979">
        <w:rPr>
          <w:rFonts w:cs="Arial"/>
          <w:sz w:val="24"/>
          <w:szCs w:val="24"/>
        </w:rPr>
        <w:t xml:space="preserve">, </w:t>
      </w:r>
      <w:r>
        <w:rPr>
          <w:rFonts w:cs="Arial"/>
          <w:sz w:val="24"/>
          <w:szCs w:val="24"/>
        </w:rPr>
        <w:t>G</w:t>
      </w:r>
      <w:r w:rsidR="00F26979">
        <w:rPr>
          <w:rFonts w:cs="Arial"/>
          <w:sz w:val="24"/>
          <w:szCs w:val="24"/>
        </w:rPr>
        <w:t>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9B1F278"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E6213">
        <w:rPr>
          <w:rFonts w:ascii="Arial" w:hAnsi="Arial"/>
          <w:sz w:val="24"/>
          <w:lang w:val="en-US"/>
        </w:rPr>
        <w:t>10.3.3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28DFEE77"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B94753">
        <w:rPr>
          <w:rFonts w:ascii="Arial" w:hAnsi="Arial"/>
          <w:sz w:val="24"/>
          <w:lang w:val="en-US"/>
        </w:rPr>
        <w:t>In-channel</w:t>
      </w:r>
      <w:r w:rsidR="00965069">
        <w:rPr>
          <w:rFonts w:ascii="Arial" w:hAnsi="Arial"/>
          <w:sz w:val="24"/>
          <w:lang w:val="en-US"/>
        </w:rPr>
        <w:t xml:space="preserve"> ACS for 5G broadcast</w:t>
      </w:r>
    </w:p>
    <w:p w14:paraId="013F978F" w14:textId="4673C15E"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A20E1">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0E658D32" w14:textId="0AACCD0B" w:rsidR="00B94753" w:rsidRDefault="00B94753" w:rsidP="009011AF">
      <w:r>
        <w:t xml:space="preserve">The UE ACS requirement was discussed in [1] </w:t>
      </w:r>
      <w:r w:rsidR="00750D8F">
        <w:t>referencing</w:t>
      </w:r>
      <w:r w:rsidR="00A658A0">
        <w:t xml:space="preserve"> DVB-T2 measured performance </w:t>
      </w:r>
      <w:r w:rsidR="00750D8F">
        <w:t xml:space="preserve">as a basis.  In this paper, a different approach is taken where the existing LTE performance is used as a basis.  In particular, the UE ACS capability is estimated assuming a conventional LTE 10 MHz design, but subjected to 6, 7, and 8 MHz channelization used for broadcast.  </w:t>
      </w:r>
      <w:r w:rsidR="0031376F">
        <w:t>An ACS specification for 5G broadcast in 36.101 is proposed.</w:t>
      </w:r>
    </w:p>
    <w:p w14:paraId="10F6602E" w14:textId="3843C1B3" w:rsidR="007E1E78" w:rsidRDefault="007E1E78" w:rsidP="0099327E">
      <w:pPr>
        <w:pStyle w:val="Heading1"/>
        <w:tabs>
          <w:tab w:val="clear" w:pos="432"/>
          <w:tab w:val="num" w:pos="522"/>
        </w:tabs>
        <w:ind w:left="522" w:hanging="522"/>
        <w:rPr>
          <w:lang w:val="en-US"/>
        </w:rPr>
      </w:pPr>
      <w:r>
        <w:rPr>
          <w:lang w:val="en-US"/>
        </w:rPr>
        <w:t>Discussion</w:t>
      </w:r>
    </w:p>
    <w:p w14:paraId="5F1BB197" w14:textId="0B2EBE77" w:rsidR="00001107" w:rsidRDefault="00750D8F" w:rsidP="00750D8F">
      <w:pPr>
        <w:rPr>
          <w:lang w:val="en-US"/>
        </w:rPr>
      </w:pPr>
      <w:r>
        <w:rPr>
          <w:lang w:val="en-US"/>
        </w:rPr>
        <w:t>The work item</w:t>
      </w:r>
      <w:r w:rsidR="00E04ED9">
        <w:rPr>
          <w:lang w:val="en-US"/>
        </w:rPr>
        <w:t xml:space="preserve"> in [2] </w:t>
      </w:r>
      <w:r w:rsidR="001F25E3">
        <w:rPr>
          <w:lang w:val="en-US"/>
        </w:rPr>
        <w:t xml:space="preserve">clearly establishes a preference to </w:t>
      </w:r>
      <w:r w:rsidR="00D0569F">
        <w:rPr>
          <w:lang w:val="en-US"/>
        </w:rPr>
        <w:t>reus</w:t>
      </w:r>
      <w:r w:rsidR="007C7CC4">
        <w:rPr>
          <w:lang w:val="en-US"/>
        </w:rPr>
        <w:t>e</w:t>
      </w:r>
      <w:r w:rsidR="00D0569F">
        <w:rPr>
          <w:lang w:val="en-US"/>
        </w:rPr>
        <w:t xml:space="preserve"> existing LTE UE requirements.  Under the objective to define UE requirements for 6/7/8 MHz</w:t>
      </w:r>
      <w:r w:rsidR="00001107">
        <w:rPr>
          <w:lang w:val="en-US"/>
        </w:rPr>
        <w:t>, it is stated “Reuse existing requirements for 10 MHz as much as possible” with a further note “New (dedicated) channel filters (</w:t>
      </w:r>
      <w:proofErr w:type="gramStart"/>
      <w:r w:rsidR="00001107">
        <w:rPr>
          <w:lang w:val="en-US"/>
        </w:rPr>
        <w:t>e.g.</w:t>
      </w:r>
      <w:proofErr w:type="gramEnd"/>
      <w:r w:rsidR="00001107">
        <w:rPr>
          <w:lang w:val="en-US"/>
        </w:rPr>
        <w:t xml:space="preserve"> 6/7/8 MHz filters) are not considered for the UE.”  Therefore, to faithfully </w:t>
      </w:r>
      <w:r w:rsidR="00964B4E">
        <w:rPr>
          <w:lang w:val="en-US"/>
        </w:rPr>
        <w:t xml:space="preserve">follow this objective, the UE ACS requirement for 10 MHz LTE should be applied for 5G broadcast.  In other words, the wanted channel is 10 MHz wide while the adjacent channel is </w:t>
      </w:r>
      <w:r w:rsidR="00AE682B">
        <w:rPr>
          <w:lang w:val="en-US"/>
        </w:rPr>
        <w:t xml:space="preserve">offset by </w:t>
      </w:r>
      <w:r w:rsidR="00DC64F5">
        <w:rPr>
          <w:lang w:val="en-US"/>
        </w:rPr>
        <w:t xml:space="preserve">approximately </w:t>
      </w:r>
      <w:r w:rsidR="00AE682B">
        <w:rPr>
          <w:lang w:val="en-US"/>
        </w:rPr>
        <w:t>7.5 MHz center-to-center.  The ACS requirement in this configuration is 33 dB</w:t>
      </w:r>
    </w:p>
    <w:p w14:paraId="5B93F38B" w14:textId="77777777" w:rsidR="00DC64F5" w:rsidRDefault="00DC64F5" w:rsidP="00DC64F5">
      <w:pPr>
        <w:pStyle w:val="TH"/>
      </w:pPr>
      <w:r>
        <w:t xml:space="preserve">Table </w:t>
      </w:r>
      <w:r>
        <w:rPr>
          <w:rFonts w:eastAsia="MS Mincho"/>
        </w:rPr>
        <w:t>7.5.1-1</w:t>
      </w:r>
      <w: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tblGrid>
      <w:tr w:rsidR="00DC64F5" w14:paraId="63ED0B59" w14:textId="77777777" w:rsidTr="00DC64F5">
        <w:tc>
          <w:tcPr>
            <w:tcW w:w="1559" w:type="dxa"/>
            <w:tcBorders>
              <w:top w:val="single" w:sz="4" w:space="0" w:color="auto"/>
              <w:left w:val="single" w:sz="4" w:space="0" w:color="auto"/>
              <w:bottom w:val="single" w:sz="4" w:space="0" w:color="auto"/>
              <w:right w:val="single" w:sz="4" w:space="0" w:color="auto"/>
            </w:tcBorders>
          </w:tcPr>
          <w:p w14:paraId="55F2F735" w14:textId="77777777" w:rsidR="00DC64F5" w:rsidRDefault="00DC64F5">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650292AE" w14:textId="77777777" w:rsidR="00DC64F5" w:rsidRDefault="00DC64F5">
            <w:pPr>
              <w:pStyle w:val="TAH"/>
              <w:rPr>
                <w:rFonts w:cs="Arial"/>
              </w:rPr>
            </w:pPr>
          </w:p>
        </w:tc>
        <w:tc>
          <w:tcPr>
            <w:tcW w:w="4821" w:type="dxa"/>
            <w:gridSpan w:val="6"/>
            <w:tcBorders>
              <w:top w:val="single" w:sz="4" w:space="0" w:color="auto"/>
              <w:left w:val="single" w:sz="4" w:space="0" w:color="auto"/>
              <w:bottom w:val="single" w:sz="4" w:space="0" w:color="auto"/>
              <w:right w:val="single" w:sz="4" w:space="0" w:color="auto"/>
            </w:tcBorders>
            <w:hideMark/>
          </w:tcPr>
          <w:p w14:paraId="2EC202AA" w14:textId="77777777" w:rsidR="00DC64F5" w:rsidRDefault="00DC64F5">
            <w:pPr>
              <w:pStyle w:val="TAH"/>
              <w:rPr>
                <w:rFonts w:cs="Arial"/>
              </w:rPr>
            </w:pPr>
            <w:r>
              <w:rPr>
                <w:rFonts w:cs="Arial"/>
              </w:rPr>
              <w:t>Channel bandwidth</w:t>
            </w:r>
          </w:p>
        </w:tc>
      </w:tr>
      <w:tr w:rsidR="00DC64F5" w14:paraId="6522B17D" w14:textId="77777777" w:rsidTr="00DC64F5">
        <w:tc>
          <w:tcPr>
            <w:tcW w:w="1559" w:type="dxa"/>
            <w:tcBorders>
              <w:top w:val="single" w:sz="4" w:space="0" w:color="auto"/>
              <w:left w:val="single" w:sz="4" w:space="0" w:color="auto"/>
              <w:bottom w:val="single" w:sz="4" w:space="0" w:color="auto"/>
              <w:right w:val="single" w:sz="4" w:space="0" w:color="auto"/>
            </w:tcBorders>
            <w:hideMark/>
          </w:tcPr>
          <w:p w14:paraId="17D93C23" w14:textId="77777777" w:rsidR="00DC64F5" w:rsidRDefault="00DC64F5">
            <w:pPr>
              <w:pStyle w:val="TAH"/>
              <w:rPr>
                <w:rFonts w:cs="Arial"/>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03E4C649" w14:textId="77777777" w:rsidR="00DC64F5" w:rsidRDefault="00DC64F5">
            <w:pPr>
              <w:pStyle w:val="TAH"/>
              <w:rPr>
                <w:rFonts w:cs="Arial"/>
              </w:rPr>
            </w:pPr>
            <w:r>
              <w:rPr>
                <w:rFonts w:cs="Arial"/>
              </w:rPr>
              <w:t>Units</w:t>
            </w:r>
          </w:p>
        </w:tc>
        <w:tc>
          <w:tcPr>
            <w:tcW w:w="882" w:type="dxa"/>
            <w:tcBorders>
              <w:top w:val="single" w:sz="4" w:space="0" w:color="auto"/>
              <w:left w:val="single" w:sz="4" w:space="0" w:color="auto"/>
              <w:bottom w:val="single" w:sz="4" w:space="0" w:color="auto"/>
              <w:right w:val="single" w:sz="4" w:space="0" w:color="auto"/>
            </w:tcBorders>
            <w:hideMark/>
          </w:tcPr>
          <w:p w14:paraId="7A97A181" w14:textId="77777777" w:rsidR="00DC64F5" w:rsidRDefault="00DC64F5">
            <w:pPr>
              <w:pStyle w:val="TAH"/>
              <w:rPr>
                <w:rFonts w:cs="Arial"/>
              </w:rPr>
            </w:pPr>
            <w:r>
              <w:rPr>
                <w:rFonts w:cs="Arial"/>
              </w:rPr>
              <w:t>1.4</w:t>
            </w:r>
            <w:r>
              <w:rPr>
                <w:rFonts w:cs="Arial"/>
              </w:rPr>
              <w:br/>
              <w:t xml:space="preserve">MHz </w:t>
            </w:r>
          </w:p>
        </w:tc>
        <w:tc>
          <w:tcPr>
            <w:tcW w:w="778" w:type="dxa"/>
            <w:tcBorders>
              <w:top w:val="single" w:sz="4" w:space="0" w:color="auto"/>
              <w:left w:val="single" w:sz="4" w:space="0" w:color="auto"/>
              <w:bottom w:val="single" w:sz="4" w:space="0" w:color="auto"/>
              <w:right w:val="single" w:sz="4" w:space="0" w:color="auto"/>
            </w:tcBorders>
            <w:hideMark/>
          </w:tcPr>
          <w:p w14:paraId="261BBA8A" w14:textId="77777777" w:rsidR="00DC64F5" w:rsidRDefault="00DC64F5">
            <w:pPr>
              <w:pStyle w:val="TAH"/>
              <w:rPr>
                <w:rFonts w:cs="Arial"/>
              </w:rPr>
            </w:pPr>
            <w:r>
              <w:rPr>
                <w:rFonts w:cs="Arial"/>
              </w:rPr>
              <w:t>3</w:t>
            </w:r>
            <w:r>
              <w:rPr>
                <w:rFonts w:cs="Arial"/>
              </w:rPr>
              <w:br/>
              <w:t>MHz</w:t>
            </w:r>
          </w:p>
        </w:tc>
        <w:tc>
          <w:tcPr>
            <w:tcW w:w="778" w:type="dxa"/>
            <w:tcBorders>
              <w:top w:val="single" w:sz="4" w:space="0" w:color="auto"/>
              <w:left w:val="single" w:sz="4" w:space="0" w:color="auto"/>
              <w:bottom w:val="single" w:sz="4" w:space="0" w:color="auto"/>
              <w:right w:val="single" w:sz="4" w:space="0" w:color="auto"/>
            </w:tcBorders>
            <w:hideMark/>
          </w:tcPr>
          <w:p w14:paraId="10D01089" w14:textId="77777777" w:rsidR="00DC64F5" w:rsidRDefault="00DC64F5">
            <w:pPr>
              <w:pStyle w:val="TAH"/>
              <w:rPr>
                <w:rFonts w:cs="Arial"/>
              </w:rPr>
            </w:pPr>
            <w:r>
              <w:rPr>
                <w:rFonts w:cs="Arial"/>
              </w:rPr>
              <w:t>5</w:t>
            </w:r>
            <w:r>
              <w:rPr>
                <w:rFonts w:cs="Arial"/>
              </w:rPr>
              <w:br/>
              <w:t>MHz</w:t>
            </w:r>
          </w:p>
        </w:tc>
        <w:tc>
          <w:tcPr>
            <w:tcW w:w="779" w:type="dxa"/>
            <w:tcBorders>
              <w:top w:val="single" w:sz="4" w:space="0" w:color="auto"/>
              <w:left w:val="single" w:sz="4" w:space="0" w:color="auto"/>
              <w:bottom w:val="single" w:sz="4" w:space="0" w:color="auto"/>
              <w:right w:val="single" w:sz="4" w:space="0" w:color="auto"/>
            </w:tcBorders>
            <w:shd w:val="clear" w:color="auto" w:fill="FFFF00"/>
            <w:hideMark/>
          </w:tcPr>
          <w:p w14:paraId="1917076D" w14:textId="77777777" w:rsidR="00DC64F5" w:rsidRDefault="00DC64F5">
            <w:pPr>
              <w:pStyle w:val="TAH"/>
              <w:rPr>
                <w:rFonts w:cs="Arial"/>
              </w:rPr>
            </w:pPr>
            <w:r>
              <w:rPr>
                <w:rFonts w:cs="Arial"/>
              </w:rPr>
              <w:t>10</w:t>
            </w:r>
            <w:r>
              <w:rPr>
                <w:rFonts w:cs="Arial"/>
              </w:rPr>
              <w:br/>
              <w:t>MHz</w:t>
            </w:r>
          </w:p>
        </w:tc>
        <w:tc>
          <w:tcPr>
            <w:tcW w:w="778" w:type="dxa"/>
            <w:tcBorders>
              <w:top w:val="single" w:sz="4" w:space="0" w:color="auto"/>
              <w:left w:val="single" w:sz="4" w:space="0" w:color="auto"/>
              <w:bottom w:val="single" w:sz="4" w:space="0" w:color="auto"/>
              <w:right w:val="single" w:sz="4" w:space="0" w:color="auto"/>
            </w:tcBorders>
            <w:hideMark/>
          </w:tcPr>
          <w:p w14:paraId="2384A828" w14:textId="77777777" w:rsidR="00DC64F5" w:rsidRDefault="00DC64F5">
            <w:pPr>
              <w:pStyle w:val="TAH"/>
              <w:rPr>
                <w:rFonts w:cs="Arial"/>
              </w:rPr>
            </w:pPr>
            <w:r>
              <w:rPr>
                <w:rFonts w:cs="Arial"/>
              </w:rPr>
              <w:t>15</w:t>
            </w:r>
            <w:r>
              <w:rPr>
                <w:rFonts w:cs="Arial"/>
              </w:rPr>
              <w:br/>
              <w:t>MHz</w:t>
            </w:r>
          </w:p>
        </w:tc>
        <w:tc>
          <w:tcPr>
            <w:tcW w:w="826" w:type="dxa"/>
            <w:tcBorders>
              <w:top w:val="single" w:sz="4" w:space="0" w:color="auto"/>
              <w:left w:val="single" w:sz="4" w:space="0" w:color="auto"/>
              <w:bottom w:val="single" w:sz="4" w:space="0" w:color="auto"/>
              <w:right w:val="single" w:sz="4" w:space="0" w:color="auto"/>
            </w:tcBorders>
            <w:hideMark/>
          </w:tcPr>
          <w:p w14:paraId="3333CBEA" w14:textId="77777777" w:rsidR="00DC64F5" w:rsidRDefault="00DC64F5">
            <w:pPr>
              <w:pStyle w:val="TAH"/>
              <w:rPr>
                <w:rFonts w:cs="Arial"/>
              </w:rPr>
            </w:pPr>
            <w:r>
              <w:rPr>
                <w:rFonts w:cs="Arial"/>
              </w:rPr>
              <w:t>20</w:t>
            </w:r>
            <w:r>
              <w:rPr>
                <w:rFonts w:cs="Arial"/>
              </w:rPr>
              <w:br/>
              <w:t>MHz</w:t>
            </w:r>
          </w:p>
        </w:tc>
      </w:tr>
      <w:tr w:rsidR="00DC64F5" w14:paraId="69A23439" w14:textId="77777777" w:rsidTr="00DC64F5">
        <w:tc>
          <w:tcPr>
            <w:tcW w:w="1559" w:type="dxa"/>
            <w:tcBorders>
              <w:top w:val="single" w:sz="4" w:space="0" w:color="auto"/>
              <w:left w:val="single" w:sz="4" w:space="0" w:color="auto"/>
              <w:bottom w:val="single" w:sz="4" w:space="0" w:color="auto"/>
              <w:right w:val="single" w:sz="4" w:space="0" w:color="auto"/>
            </w:tcBorders>
            <w:vAlign w:val="center"/>
            <w:hideMark/>
          </w:tcPr>
          <w:p w14:paraId="7EFFEE4F" w14:textId="77777777" w:rsidR="00DC64F5" w:rsidRDefault="00DC64F5">
            <w:pPr>
              <w:pStyle w:val="TAC"/>
              <w:rPr>
                <w:rFonts w:cs="Arial"/>
              </w:rPr>
            </w:pPr>
            <w:r>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3B664E1A" w14:textId="77777777" w:rsidR="00DC64F5" w:rsidRDefault="00DC64F5">
            <w:pPr>
              <w:pStyle w:val="TAC"/>
              <w:rPr>
                <w:rFonts w:cs="Arial"/>
              </w:rPr>
            </w:pPr>
            <w:r>
              <w:rPr>
                <w:rFonts w:cs="Arial"/>
              </w:rPr>
              <w:t>dB</w:t>
            </w:r>
          </w:p>
        </w:tc>
        <w:tc>
          <w:tcPr>
            <w:tcW w:w="882" w:type="dxa"/>
            <w:tcBorders>
              <w:top w:val="single" w:sz="4" w:space="0" w:color="auto"/>
              <w:left w:val="single" w:sz="4" w:space="0" w:color="auto"/>
              <w:bottom w:val="single" w:sz="4" w:space="0" w:color="auto"/>
              <w:right w:val="single" w:sz="4" w:space="0" w:color="auto"/>
            </w:tcBorders>
            <w:vAlign w:val="center"/>
            <w:hideMark/>
          </w:tcPr>
          <w:p w14:paraId="5ECF0998" w14:textId="77777777" w:rsidR="00DC64F5" w:rsidRDefault="00DC64F5">
            <w:pPr>
              <w:pStyle w:val="TAC"/>
              <w:rPr>
                <w:rFonts w:cs="Arial"/>
              </w:rPr>
            </w:pPr>
            <w:r>
              <w:rPr>
                <w:rFonts w:eastAsia="MS Mincho" w:cs="Arial"/>
              </w:rPr>
              <w:t>33.0</w:t>
            </w:r>
          </w:p>
        </w:tc>
        <w:tc>
          <w:tcPr>
            <w:tcW w:w="778" w:type="dxa"/>
            <w:tcBorders>
              <w:top w:val="single" w:sz="4" w:space="0" w:color="auto"/>
              <w:left w:val="single" w:sz="4" w:space="0" w:color="auto"/>
              <w:bottom w:val="single" w:sz="4" w:space="0" w:color="auto"/>
              <w:right w:val="single" w:sz="4" w:space="0" w:color="auto"/>
            </w:tcBorders>
            <w:vAlign w:val="center"/>
            <w:hideMark/>
          </w:tcPr>
          <w:p w14:paraId="47AFF75E" w14:textId="77777777" w:rsidR="00DC64F5" w:rsidRDefault="00DC64F5">
            <w:pPr>
              <w:pStyle w:val="TAC"/>
              <w:rPr>
                <w:rFonts w:cs="Arial"/>
              </w:rPr>
            </w:pPr>
            <w:r>
              <w:rPr>
                <w:rFonts w:eastAsia="MS Mincho" w:cs="Arial"/>
              </w:rPr>
              <w:t>33.0</w:t>
            </w:r>
          </w:p>
        </w:tc>
        <w:tc>
          <w:tcPr>
            <w:tcW w:w="778" w:type="dxa"/>
            <w:tcBorders>
              <w:top w:val="single" w:sz="4" w:space="0" w:color="auto"/>
              <w:left w:val="single" w:sz="4" w:space="0" w:color="auto"/>
              <w:bottom w:val="single" w:sz="4" w:space="0" w:color="auto"/>
              <w:right w:val="single" w:sz="4" w:space="0" w:color="auto"/>
            </w:tcBorders>
            <w:vAlign w:val="center"/>
            <w:hideMark/>
          </w:tcPr>
          <w:p w14:paraId="44B1A13F" w14:textId="77777777" w:rsidR="00DC64F5" w:rsidRDefault="00DC64F5">
            <w:pPr>
              <w:pStyle w:val="TAC"/>
              <w:rPr>
                <w:rFonts w:cs="Arial"/>
              </w:rPr>
            </w:pPr>
            <w:r>
              <w:rPr>
                <w:rFonts w:eastAsia="MS Mincho" w:cs="Arial"/>
              </w:rPr>
              <w:t>33.0</w:t>
            </w:r>
          </w:p>
        </w:tc>
        <w:tc>
          <w:tcPr>
            <w:tcW w:w="779"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D83CE64" w14:textId="77777777" w:rsidR="00DC64F5" w:rsidRDefault="00DC64F5">
            <w:pPr>
              <w:pStyle w:val="TAC"/>
              <w:rPr>
                <w:rFonts w:cs="Arial"/>
              </w:rPr>
            </w:pPr>
            <w:r>
              <w:rPr>
                <w:rFonts w:eastAsia="MS Mincho" w:cs="Arial"/>
              </w:rPr>
              <w:t>33.0</w:t>
            </w:r>
          </w:p>
        </w:tc>
        <w:tc>
          <w:tcPr>
            <w:tcW w:w="778" w:type="dxa"/>
            <w:tcBorders>
              <w:top w:val="single" w:sz="4" w:space="0" w:color="auto"/>
              <w:left w:val="single" w:sz="4" w:space="0" w:color="auto"/>
              <w:bottom w:val="single" w:sz="4" w:space="0" w:color="auto"/>
              <w:right w:val="single" w:sz="4" w:space="0" w:color="auto"/>
            </w:tcBorders>
            <w:vAlign w:val="center"/>
            <w:hideMark/>
          </w:tcPr>
          <w:p w14:paraId="7491D0BB" w14:textId="77777777" w:rsidR="00DC64F5" w:rsidRDefault="00DC64F5">
            <w:pPr>
              <w:pStyle w:val="TAC"/>
              <w:rPr>
                <w:rFonts w:cs="Arial"/>
              </w:rPr>
            </w:pPr>
            <w:r>
              <w:rPr>
                <w:rFonts w:cs="Arial"/>
              </w:rPr>
              <w:t>30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9018042" w14:textId="77777777" w:rsidR="00DC64F5" w:rsidRDefault="00DC64F5">
            <w:pPr>
              <w:pStyle w:val="TAC"/>
              <w:rPr>
                <w:rFonts w:cs="Arial"/>
              </w:rPr>
            </w:pPr>
            <w:r>
              <w:rPr>
                <w:rFonts w:eastAsia="MS Mincho" w:cs="Arial"/>
              </w:rPr>
              <w:t>27</w:t>
            </w:r>
          </w:p>
        </w:tc>
      </w:tr>
    </w:tbl>
    <w:p w14:paraId="0EBA5D28" w14:textId="77777777" w:rsidR="00DC64F5" w:rsidRDefault="00DC64F5" w:rsidP="00DC64F5">
      <w:pPr>
        <w:pStyle w:val="Header"/>
        <w:rPr>
          <w:rFonts w:eastAsia="MS Mincho"/>
          <w:b w:val="0"/>
          <w:noProof w:val="0"/>
          <w:lang w:val="en-GB" w:eastAsia="en-GB"/>
        </w:rPr>
      </w:pPr>
    </w:p>
    <w:p w14:paraId="1E9470F8" w14:textId="77777777" w:rsidR="00DC64F5" w:rsidRDefault="00DC64F5" w:rsidP="00DC64F5">
      <w:pPr>
        <w:pStyle w:val="TH"/>
      </w:pPr>
      <w:r>
        <w:t xml:space="preserve">Table </w:t>
      </w:r>
      <w:r>
        <w:rPr>
          <w:rFonts w:eastAsia="MS Mincho"/>
        </w:rPr>
        <w:t>7.5.1-2</w:t>
      </w:r>
      <w:r>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749"/>
        <w:gridCol w:w="1259"/>
        <w:gridCol w:w="1140"/>
        <w:gridCol w:w="1350"/>
        <w:gridCol w:w="1200"/>
        <w:gridCol w:w="1200"/>
        <w:gridCol w:w="1222"/>
      </w:tblGrid>
      <w:tr w:rsidR="00DC64F5" w14:paraId="6E19CDE2" w14:textId="77777777" w:rsidTr="00DC64F5">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FBE9EBA" w14:textId="77777777" w:rsidR="00DC64F5" w:rsidRDefault="00DC64F5">
            <w:pPr>
              <w:pStyle w:val="TAH"/>
              <w:rPr>
                <w:rFonts w:cs="Arial"/>
              </w:rPr>
            </w:pPr>
            <w:r>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EDC2E19" w14:textId="77777777" w:rsidR="00DC64F5" w:rsidRDefault="00DC64F5">
            <w:pPr>
              <w:pStyle w:val="TAH"/>
              <w:rPr>
                <w:rFonts w:cs="Arial"/>
              </w:rPr>
            </w:pPr>
            <w:r>
              <w:rPr>
                <w:rFonts w:cs="Arial"/>
              </w:rPr>
              <w:t xml:space="preserve">Units </w:t>
            </w:r>
          </w:p>
        </w:tc>
        <w:tc>
          <w:tcPr>
            <w:tcW w:w="3828" w:type="pct"/>
            <w:gridSpan w:val="6"/>
            <w:tcBorders>
              <w:top w:val="single" w:sz="4" w:space="0" w:color="auto"/>
              <w:left w:val="single" w:sz="4" w:space="0" w:color="auto"/>
              <w:bottom w:val="single" w:sz="4" w:space="0" w:color="auto"/>
              <w:right w:val="single" w:sz="4" w:space="0" w:color="auto"/>
            </w:tcBorders>
            <w:hideMark/>
          </w:tcPr>
          <w:p w14:paraId="2FE13778" w14:textId="77777777" w:rsidR="00DC64F5" w:rsidRDefault="00DC64F5">
            <w:pPr>
              <w:pStyle w:val="TAH"/>
              <w:rPr>
                <w:rFonts w:cs="Arial"/>
              </w:rPr>
            </w:pPr>
            <w:r>
              <w:rPr>
                <w:rFonts w:cs="Arial"/>
              </w:rPr>
              <w:t>Channel bandwidth</w:t>
            </w:r>
          </w:p>
        </w:tc>
      </w:tr>
      <w:tr w:rsidR="00DC64F5" w14:paraId="7B639ADD" w14:textId="77777777" w:rsidTr="00DC64F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C4864" w14:textId="77777777" w:rsidR="00DC64F5" w:rsidRDefault="00DC64F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216BE" w14:textId="77777777" w:rsidR="00DC64F5" w:rsidRDefault="00DC64F5">
            <w:pPr>
              <w:spacing w:after="0"/>
              <w:rPr>
                <w:rFonts w:ascii="Arial" w:hAnsi="Arial" w:cs="Arial"/>
                <w:b/>
                <w:sz w:val="18"/>
              </w:rPr>
            </w:pPr>
          </w:p>
        </w:tc>
        <w:tc>
          <w:tcPr>
            <w:tcW w:w="656" w:type="pct"/>
            <w:tcBorders>
              <w:top w:val="single" w:sz="4" w:space="0" w:color="auto"/>
              <w:left w:val="single" w:sz="4" w:space="0" w:color="auto"/>
              <w:bottom w:val="single" w:sz="4" w:space="0" w:color="auto"/>
              <w:right w:val="single" w:sz="4" w:space="0" w:color="auto"/>
            </w:tcBorders>
            <w:hideMark/>
          </w:tcPr>
          <w:p w14:paraId="36DF5EF3" w14:textId="77777777" w:rsidR="00DC64F5" w:rsidRDefault="00DC64F5">
            <w:pPr>
              <w:pStyle w:val="TAH"/>
              <w:rPr>
                <w:rFonts w:cs="Arial"/>
              </w:rPr>
            </w:pPr>
            <w:r>
              <w:rPr>
                <w:rFonts w:cs="Arial"/>
              </w:rPr>
              <w:t xml:space="preserve">1.4 MHz </w:t>
            </w:r>
          </w:p>
        </w:tc>
        <w:tc>
          <w:tcPr>
            <w:tcW w:w="594" w:type="pct"/>
            <w:tcBorders>
              <w:top w:val="single" w:sz="4" w:space="0" w:color="auto"/>
              <w:left w:val="single" w:sz="4" w:space="0" w:color="auto"/>
              <w:bottom w:val="single" w:sz="4" w:space="0" w:color="auto"/>
              <w:right w:val="single" w:sz="4" w:space="0" w:color="auto"/>
            </w:tcBorders>
            <w:hideMark/>
          </w:tcPr>
          <w:p w14:paraId="324A67A5" w14:textId="77777777" w:rsidR="00DC64F5" w:rsidRDefault="00DC64F5">
            <w:pPr>
              <w:pStyle w:val="TAH"/>
              <w:rPr>
                <w:rFonts w:cs="Arial"/>
              </w:rPr>
            </w:pPr>
            <w:r>
              <w:rPr>
                <w:rFonts w:cs="Arial"/>
              </w:rPr>
              <w:t>3 MHz</w:t>
            </w:r>
          </w:p>
        </w:tc>
        <w:tc>
          <w:tcPr>
            <w:tcW w:w="703" w:type="pct"/>
            <w:tcBorders>
              <w:top w:val="single" w:sz="4" w:space="0" w:color="auto"/>
              <w:left w:val="single" w:sz="4" w:space="0" w:color="auto"/>
              <w:bottom w:val="single" w:sz="4" w:space="0" w:color="auto"/>
              <w:right w:val="single" w:sz="4" w:space="0" w:color="auto"/>
            </w:tcBorders>
            <w:hideMark/>
          </w:tcPr>
          <w:p w14:paraId="6B76F6D6" w14:textId="77777777" w:rsidR="00DC64F5" w:rsidRDefault="00DC64F5">
            <w:pPr>
              <w:pStyle w:val="TAH"/>
              <w:rPr>
                <w:rFonts w:cs="Arial"/>
              </w:rPr>
            </w:pPr>
            <w:r>
              <w:rPr>
                <w:rFonts w:cs="Arial"/>
              </w:rPr>
              <w:t>5 MHz</w:t>
            </w:r>
          </w:p>
        </w:tc>
        <w:tc>
          <w:tcPr>
            <w:tcW w:w="625" w:type="pct"/>
            <w:tcBorders>
              <w:top w:val="single" w:sz="4" w:space="0" w:color="auto"/>
              <w:left w:val="single" w:sz="4" w:space="0" w:color="auto"/>
              <w:bottom w:val="single" w:sz="4" w:space="0" w:color="auto"/>
              <w:right w:val="single" w:sz="4" w:space="0" w:color="auto"/>
            </w:tcBorders>
            <w:shd w:val="clear" w:color="auto" w:fill="FFFF00"/>
            <w:hideMark/>
          </w:tcPr>
          <w:p w14:paraId="4DE85E09" w14:textId="77777777" w:rsidR="00DC64F5" w:rsidRDefault="00DC64F5">
            <w:pPr>
              <w:pStyle w:val="TAH"/>
              <w:rPr>
                <w:rFonts w:cs="Arial"/>
              </w:rPr>
            </w:pPr>
            <w:r>
              <w:rPr>
                <w:rFonts w:cs="Arial"/>
              </w:rPr>
              <w:t>10 MHz</w:t>
            </w:r>
          </w:p>
        </w:tc>
        <w:tc>
          <w:tcPr>
            <w:tcW w:w="625" w:type="pct"/>
            <w:tcBorders>
              <w:top w:val="single" w:sz="4" w:space="0" w:color="auto"/>
              <w:left w:val="single" w:sz="4" w:space="0" w:color="auto"/>
              <w:bottom w:val="single" w:sz="4" w:space="0" w:color="auto"/>
              <w:right w:val="single" w:sz="4" w:space="0" w:color="auto"/>
            </w:tcBorders>
            <w:hideMark/>
          </w:tcPr>
          <w:p w14:paraId="666C677E" w14:textId="77777777" w:rsidR="00DC64F5" w:rsidRDefault="00DC64F5">
            <w:pPr>
              <w:pStyle w:val="TAH"/>
              <w:rPr>
                <w:rFonts w:cs="Arial"/>
              </w:rPr>
            </w:pPr>
            <w:r>
              <w:rPr>
                <w:rFonts w:cs="Arial"/>
              </w:rPr>
              <w:t>15 MHz</w:t>
            </w:r>
          </w:p>
        </w:tc>
        <w:tc>
          <w:tcPr>
            <w:tcW w:w="625" w:type="pct"/>
            <w:tcBorders>
              <w:top w:val="single" w:sz="4" w:space="0" w:color="auto"/>
              <w:left w:val="single" w:sz="4" w:space="0" w:color="auto"/>
              <w:bottom w:val="single" w:sz="4" w:space="0" w:color="auto"/>
              <w:right w:val="single" w:sz="4" w:space="0" w:color="auto"/>
            </w:tcBorders>
            <w:hideMark/>
          </w:tcPr>
          <w:p w14:paraId="67CB4003" w14:textId="77777777" w:rsidR="00DC64F5" w:rsidRDefault="00DC64F5">
            <w:pPr>
              <w:pStyle w:val="TAH"/>
              <w:rPr>
                <w:rFonts w:cs="Arial"/>
              </w:rPr>
            </w:pPr>
            <w:r>
              <w:rPr>
                <w:rFonts w:cs="Arial"/>
              </w:rPr>
              <w:t>20 MHz</w:t>
            </w:r>
          </w:p>
        </w:tc>
      </w:tr>
      <w:tr w:rsidR="00DC64F5" w14:paraId="1FEA99A3" w14:textId="77777777" w:rsidTr="00DC64F5">
        <w:trPr>
          <w:jc w:val="center"/>
        </w:trPr>
        <w:tc>
          <w:tcPr>
            <w:tcW w:w="782" w:type="pct"/>
            <w:tcBorders>
              <w:top w:val="single" w:sz="4" w:space="0" w:color="auto"/>
              <w:left w:val="single" w:sz="4" w:space="0" w:color="auto"/>
              <w:bottom w:val="single" w:sz="4" w:space="0" w:color="auto"/>
              <w:right w:val="single" w:sz="4" w:space="0" w:color="auto"/>
            </w:tcBorders>
            <w:hideMark/>
          </w:tcPr>
          <w:p w14:paraId="37390014" w14:textId="77777777" w:rsidR="00DC64F5" w:rsidRDefault="00DC64F5">
            <w:pPr>
              <w:pStyle w:val="TAL"/>
              <w:rPr>
                <w:rFonts w:cs="Arial"/>
              </w:rPr>
            </w:pPr>
            <w:r>
              <w:rPr>
                <w:rFonts w:cs="Arial"/>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0C4D968" w14:textId="77777777" w:rsidR="00DC64F5" w:rsidRDefault="00DC64F5">
            <w:pPr>
              <w:pStyle w:val="TAC"/>
              <w:rPr>
                <w:rFonts w:cs="Arial"/>
              </w:rPr>
            </w:pPr>
            <w:r>
              <w:rPr>
                <w:rFonts w:cs="Arial"/>
              </w:rPr>
              <w:t>dBm</w:t>
            </w:r>
          </w:p>
        </w:tc>
        <w:tc>
          <w:tcPr>
            <w:tcW w:w="3828" w:type="pct"/>
            <w:gridSpan w:val="6"/>
            <w:tcBorders>
              <w:top w:val="single" w:sz="4" w:space="0" w:color="auto"/>
              <w:left w:val="single" w:sz="4" w:space="0" w:color="auto"/>
              <w:bottom w:val="single" w:sz="4" w:space="0" w:color="auto"/>
              <w:right w:val="single" w:sz="4" w:space="0" w:color="auto"/>
            </w:tcBorders>
            <w:vAlign w:val="center"/>
            <w:hideMark/>
          </w:tcPr>
          <w:p w14:paraId="3AD531F7" w14:textId="77777777" w:rsidR="00DC64F5" w:rsidRDefault="00DC64F5">
            <w:pPr>
              <w:pStyle w:val="TAC"/>
              <w:rPr>
                <w:rFonts w:cs="Arial"/>
              </w:rPr>
            </w:pPr>
            <w:r>
              <w:rPr>
                <w:rFonts w:cs="Arial"/>
              </w:rPr>
              <w:t>REFSENS + 14 dB</w:t>
            </w:r>
          </w:p>
        </w:tc>
      </w:tr>
      <w:tr w:rsidR="00DC64F5" w14:paraId="34B5CA86" w14:textId="77777777" w:rsidTr="00DC64F5">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614D1F1" w14:textId="77777777" w:rsidR="00DC64F5" w:rsidRDefault="00DC64F5">
            <w:pPr>
              <w:pStyle w:val="TAL"/>
              <w:rPr>
                <w:rFonts w:cs="Arial"/>
              </w:rPr>
            </w:pPr>
            <w:proofErr w:type="spellStart"/>
            <w:r>
              <w:rPr>
                <w:rFonts w:eastAsia="MS Mincho" w:cs="Arial"/>
                <w:bCs/>
              </w:rPr>
              <w:t>P</w:t>
            </w:r>
            <w:r>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67C6C837" w14:textId="77777777" w:rsidR="00DC64F5" w:rsidRDefault="00DC64F5">
            <w:pPr>
              <w:pStyle w:val="TAC"/>
              <w:rPr>
                <w:rFonts w:cs="Arial"/>
              </w:rPr>
            </w:pPr>
            <w:r>
              <w:rPr>
                <w:rFonts w:cs="Arial"/>
              </w:rPr>
              <w:t>dBm</w:t>
            </w:r>
          </w:p>
        </w:tc>
        <w:tc>
          <w:tcPr>
            <w:tcW w:w="656" w:type="pct"/>
            <w:tcBorders>
              <w:top w:val="single" w:sz="4" w:space="0" w:color="auto"/>
              <w:left w:val="single" w:sz="4" w:space="0" w:color="auto"/>
              <w:bottom w:val="single" w:sz="4" w:space="0" w:color="auto"/>
              <w:right w:val="single" w:sz="4" w:space="0" w:color="auto"/>
            </w:tcBorders>
            <w:hideMark/>
          </w:tcPr>
          <w:p w14:paraId="4FFBD2A0" w14:textId="77777777" w:rsidR="00DC64F5" w:rsidRDefault="00DC64F5">
            <w:pPr>
              <w:pStyle w:val="TAC"/>
              <w:rPr>
                <w:rFonts w:cs="Arial"/>
              </w:rPr>
            </w:pPr>
            <w:r>
              <w:rPr>
                <w:rFonts w:eastAsia="MS Mincho" w:cs="Arial"/>
              </w:rPr>
              <w:t>REFSENS +45.5dB</w:t>
            </w:r>
          </w:p>
        </w:tc>
        <w:tc>
          <w:tcPr>
            <w:tcW w:w="594" w:type="pct"/>
            <w:tcBorders>
              <w:top w:val="single" w:sz="4" w:space="0" w:color="auto"/>
              <w:left w:val="single" w:sz="4" w:space="0" w:color="auto"/>
              <w:bottom w:val="single" w:sz="4" w:space="0" w:color="auto"/>
              <w:right w:val="single" w:sz="4" w:space="0" w:color="auto"/>
            </w:tcBorders>
            <w:hideMark/>
          </w:tcPr>
          <w:p w14:paraId="0ACC2C81" w14:textId="77777777" w:rsidR="00DC64F5" w:rsidRDefault="00DC64F5">
            <w:pPr>
              <w:pStyle w:val="TAC"/>
              <w:rPr>
                <w:rFonts w:cs="Arial"/>
              </w:rPr>
            </w:pPr>
            <w:r>
              <w:rPr>
                <w:rFonts w:eastAsia="MS Mincho" w:cs="Arial"/>
              </w:rPr>
              <w:t>REFSENS +45.5dB</w:t>
            </w:r>
          </w:p>
        </w:tc>
        <w:tc>
          <w:tcPr>
            <w:tcW w:w="703" w:type="pct"/>
            <w:tcBorders>
              <w:top w:val="single" w:sz="4" w:space="0" w:color="auto"/>
              <w:left w:val="single" w:sz="4" w:space="0" w:color="auto"/>
              <w:bottom w:val="single" w:sz="4" w:space="0" w:color="auto"/>
              <w:right w:val="single" w:sz="4" w:space="0" w:color="auto"/>
            </w:tcBorders>
            <w:hideMark/>
          </w:tcPr>
          <w:p w14:paraId="55D40550" w14:textId="77777777" w:rsidR="00DC64F5" w:rsidRDefault="00DC64F5">
            <w:pPr>
              <w:pStyle w:val="TAC"/>
              <w:rPr>
                <w:rFonts w:cs="Arial"/>
              </w:rPr>
            </w:pPr>
            <w:r>
              <w:rPr>
                <w:rFonts w:eastAsia="MS Mincho" w:cs="Arial"/>
              </w:rPr>
              <w:t>REFSENS +45.5dB</w:t>
            </w:r>
          </w:p>
        </w:tc>
        <w:tc>
          <w:tcPr>
            <w:tcW w:w="625" w:type="pct"/>
            <w:tcBorders>
              <w:top w:val="single" w:sz="4" w:space="0" w:color="auto"/>
              <w:left w:val="single" w:sz="4" w:space="0" w:color="auto"/>
              <w:bottom w:val="single" w:sz="4" w:space="0" w:color="auto"/>
              <w:right w:val="single" w:sz="4" w:space="0" w:color="auto"/>
            </w:tcBorders>
            <w:shd w:val="clear" w:color="auto" w:fill="FFFF00"/>
            <w:hideMark/>
          </w:tcPr>
          <w:p w14:paraId="41DCAD99" w14:textId="77777777" w:rsidR="00DC64F5" w:rsidRDefault="00DC64F5">
            <w:pPr>
              <w:pStyle w:val="TAC"/>
              <w:rPr>
                <w:rFonts w:cs="Arial"/>
              </w:rPr>
            </w:pPr>
            <w:r>
              <w:rPr>
                <w:rFonts w:eastAsia="MS Mincho" w:cs="Arial"/>
              </w:rPr>
              <w:t>REFSENS +45.5dB</w:t>
            </w:r>
          </w:p>
        </w:tc>
        <w:tc>
          <w:tcPr>
            <w:tcW w:w="625" w:type="pct"/>
            <w:tcBorders>
              <w:top w:val="single" w:sz="4" w:space="0" w:color="auto"/>
              <w:left w:val="single" w:sz="4" w:space="0" w:color="auto"/>
              <w:bottom w:val="single" w:sz="4" w:space="0" w:color="auto"/>
              <w:right w:val="single" w:sz="4" w:space="0" w:color="auto"/>
            </w:tcBorders>
            <w:hideMark/>
          </w:tcPr>
          <w:p w14:paraId="49FC90C3" w14:textId="77777777" w:rsidR="00DC64F5" w:rsidRDefault="00DC64F5">
            <w:pPr>
              <w:pStyle w:val="TAC"/>
              <w:rPr>
                <w:rFonts w:cs="Arial"/>
              </w:rPr>
            </w:pPr>
            <w:r>
              <w:rPr>
                <w:rFonts w:eastAsia="MS Mincho" w:cs="Arial"/>
              </w:rPr>
              <w:t>REFSENS +42.5dB</w:t>
            </w:r>
          </w:p>
        </w:tc>
        <w:tc>
          <w:tcPr>
            <w:tcW w:w="625" w:type="pct"/>
            <w:tcBorders>
              <w:top w:val="single" w:sz="4" w:space="0" w:color="auto"/>
              <w:left w:val="single" w:sz="4" w:space="0" w:color="auto"/>
              <w:bottom w:val="single" w:sz="4" w:space="0" w:color="auto"/>
              <w:right w:val="single" w:sz="4" w:space="0" w:color="auto"/>
            </w:tcBorders>
            <w:hideMark/>
          </w:tcPr>
          <w:p w14:paraId="794A5BEF" w14:textId="77777777" w:rsidR="00DC64F5" w:rsidRDefault="00DC64F5">
            <w:pPr>
              <w:pStyle w:val="TAC"/>
              <w:rPr>
                <w:rFonts w:cs="Arial"/>
              </w:rPr>
            </w:pPr>
            <w:r>
              <w:rPr>
                <w:rFonts w:eastAsia="MS Mincho" w:cs="Arial"/>
              </w:rPr>
              <w:t>REFSENS +39.5dB</w:t>
            </w:r>
          </w:p>
        </w:tc>
      </w:tr>
      <w:tr w:rsidR="00DC64F5" w14:paraId="6913A3A6" w14:textId="77777777" w:rsidTr="00DC64F5">
        <w:trPr>
          <w:jc w:val="center"/>
        </w:trPr>
        <w:tc>
          <w:tcPr>
            <w:tcW w:w="782" w:type="pct"/>
            <w:tcBorders>
              <w:top w:val="single" w:sz="4" w:space="0" w:color="auto"/>
              <w:left w:val="single" w:sz="4" w:space="0" w:color="auto"/>
              <w:bottom w:val="single" w:sz="4" w:space="0" w:color="auto"/>
              <w:right w:val="single" w:sz="4" w:space="0" w:color="auto"/>
            </w:tcBorders>
            <w:hideMark/>
          </w:tcPr>
          <w:p w14:paraId="3D274355" w14:textId="77777777" w:rsidR="00DC64F5" w:rsidRDefault="00DC64F5">
            <w:pPr>
              <w:pStyle w:val="TAL"/>
              <w:rPr>
                <w:rFonts w:cs="Arial"/>
                <w:i/>
              </w:rPr>
            </w:pPr>
            <w:proofErr w:type="spellStart"/>
            <w:r>
              <w:rPr>
                <w:rFonts w:eastAsia="MS Mincho" w:cs="Arial"/>
                <w:bCs/>
              </w:rPr>
              <w:t>BW</w:t>
            </w:r>
            <w:r>
              <w:rPr>
                <w:rFonts w:eastAsia="MS Mincho" w:cs="Arial"/>
                <w:bCs/>
                <w:vertAlign w:val="subscript"/>
              </w:rPr>
              <w:t>Interferer</w:t>
            </w:r>
            <w:proofErr w:type="spellEnd"/>
            <w:r>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264EE6C0" w14:textId="77777777" w:rsidR="00DC64F5" w:rsidRDefault="00DC64F5">
            <w:pPr>
              <w:pStyle w:val="TAC"/>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hideMark/>
          </w:tcPr>
          <w:p w14:paraId="3BF7298B" w14:textId="77777777" w:rsidR="00DC64F5" w:rsidRDefault="00DC64F5">
            <w:pPr>
              <w:pStyle w:val="TAC"/>
              <w:rPr>
                <w:rFonts w:cs="Arial"/>
              </w:rPr>
            </w:pPr>
            <w:r>
              <w:rPr>
                <w:rFonts w:eastAsia="MS Mincho" w:cs="Arial"/>
              </w:rPr>
              <w:t>1.4</w:t>
            </w:r>
          </w:p>
        </w:tc>
        <w:tc>
          <w:tcPr>
            <w:tcW w:w="594" w:type="pct"/>
            <w:tcBorders>
              <w:top w:val="single" w:sz="4" w:space="0" w:color="auto"/>
              <w:left w:val="single" w:sz="4" w:space="0" w:color="auto"/>
              <w:bottom w:val="single" w:sz="4" w:space="0" w:color="auto"/>
              <w:right w:val="single" w:sz="4" w:space="0" w:color="auto"/>
            </w:tcBorders>
            <w:hideMark/>
          </w:tcPr>
          <w:p w14:paraId="14019284" w14:textId="77777777" w:rsidR="00DC64F5" w:rsidRDefault="00DC64F5">
            <w:pPr>
              <w:pStyle w:val="TAC"/>
              <w:rPr>
                <w:rFonts w:cs="Arial"/>
              </w:rPr>
            </w:pPr>
            <w:r>
              <w:rPr>
                <w:rFonts w:eastAsia="MS Mincho" w:cs="Arial"/>
              </w:rPr>
              <w:t>3</w:t>
            </w:r>
          </w:p>
        </w:tc>
        <w:tc>
          <w:tcPr>
            <w:tcW w:w="703" w:type="pct"/>
            <w:tcBorders>
              <w:top w:val="single" w:sz="4" w:space="0" w:color="auto"/>
              <w:left w:val="single" w:sz="4" w:space="0" w:color="auto"/>
              <w:bottom w:val="single" w:sz="4" w:space="0" w:color="auto"/>
              <w:right w:val="single" w:sz="4" w:space="0" w:color="auto"/>
            </w:tcBorders>
            <w:vAlign w:val="bottom"/>
            <w:hideMark/>
          </w:tcPr>
          <w:p w14:paraId="1B5E7D57" w14:textId="77777777" w:rsidR="00DC64F5" w:rsidRDefault="00DC64F5">
            <w:pPr>
              <w:pStyle w:val="TAC"/>
              <w:rPr>
                <w:rFonts w:cs="Arial"/>
              </w:rPr>
            </w:pPr>
            <w:r>
              <w:rPr>
                <w:rFonts w:eastAsia="MS Mincho" w:cs="Arial"/>
              </w:rPr>
              <w:t>5</w:t>
            </w:r>
          </w:p>
        </w:tc>
        <w:tc>
          <w:tcPr>
            <w:tcW w:w="625" w:type="pct"/>
            <w:tcBorders>
              <w:top w:val="single" w:sz="4" w:space="0" w:color="auto"/>
              <w:left w:val="single" w:sz="4" w:space="0" w:color="auto"/>
              <w:bottom w:val="single" w:sz="4" w:space="0" w:color="auto"/>
              <w:right w:val="single" w:sz="4" w:space="0" w:color="auto"/>
            </w:tcBorders>
            <w:shd w:val="clear" w:color="auto" w:fill="FFFF00"/>
            <w:vAlign w:val="bottom"/>
            <w:hideMark/>
          </w:tcPr>
          <w:p w14:paraId="12FB2C9A" w14:textId="77777777" w:rsidR="00DC64F5" w:rsidRDefault="00DC64F5">
            <w:pPr>
              <w:pStyle w:val="TAC"/>
              <w:rPr>
                <w:rFonts w:cs="Arial"/>
              </w:rPr>
            </w:pPr>
            <w:r>
              <w:rPr>
                <w:rFonts w:eastAsia="MS Mincho" w:cs="Arial"/>
              </w:rPr>
              <w:t>5</w:t>
            </w:r>
          </w:p>
        </w:tc>
        <w:tc>
          <w:tcPr>
            <w:tcW w:w="625" w:type="pct"/>
            <w:tcBorders>
              <w:top w:val="single" w:sz="4" w:space="0" w:color="auto"/>
              <w:left w:val="single" w:sz="4" w:space="0" w:color="auto"/>
              <w:bottom w:val="single" w:sz="4" w:space="0" w:color="auto"/>
              <w:right w:val="single" w:sz="4" w:space="0" w:color="auto"/>
            </w:tcBorders>
            <w:vAlign w:val="bottom"/>
            <w:hideMark/>
          </w:tcPr>
          <w:p w14:paraId="48EADA0D" w14:textId="77777777" w:rsidR="00DC64F5" w:rsidRDefault="00DC64F5">
            <w:pPr>
              <w:pStyle w:val="TAC"/>
              <w:rPr>
                <w:rFonts w:cs="Arial"/>
              </w:rPr>
            </w:pPr>
            <w:r>
              <w:rPr>
                <w:rFonts w:eastAsia="MS Mincho" w:cs="Arial"/>
              </w:rPr>
              <w:t>5</w:t>
            </w:r>
          </w:p>
        </w:tc>
        <w:tc>
          <w:tcPr>
            <w:tcW w:w="625" w:type="pct"/>
            <w:tcBorders>
              <w:top w:val="single" w:sz="4" w:space="0" w:color="auto"/>
              <w:left w:val="single" w:sz="4" w:space="0" w:color="auto"/>
              <w:bottom w:val="single" w:sz="4" w:space="0" w:color="auto"/>
              <w:right w:val="single" w:sz="4" w:space="0" w:color="auto"/>
            </w:tcBorders>
            <w:vAlign w:val="bottom"/>
            <w:hideMark/>
          </w:tcPr>
          <w:p w14:paraId="74BBF0D9" w14:textId="77777777" w:rsidR="00DC64F5" w:rsidRDefault="00DC64F5">
            <w:pPr>
              <w:pStyle w:val="TAC"/>
              <w:rPr>
                <w:rFonts w:cs="Arial"/>
              </w:rPr>
            </w:pPr>
            <w:r>
              <w:rPr>
                <w:rFonts w:eastAsia="MS Mincho" w:cs="Arial"/>
              </w:rPr>
              <w:t>5</w:t>
            </w:r>
          </w:p>
        </w:tc>
      </w:tr>
      <w:tr w:rsidR="00DC64F5" w14:paraId="09EA3620" w14:textId="77777777" w:rsidTr="00DC64F5">
        <w:trPr>
          <w:jc w:val="center"/>
        </w:trPr>
        <w:tc>
          <w:tcPr>
            <w:tcW w:w="782" w:type="pct"/>
            <w:tcBorders>
              <w:top w:val="single" w:sz="4" w:space="0" w:color="auto"/>
              <w:left w:val="single" w:sz="4" w:space="0" w:color="auto"/>
              <w:bottom w:val="single" w:sz="4" w:space="0" w:color="auto"/>
              <w:right w:val="single" w:sz="4" w:space="0" w:color="auto"/>
            </w:tcBorders>
            <w:hideMark/>
          </w:tcPr>
          <w:p w14:paraId="317A0A05" w14:textId="77777777" w:rsidR="00DC64F5" w:rsidRDefault="00DC64F5">
            <w:pPr>
              <w:pStyle w:val="TAL"/>
              <w:rPr>
                <w:rFonts w:cs="Arial"/>
                <w:i/>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DF3F2E" w14:textId="77777777" w:rsidR="00DC64F5" w:rsidRDefault="00DC64F5">
            <w:pPr>
              <w:pStyle w:val="TAC"/>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hideMark/>
          </w:tcPr>
          <w:p w14:paraId="5C8787A0" w14:textId="77777777" w:rsidR="00DC64F5" w:rsidRDefault="00DC64F5">
            <w:pPr>
              <w:pStyle w:val="TAC"/>
              <w:rPr>
                <w:rFonts w:cs="Arial"/>
              </w:rPr>
            </w:pPr>
            <w:r>
              <w:rPr>
                <w:rFonts w:cs="Arial"/>
              </w:rPr>
              <w:t>1.4+0.0025</w:t>
            </w:r>
          </w:p>
          <w:p w14:paraId="566ADCA4" w14:textId="77777777" w:rsidR="00DC64F5" w:rsidRDefault="00DC64F5">
            <w:pPr>
              <w:pStyle w:val="TAC"/>
              <w:rPr>
                <w:rFonts w:cs="Arial"/>
              </w:rPr>
            </w:pPr>
            <w:r>
              <w:rPr>
                <w:rFonts w:cs="Arial"/>
              </w:rPr>
              <w:t>/</w:t>
            </w:r>
          </w:p>
          <w:p w14:paraId="5C9F5F69" w14:textId="77777777" w:rsidR="00DC64F5" w:rsidRDefault="00DC64F5">
            <w:pPr>
              <w:pStyle w:val="TAC"/>
              <w:rPr>
                <w:rFonts w:cs="Arial"/>
              </w:rPr>
            </w:pPr>
            <w:r>
              <w:rPr>
                <w:rFonts w:cs="Arial"/>
              </w:rPr>
              <w:t>-1.4-0.0025</w:t>
            </w:r>
          </w:p>
        </w:tc>
        <w:tc>
          <w:tcPr>
            <w:tcW w:w="594" w:type="pct"/>
            <w:tcBorders>
              <w:top w:val="single" w:sz="4" w:space="0" w:color="auto"/>
              <w:left w:val="single" w:sz="4" w:space="0" w:color="auto"/>
              <w:bottom w:val="single" w:sz="4" w:space="0" w:color="auto"/>
              <w:right w:val="single" w:sz="4" w:space="0" w:color="auto"/>
            </w:tcBorders>
            <w:hideMark/>
          </w:tcPr>
          <w:p w14:paraId="691C2532" w14:textId="77777777" w:rsidR="00DC64F5" w:rsidRDefault="00DC64F5">
            <w:pPr>
              <w:pStyle w:val="TAC"/>
              <w:rPr>
                <w:rFonts w:cs="Arial"/>
              </w:rPr>
            </w:pPr>
            <w:r>
              <w:rPr>
                <w:rFonts w:cs="Arial"/>
              </w:rPr>
              <w:t>3+0.0075</w:t>
            </w:r>
          </w:p>
          <w:p w14:paraId="77CBD823" w14:textId="77777777" w:rsidR="00DC64F5" w:rsidRDefault="00DC64F5">
            <w:pPr>
              <w:pStyle w:val="TAC"/>
              <w:rPr>
                <w:rFonts w:cs="Arial"/>
              </w:rPr>
            </w:pPr>
            <w:r>
              <w:rPr>
                <w:rFonts w:cs="Arial"/>
              </w:rPr>
              <w:t>/</w:t>
            </w:r>
          </w:p>
          <w:p w14:paraId="622FA2E9" w14:textId="77777777" w:rsidR="00DC64F5" w:rsidRDefault="00DC64F5">
            <w:pPr>
              <w:pStyle w:val="TAC"/>
              <w:rPr>
                <w:rFonts w:cs="Arial"/>
              </w:rPr>
            </w:pPr>
            <w:r>
              <w:rPr>
                <w:rFonts w:cs="Arial"/>
              </w:rPr>
              <w:t>-3-0.0075</w:t>
            </w:r>
          </w:p>
        </w:tc>
        <w:tc>
          <w:tcPr>
            <w:tcW w:w="703" w:type="pct"/>
            <w:tcBorders>
              <w:top w:val="single" w:sz="4" w:space="0" w:color="auto"/>
              <w:left w:val="single" w:sz="4" w:space="0" w:color="auto"/>
              <w:bottom w:val="single" w:sz="4" w:space="0" w:color="auto"/>
              <w:right w:val="single" w:sz="4" w:space="0" w:color="auto"/>
            </w:tcBorders>
            <w:hideMark/>
          </w:tcPr>
          <w:p w14:paraId="5889A992" w14:textId="77777777" w:rsidR="00DC64F5" w:rsidRDefault="00DC64F5">
            <w:pPr>
              <w:pStyle w:val="TAC"/>
              <w:rPr>
                <w:rFonts w:cs="Arial"/>
              </w:rPr>
            </w:pPr>
            <w:r>
              <w:rPr>
                <w:rFonts w:cs="Arial"/>
              </w:rPr>
              <w:t>5+0.0025</w:t>
            </w:r>
          </w:p>
          <w:p w14:paraId="343B3994" w14:textId="77777777" w:rsidR="00DC64F5" w:rsidRDefault="00DC64F5">
            <w:pPr>
              <w:pStyle w:val="TAC"/>
              <w:rPr>
                <w:rFonts w:cs="Arial"/>
              </w:rPr>
            </w:pPr>
            <w:r>
              <w:rPr>
                <w:rFonts w:cs="Arial"/>
              </w:rPr>
              <w:t>/</w:t>
            </w:r>
          </w:p>
          <w:p w14:paraId="5F1CC00D" w14:textId="77777777" w:rsidR="00DC64F5" w:rsidRDefault="00DC64F5">
            <w:pPr>
              <w:pStyle w:val="TAC"/>
              <w:rPr>
                <w:rFonts w:cs="Arial"/>
              </w:rPr>
            </w:pPr>
            <w:r>
              <w:rPr>
                <w:rFonts w:cs="Arial"/>
              </w:rPr>
              <w:t>-5-0.0025</w:t>
            </w:r>
          </w:p>
        </w:tc>
        <w:tc>
          <w:tcPr>
            <w:tcW w:w="625" w:type="pct"/>
            <w:tcBorders>
              <w:top w:val="single" w:sz="4" w:space="0" w:color="auto"/>
              <w:left w:val="single" w:sz="4" w:space="0" w:color="auto"/>
              <w:bottom w:val="single" w:sz="4" w:space="0" w:color="auto"/>
              <w:right w:val="single" w:sz="4" w:space="0" w:color="auto"/>
            </w:tcBorders>
            <w:shd w:val="clear" w:color="auto" w:fill="FFFF00"/>
            <w:hideMark/>
          </w:tcPr>
          <w:p w14:paraId="6D009207" w14:textId="77777777" w:rsidR="00DC64F5" w:rsidRDefault="00DC64F5">
            <w:pPr>
              <w:pStyle w:val="TAC"/>
              <w:rPr>
                <w:rFonts w:cs="Arial"/>
              </w:rPr>
            </w:pPr>
            <w:r>
              <w:rPr>
                <w:rFonts w:cs="Arial"/>
              </w:rPr>
              <w:t>7.5+0.0075</w:t>
            </w:r>
          </w:p>
          <w:p w14:paraId="49EF188B" w14:textId="77777777" w:rsidR="00DC64F5" w:rsidRDefault="00DC64F5">
            <w:pPr>
              <w:pStyle w:val="TAC"/>
              <w:rPr>
                <w:rFonts w:cs="Arial"/>
              </w:rPr>
            </w:pPr>
            <w:r>
              <w:rPr>
                <w:rFonts w:cs="Arial"/>
              </w:rPr>
              <w:t>/</w:t>
            </w:r>
          </w:p>
          <w:p w14:paraId="748D6C07" w14:textId="77777777" w:rsidR="00DC64F5" w:rsidRDefault="00DC64F5">
            <w:pPr>
              <w:pStyle w:val="TAC"/>
              <w:rPr>
                <w:rFonts w:cs="Arial"/>
              </w:rPr>
            </w:pPr>
            <w:r>
              <w:rPr>
                <w:rFonts w:cs="Arial"/>
              </w:rPr>
              <w:t>-7.5-0.0075</w:t>
            </w:r>
          </w:p>
        </w:tc>
        <w:tc>
          <w:tcPr>
            <w:tcW w:w="625" w:type="pct"/>
            <w:tcBorders>
              <w:top w:val="single" w:sz="4" w:space="0" w:color="auto"/>
              <w:left w:val="single" w:sz="4" w:space="0" w:color="auto"/>
              <w:bottom w:val="single" w:sz="4" w:space="0" w:color="auto"/>
              <w:right w:val="single" w:sz="4" w:space="0" w:color="auto"/>
            </w:tcBorders>
            <w:hideMark/>
          </w:tcPr>
          <w:p w14:paraId="70763915" w14:textId="77777777" w:rsidR="00DC64F5" w:rsidRDefault="00DC64F5">
            <w:pPr>
              <w:pStyle w:val="TAC"/>
              <w:rPr>
                <w:rFonts w:cs="Arial"/>
              </w:rPr>
            </w:pPr>
            <w:r>
              <w:rPr>
                <w:rFonts w:cs="Arial"/>
              </w:rPr>
              <w:t>10+0.0125</w:t>
            </w:r>
          </w:p>
          <w:p w14:paraId="0278D43E" w14:textId="77777777" w:rsidR="00DC64F5" w:rsidRDefault="00DC64F5">
            <w:pPr>
              <w:pStyle w:val="TAC"/>
              <w:rPr>
                <w:rFonts w:cs="Arial"/>
              </w:rPr>
            </w:pPr>
            <w:r>
              <w:rPr>
                <w:rFonts w:cs="Arial"/>
              </w:rPr>
              <w:t>/</w:t>
            </w:r>
          </w:p>
          <w:p w14:paraId="7072FA81" w14:textId="77777777" w:rsidR="00DC64F5" w:rsidRDefault="00DC64F5">
            <w:pPr>
              <w:pStyle w:val="TAC"/>
              <w:rPr>
                <w:rFonts w:cs="Arial"/>
              </w:rPr>
            </w:pPr>
            <w:r>
              <w:rPr>
                <w:rFonts w:cs="Arial"/>
              </w:rPr>
              <w:t>-10-0.0125</w:t>
            </w:r>
          </w:p>
        </w:tc>
        <w:tc>
          <w:tcPr>
            <w:tcW w:w="625" w:type="pct"/>
            <w:tcBorders>
              <w:top w:val="single" w:sz="4" w:space="0" w:color="auto"/>
              <w:left w:val="single" w:sz="4" w:space="0" w:color="auto"/>
              <w:bottom w:val="single" w:sz="4" w:space="0" w:color="auto"/>
              <w:right w:val="single" w:sz="4" w:space="0" w:color="auto"/>
            </w:tcBorders>
            <w:hideMark/>
          </w:tcPr>
          <w:p w14:paraId="0601189C" w14:textId="77777777" w:rsidR="00DC64F5" w:rsidRDefault="00DC64F5">
            <w:pPr>
              <w:pStyle w:val="TAC"/>
              <w:rPr>
                <w:rFonts w:cs="Arial"/>
              </w:rPr>
            </w:pPr>
            <w:r>
              <w:rPr>
                <w:rFonts w:cs="Arial"/>
              </w:rPr>
              <w:t>12.5+0.0025</w:t>
            </w:r>
          </w:p>
          <w:p w14:paraId="7319D8E2" w14:textId="77777777" w:rsidR="00DC64F5" w:rsidRDefault="00DC64F5">
            <w:pPr>
              <w:pStyle w:val="TAC"/>
              <w:rPr>
                <w:rFonts w:cs="Arial"/>
              </w:rPr>
            </w:pPr>
            <w:r>
              <w:rPr>
                <w:rFonts w:cs="Arial"/>
              </w:rPr>
              <w:t>/</w:t>
            </w:r>
          </w:p>
          <w:p w14:paraId="41A2497E" w14:textId="77777777" w:rsidR="00DC64F5" w:rsidRDefault="00DC64F5">
            <w:pPr>
              <w:pStyle w:val="TAC"/>
              <w:rPr>
                <w:rFonts w:cs="Arial"/>
              </w:rPr>
            </w:pPr>
            <w:r>
              <w:rPr>
                <w:rFonts w:cs="Arial"/>
              </w:rPr>
              <w:t>-12.5-0.0025</w:t>
            </w:r>
          </w:p>
        </w:tc>
      </w:tr>
      <w:tr w:rsidR="00DC64F5" w14:paraId="59B7223B" w14:textId="77777777" w:rsidTr="00DC64F5">
        <w:trPr>
          <w:trHeight w:val="398"/>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92B2ACF" w14:textId="77777777" w:rsidR="00DC64F5" w:rsidRDefault="00DC64F5">
            <w:pPr>
              <w:pStyle w:val="TAN"/>
              <w:rPr>
                <w:rFonts w:eastAsia="MS Mincho" w:cs="Arial"/>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with </w:t>
            </w:r>
            <w:r>
              <w:rPr>
                <w:rFonts w:cs="Arial"/>
              </w:rPr>
              <w:t>P</w:t>
            </w:r>
            <w:r>
              <w:rPr>
                <w:rFonts w:cs="Arial"/>
                <w:sz w:val="12"/>
                <w:szCs w:val="12"/>
              </w:rPr>
              <w:t>CMAX_L</w:t>
            </w:r>
            <w:r>
              <w:rPr>
                <w:rFonts w:eastAsia="MS Mincho" w:cs="Arial"/>
              </w:rPr>
              <w:t xml:space="preserve"> as defined in </w:t>
            </w:r>
            <w:r>
              <w:rPr>
                <w:rFonts w:ascii="Times New Roman" w:eastAsia="MS Mincho" w:hAnsi="Times New Roman" w:cs="Arial"/>
              </w:rPr>
              <w:t>sub</w:t>
            </w:r>
            <w:r>
              <w:rPr>
                <w:rFonts w:eastAsia="MS Mincho" w:cs="Arial"/>
              </w:rPr>
              <w:t>clause 6.2.5.</w:t>
            </w:r>
          </w:p>
          <w:p w14:paraId="08164874" w14:textId="77777777" w:rsidR="00DC64F5" w:rsidRDefault="00DC64F5">
            <w:pPr>
              <w:pStyle w:val="TAN"/>
              <w:rPr>
                <w:rFonts w:eastAsia="MS Mincho" w:cs="Arial"/>
              </w:rPr>
            </w:pPr>
            <w:r>
              <w:rPr>
                <w:rFonts w:eastAsia="MS Mincho" w:cs="Arial"/>
              </w:rPr>
              <w:t>NOTE 2:</w:t>
            </w:r>
            <w:r>
              <w:rPr>
                <w:rFonts w:eastAsia="MS Mincho" w:cs="Arial"/>
              </w:rPr>
              <w:tab/>
              <w:t>The interferer consists of the Reference measurement channel specified in Annex A.3.2 with one sided dynamic OCNG Pattern OP.1 FDD/TDD as described in Annex A.5.1.1/A.5.2.1 and set-up according to Annex C.3.1.</w:t>
            </w:r>
          </w:p>
          <w:p w14:paraId="59E64A5A" w14:textId="77777777" w:rsidR="00DC64F5" w:rsidRDefault="00DC64F5">
            <w:pPr>
              <w:pStyle w:val="TAN"/>
              <w:rPr>
                <w:rFonts w:eastAsia="MS Mincho" w:cs="Arial"/>
              </w:rPr>
            </w:pPr>
            <w:r>
              <w:rPr>
                <w:rFonts w:eastAsia="MS Mincho" w:cs="Arial"/>
              </w:rPr>
              <w:t>NOTE 3:</w:t>
            </w:r>
            <w:r>
              <w:rPr>
                <w:rFonts w:eastAsia="MS Mincho" w:cs="Arial"/>
              </w:rPr>
              <w:tab/>
              <w:t>The REFSENS power level is specified in Table 7.3.1-1 and Table 7.3.1-1a for two and four antenna ports, respectively.</w:t>
            </w:r>
          </w:p>
          <w:p w14:paraId="72BF5215" w14:textId="77777777" w:rsidR="00DC64F5" w:rsidRDefault="00DC64F5">
            <w:pPr>
              <w:pStyle w:val="TAN"/>
              <w:rPr>
                <w:rFonts w:eastAsia="MS Mincho" w:cs="Arial"/>
              </w:rPr>
            </w:pPr>
            <w:r>
              <w:rPr>
                <w:rFonts w:eastAsia="MS Mincho" w:cs="Arial"/>
              </w:rPr>
              <w:t>NOTE 4:</w:t>
            </w:r>
            <w:r>
              <w:rPr>
                <w:rFonts w:eastAsia="MS Mincho" w:cs="Arial"/>
              </w:rPr>
              <w:tab/>
              <w:t xml:space="preserve">For DL category M1 and M2 UE, the reference sensitivity for category M1 in table 7.3.1E-3 and category M2 in Table 7.3.1E-8 should be used as REFSENS for the power in Transmission Bandwidth Configuration and </w:t>
            </w:r>
            <w:proofErr w:type="spellStart"/>
            <w:r>
              <w:rPr>
                <w:rFonts w:eastAsia="MS Mincho" w:cs="Arial"/>
              </w:rPr>
              <w:t>P</w:t>
            </w:r>
            <w:r>
              <w:rPr>
                <w:rFonts w:eastAsia="MS Mincho" w:cs="Arial"/>
                <w:vertAlign w:val="subscript"/>
              </w:rPr>
              <w:t>Interferer</w:t>
            </w:r>
            <w:proofErr w:type="spellEnd"/>
            <w:r>
              <w:rPr>
                <w:rFonts w:eastAsia="MS Mincho" w:cs="Arial"/>
              </w:rPr>
              <w:t>.</w:t>
            </w:r>
          </w:p>
          <w:p w14:paraId="30BCE558" w14:textId="77777777" w:rsidR="00DC64F5" w:rsidRDefault="00DC64F5">
            <w:pPr>
              <w:pStyle w:val="TAN"/>
              <w:rPr>
                <w:rFonts w:eastAsia="MS Mincho" w:cs="Arial"/>
              </w:rPr>
            </w:pPr>
            <w:r>
              <w:rPr>
                <w:rFonts w:eastAsia="MS Mincho" w:cs="Arial"/>
              </w:rPr>
              <w:t>NOTE5:</w:t>
            </w:r>
            <w:r>
              <w:rPr>
                <w:rFonts w:eastAsia="MS Mincho" w:cs="Arial"/>
              </w:rPr>
              <w:tab/>
            </w:r>
            <w:r>
              <w:rPr>
                <w:rFonts w:cs="Arial"/>
              </w:rPr>
              <w:t>For DL category M1 and M2 UE, the parameters for the applicable channel bandwidth apply.</w:t>
            </w:r>
          </w:p>
        </w:tc>
      </w:tr>
    </w:tbl>
    <w:p w14:paraId="61A9134A" w14:textId="77777777" w:rsidR="00DC64F5" w:rsidRDefault="00DC64F5" w:rsidP="00DC64F5">
      <w:pPr>
        <w:rPr>
          <w:lang w:eastAsia="en-GB"/>
        </w:rPr>
      </w:pPr>
    </w:p>
    <w:p w14:paraId="2E55E044" w14:textId="77777777" w:rsidR="00DC64F5" w:rsidRDefault="00DC64F5" w:rsidP="00DC64F5">
      <w:pPr>
        <w:pStyle w:val="TH"/>
      </w:pPr>
      <w:r>
        <w:t xml:space="preserve">Table </w:t>
      </w:r>
      <w:r>
        <w:rPr>
          <w:rFonts w:eastAsia="MS Mincho"/>
        </w:rPr>
        <w:t>7.5.1-3</w:t>
      </w:r>
      <w:r>
        <w:t>: Test parameters for Adjacent channel selectivity, Case 2</w:t>
      </w:r>
    </w:p>
    <w:tbl>
      <w:tblPr>
        <w:tblW w:w="5000" w:type="pct"/>
        <w:tblLook w:val="01E0" w:firstRow="1" w:lastRow="1" w:firstColumn="1" w:lastColumn="1" w:noHBand="0" w:noVBand="0"/>
      </w:tblPr>
      <w:tblGrid>
        <w:gridCol w:w="1501"/>
        <w:gridCol w:w="748"/>
        <w:gridCol w:w="1200"/>
        <w:gridCol w:w="1200"/>
        <w:gridCol w:w="1350"/>
        <w:gridCol w:w="1200"/>
        <w:gridCol w:w="1200"/>
        <w:gridCol w:w="1222"/>
      </w:tblGrid>
      <w:tr w:rsidR="00DC64F5" w14:paraId="1D74C3CD" w14:textId="77777777" w:rsidTr="00DC64F5">
        <w:tc>
          <w:tcPr>
            <w:tcW w:w="782" w:type="pct"/>
            <w:vMerge w:val="restart"/>
            <w:tcBorders>
              <w:top w:val="single" w:sz="4" w:space="0" w:color="auto"/>
              <w:left w:val="single" w:sz="4" w:space="0" w:color="auto"/>
              <w:bottom w:val="single" w:sz="4" w:space="0" w:color="auto"/>
              <w:right w:val="single" w:sz="4" w:space="0" w:color="auto"/>
            </w:tcBorders>
            <w:hideMark/>
          </w:tcPr>
          <w:p w14:paraId="2F895723" w14:textId="77777777" w:rsidR="00DC64F5" w:rsidRDefault="00DC64F5">
            <w:pPr>
              <w:pStyle w:val="TAH"/>
              <w:rPr>
                <w:rFonts w:cs="Arial"/>
              </w:rPr>
            </w:pPr>
            <w:r>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42E0A9AA" w14:textId="77777777" w:rsidR="00DC64F5" w:rsidRDefault="00DC64F5">
            <w:pPr>
              <w:pStyle w:val="TAH"/>
              <w:rPr>
                <w:rFonts w:cs="Arial"/>
              </w:rPr>
            </w:pPr>
            <w:r>
              <w:rPr>
                <w:rFonts w:cs="Arial"/>
              </w:rPr>
              <w:t xml:space="preserve">Units </w:t>
            </w:r>
          </w:p>
        </w:tc>
        <w:tc>
          <w:tcPr>
            <w:tcW w:w="3827" w:type="pct"/>
            <w:gridSpan w:val="6"/>
            <w:tcBorders>
              <w:top w:val="single" w:sz="4" w:space="0" w:color="auto"/>
              <w:left w:val="single" w:sz="4" w:space="0" w:color="auto"/>
              <w:bottom w:val="single" w:sz="4" w:space="0" w:color="auto"/>
              <w:right w:val="single" w:sz="4" w:space="0" w:color="auto"/>
            </w:tcBorders>
            <w:hideMark/>
          </w:tcPr>
          <w:p w14:paraId="3FD9B154" w14:textId="77777777" w:rsidR="00DC64F5" w:rsidRDefault="00DC64F5">
            <w:pPr>
              <w:pStyle w:val="TAH"/>
              <w:rPr>
                <w:rFonts w:cs="Arial"/>
              </w:rPr>
            </w:pPr>
            <w:r>
              <w:rPr>
                <w:rFonts w:cs="Arial"/>
              </w:rPr>
              <w:t>Channel bandwidth</w:t>
            </w:r>
          </w:p>
        </w:tc>
      </w:tr>
      <w:tr w:rsidR="00DC64F5" w14:paraId="44D2ECE3" w14:textId="77777777" w:rsidTr="00DC64F5">
        <w:tc>
          <w:tcPr>
            <w:tcW w:w="0" w:type="auto"/>
            <w:vMerge/>
            <w:tcBorders>
              <w:top w:val="single" w:sz="4" w:space="0" w:color="auto"/>
              <w:left w:val="single" w:sz="4" w:space="0" w:color="auto"/>
              <w:bottom w:val="single" w:sz="4" w:space="0" w:color="auto"/>
              <w:right w:val="single" w:sz="4" w:space="0" w:color="auto"/>
            </w:tcBorders>
            <w:vAlign w:val="center"/>
            <w:hideMark/>
          </w:tcPr>
          <w:p w14:paraId="2388529C" w14:textId="77777777" w:rsidR="00DC64F5" w:rsidRDefault="00DC64F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5FAEC" w14:textId="77777777" w:rsidR="00DC64F5" w:rsidRDefault="00DC64F5">
            <w:pPr>
              <w:spacing w:after="0"/>
              <w:rPr>
                <w:rFonts w:ascii="Arial" w:hAnsi="Arial" w:cs="Arial"/>
                <w:b/>
                <w:sz w:val="18"/>
              </w:rPr>
            </w:pPr>
          </w:p>
        </w:tc>
        <w:tc>
          <w:tcPr>
            <w:tcW w:w="625" w:type="pct"/>
            <w:tcBorders>
              <w:top w:val="single" w:sz="4" w:space="0" w:color="auto"/>
              <w:left w:val="single" w:sz="4" w:space="0" w:color="auto"/>
              <w:bottom w:val="single" w:sz="4" w:space="0" w:color="auto"/>
              <w:right w:val="single" w:sz="4" w:space="0" w:color="auto"/>
            </w:tcBorders>
            <w:hideMark/>
          </w:tcPr>
          <w:p w14:paraId="0F07F7D2" w14:textId="77777777" w:rsidR="00DC64F5" w:rsidRDefault="00DC64F5">
            <w:pPr>
              <w:pStyle w:val="TAH"/>
              <w:rPr>
                <w:rFonts w:cs="Arial"/>
              </w:rPr>
            </w:pPr>
            <w:r>
              <w:rPr>
                <w:rFonts w:cs="Arial"/>
              </w:rPr>
              <w:t xml:space="preserve">1.4 MHz </w:t>
            </w:r>
          </w:p>
        </w:tc>
        <w:tc>
          <w:tcPr>
            <w:tcW w:w="625" w:type="pct"/>
            <w:tcBorders>
              <w:top w:val="single" w:sz="4" w:space="0" w:color="auto"/>
              <w:left w:val="single" w:sz="4" w:space="0" w:color="auto"/>
              <w:bottom w:val="single" w:sz="4" w:space="0" w:color="auto"/>
              <w:right w:val="single" w:sz="4" w:space="0" w:color="auto"/>
            </w:tcBorders>
            <w:hideMark/>
          </w:tcPr>
          <w:p w14:paraId="3FBADCBA" w14:textId="77777777" w:rsidR="00DC64F5" w:rsidRDefault="00DC64F5">
            <w:pPr>
              <w:pStyle w:val="TAH"/>
              <w:rPr>
                <w:rFonts w:cs="Arial"/>
              </w:rPr>
            </w:pPr>
            <w:r>
              <w:rPr>
                <w:rFonts w:cs="Arial"/>
              </w:rPr>
              <w:t>3 MHz</w:t>
            </w:r>
          </w:p>
        </w:tc>
        <w:tc>
          <w:tcPr>
            <w:tcW w:w="703" w:type="pct"/>
            <w:tcBorders>
              <w:top w:val="single" w:sz="4" w:space="0" w:color="auto"/>
              <w:left w:val="single" w:sz="4" w:space="0" w:color="auto"/>
              <w:bottom w:val="single" w:sz="4" w:space="0" w:color="auto"/>
              <w:right w:val="single" w:sz="4" w:space="0" w:color="auto"/>
            </w:tcBorders>
            <w:hideMark/>
          </w:tcPr>
          <w:p w14:paraId="7EB29033" w14:textId="77777777" w:rsidR="00DC64F5" w:rsidRDefault="00DC64F5">
            <w:pPr>
              <w:pStyle w:val="TAH"/>
              <w:rPr>
                <w:rFonts w:cs="Arial"/>
              </w:rPr>
            </w:pPr>
            <w:r>
              <w:rPr>
                <w:rFonts w:cs="Arial"/>
              </w:rPr>
              <w:t>5 MHz</w:t>
            </w:r>
          </w:p>
        </w:tc>
        <w:tc>
          <w:tcPr>
            <w:tcW w:w="625" w:type="pct"/>
            <w:tcBorders>
              <w:top w:val="single" w:sz="4" w:space="0" w:color="auto"/>
              <w:left w:val="single" w:sz="4" w:space="0" w:color="auto"/>
              <w:bottom w:val="single" w:sz="4" w:space="0" w:color="auto"/>
              <w:right w:val="single" w:sz="4" w:space="0" w:color="auto"/>
            </w:tcBorders>
            <w:shd w:val="clear" w:color="auto" w:fill="FFFF00"/>
            <w:hideMark/>
          </w:tcPr>
          <w:p w14:paraId="2353036B" w14:textId="77777777" w:rsidR="00DC64F5" w:rsidRDefault="00DC64F5">
            <w:pPr>
              <w:pStyle w:val="TAH"/>
              <w:rPr>
                <w:rFonts w:cs="Arial"/>
              </w:rPr>
            </w:pPr>
            <w:r>
              <w:rPr>
                <w:rFonts w:cs="Arial"/>
              </w:rPr>
              <w:t>10 MHz</w:t>
            </w:r>
          </w:p>
        </w:tc>
        <w:tc>
          <w:tcPr>
            <w:tcW w:w="625" w:type="pct"/>
            <w:tcBorders>
              <w:top w:val="single" w:sz="4" w:space="0" w:color="auto"/>
              <w:left w:val="single" w:sz="4" w:space="0" w:color="auto"/>
              <w:bottom w:val="single" w:sz="4" w:space="0" w:color="auto"/>
              <w:right w:val="single" w:sz="4" w:space="0" w:color="auto"/>
            </w:tcBorders>
            <w:hideMark/>
          </w:tcPr>
          <w:p w14:paraId="42B6E255" w14:textId="77777777" w:rsidR="00DC64F5" w:rsidRDefault="00DC64F5">
            <w:pPr>
              <w:pStyle w:val="TAH"/>
              <w:rPr>
                <w:rFonts w:cs="Arial"/>
              </w:rPr>
            </w:pPr>
            <w:r>
              <w:rPr>
                <w:rFonts w:cs="Arial"/>
              </w:rPr>
              <w:t>15 MHz</w:t>
            </w:r>
          </w:p>
        </w:tc>
        <w:tc>
          <w:tcPr>
            <w:tcW w:w="624" w:type="pct"/>
            <w:tcBorders>
              <w:top w:val="single" w:sz="4" w:space="0" w:color="auto"/>
              <w:left w:val="single" w:sz="4" w:space="0" w:color="auto"/>
              <w:bottom w:val="single" w:sz="4" w:space="0" w:color="auto"/>
              <w:right w:val="single" w:sz="4" w:space="0" w:color="auto"/>
            </w:tcBorders>
            <w:hideMark/>
          </w:tcPr>
          <w:p w14:paraId="7D15B523" w14:textId="77777777" w:rsidR="00DC64F5" w:rsidRDefault="00DC64F5">
            <w:pPr>
              <w:pStyle w:val="TAH"/>
              <w:rPr>
                <w:rFonts w:cs="Arial"/>
              </w:rPr>
            </w:pPr>
            <w:r>
              <w:rPr>
                <w:rFonts w:cs="Arial"/>
              </w:rPr>
              <w:t>20 MHz</w:t>
            </w:r>
          </w:p>
        </w:tc>
      </w:tr>
      <w:tr w:rsidR="00DC64F5" w14:paraId="57B9D777" w14:textId="77777777" w:rsidTr="00DC64F5">
        <w:tc>
          <w:tcPr>
            <w:tcW w:w="782" w:type="pct"/>
            <w:tcBorders>
              <w:top w:val="single" w:sz="4" w:space="0" w:color="auto"/>
              <w:left w:val="single" w:sz="4" w:space="0" w:color="auto"/>
              <w:bottom w:val="single" w:sz="4" w:space="0" w:color="auto"/>
              <w:right w:val="single" w:sz="4" w:space="0" w:color="auto"/>
            </w:tcBorders>
            <w:vAlign w:val="center"/>
            <w:hideMark/>
          </w:tcPr>
          <w:p w14:paraId="6AD68CF7" w14:textId="77777777" w:rsidR="00DC64F5" w:rsidRDefault="00DC64F5">
            <w:pPr>
              <w:pStyle w:val="TAL"/>
              <w:rPr>
                <w:rFonts w:cs="Arial"/>
                <w:i/>
              </w:rPr>
            </w:pPr>
            <w:r>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43EACB07" w14:textId="77777777" w:rsidR="00DC64F5" w:rsidRDefault="00DC64F5">
            <w:pPr>
              <w:pStyle w:val="TAC"/>
              <w:rPr>
                <w:rFonts w:cs="Arial"/>
              </w:rPr>
            </w:pPr>
            <w:r>
              <w:rPr>
                <w:rFonts w:cs="Arial"/>
              </w:rPr>
              <w:t>dBm</w:t>
            </w:r>
          </w:p>
        </w:tc>
        <w:tc>
          <w:tcPr>
            <w:tcW w:w="625" w:type="pct"/>
            <w:tcBorders>
              <w:top w:val="single" w:sz="4" w:space="0" w:color="auto"/>
              <w:left w:val="single" w:sz="4" w:space="0" w:color="auto"/>
              <w:bottom w:val="single" w:sz="4" w:space="0" w:color="auto"/>
              <w:right w:val="single" w:sz="4" w:space="0" w:color="auto"/>
            </w:tcBorders>
            <w:vAlign w:val="center"/>
            <w:hideMark/>
          </w:tcPr>
          <w:p w14:paraId="217BA995" w14:textId="77777777" w:rsidR="00DC64F5" w:rsidRDefault="00DC64F5">
            <w:pPr>
              <w:pStyle w:val="TAC"/>
              <w:rPr>
                <w:rFonts w:cs="Arial"/>
              </w:rPr>
            </w:pPr>
            <w:r>
              <w:rPr>
                <w:rFonts w:eastAsia="MS Mincho" w:cs="Arial"/>
              </w:rPr>
              <w:t>-56.5</w:t>
            </w:r>
          </w:p>
        </w:tc>
        <w:tc>
          <w:tcPr>
            <w:tcW w:w="625" w:type="pct"/>
            <w:tcBorders>
              <w:top w:val="single" w:sz="4" w:space="0" w:color="auto"/>
              <w:left w:val="single" w:sz="4" w:space="0" w:color="auto"/>
              <w:bottom w:val="single" w:sz="4" w:space="0" w:color="auto"/>
              <w:right w:val="single" w:sz="4" w:space="0" w:color="auto"/>
            </w:tcBorders>
            <w:vAlign w:val="center"/>
            <w:hideMark/>
          </w:tcPr>
          <w:p w14:paraId="20256B09" w14:textId="77777777" w:rsidR="00DC64F5" w:rsidRDefault="00DC64F5">
            <w:pPr>
              <w:pStyle w:val="TAC"/>
              <w:rPr>
                <w:rFonts w:cs="Arial"/>
              </w:rPr>
            </w:pPr>
            <w:r>
              <w:rPr>
                <w:rFonts w:eastAsia="MS Mincho" w:cs="Arial"/>
              </w:rPr>
              <w:t>-56.5</w:t>
            </w:r>
          </w:p>
        </w:tc>
        <w:tc>
          <w:tcPr>
            <w:tcW w:w="703" w:type="pct"/>
            <w:tcBorders>
              <w:top w:val="single" w:sz="4" w:space="0" w:color="auto"/>
              <w:left w:val="single" w:sz="4" w:space="0" w:color="auto"/>
              <w:bottom w:val="single" w:sz="4" w:space="0" w:color="auto"/>
              <w:right w:val="single" w:sz="4" w:space="0" w:color="auto"/>
            </w:tcBorders>
            <w:vAlign w:val="center"/>
            <w:hideMark/>
          </w:tcPr>
          <w:p w14:paraId="5687EAB2" w14:textId="77777777" w:rsidR="00DC64F5" w:rsidRDefault="00DC64F5">
            <w:pPr>
              <w:pStyle w:val="TAC"/>
              <w:rPr>
                <w:rFonts w:cs="Arial"/>
              </w:rPr>
            </w:pPr>
            <w:r>
              <w:rPr>
                <w:rFonts w:eastAsia="MS Mincho" w:cs="Arial"/>
              </w:rPr>
              <w:t>-56.5</w:t>
            </w:r>
          </w:p>
        </w:tc>
        <w:tc>
          <w:tcPr>
            <w:tcW w:w="625"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374391DF" w14:textId="77777777" w:rsidR="00DC64F5" w:rsidRDefault="00DC64F5">
            <w:pPr>
              <w:pStyle w:val="TAC"/>
              <w:rPr>
                <w:rFonts w:cs="Arial"/>
              </w:rPr>
            </w:pPr>
            <w:r>
              <w:rPr>
                <w:rFonts w:eastAsia="MS Mincho" w:cs="Arial"/>
              </w:rPr>
              <w:t>-56.5</w:t>
            </w:r>
          </w:p>
        </w:tc>
        <w:tc>
          <w:tcPr>
            <w:tcW w:w="625" w:type="pct"/>
            <w:tcBorders>
              <w:top w:val="single" w:sz="4" w:space="0" w:color="auto"/>
              <w:left w:val="single" w:sz="4" w:space="0" w:color="auto"/>
              <w:bottom w:val="single" w:sz="4" w:space="0" w:color="auto"/>
              <w:right w:val="single" w:sz="4" w:space="0" w:color="auto"/>
            </w:tcBorders>
            <w:vAlign w:val="center"/>
            <w:hideMark/>
          </w:tcPr>
          <w:p w14:paraId="363FDE5F" w14:textId="77777777" w:rsidR="00DC64F5" w:rsidRDefault="00DC64F5">
            <w:pPr>
              <w:pStyle w:val="TAC"/>
              <w:rPr>
                <w:rFonts w:cs="Arial"/>
              </w:rPr>
            </w:pPr>
            <w:r>
              <w:rPr>
                <w:rFonts w:eastAsia="MS Mincho" w:cs="Arial"/>
              </w:rPr>
              <w:t>-53.5</w:t>
            </w:r>
          </w:p>
        </w:tc>
        <w:tc>
          <w:tcPr>
            <w:tcW w:w="624" w:type="pct"/>
            <w:tcBorders>
              <w:top w:val="single" w:sz="4" w:space="0" w:color="auto"/>
              <w:left w:val="single" w:sz="4" w:space="0" w:color="auto"/>
              <w:bottom w:val="single" w:sz="4" w:space="0" w:color="auto"/>
              <w:right w:val="single" w:sz="4" w:space="0" w:color="auto"/>
            </w:tcBorders>
            <w:vAlign w:val="center"/>
            <w:hideMark/>
          </w:tcPr>
          <w:p w14:paraId="4B42AB7E" w14:textId="77777777" w:rsidR="00DC64F5" w:rsidRDefault="00DC64F5">
            <w:pPr>
              <w:pStyle w:val="TAC"/>
              <w:rPr>
                <w:rFonts w:cs="Arial"/>
              </w:rPr>
            </w:pPr>
            <w:r>
              <w:rPr>
                <w:rFonts w:eastAsia="MS Mincho" w:cs="Arial"/>
              </w:rPr>
              <w:t>-50.5</w:t>
            </w:r>
          </w:p>
        </w:tc>
      </w:tr>
      <w:tr w:rsidR="00DC64F5" w14:paraId="49C19E61" w14:textId="77777777" w:rsidTr="00DC64F5">
        <w:tc>
          <w:tcPr>
            <w:tcW w:w="782" w:type="pct"/>
            <w:tcBorders>
              <w:top w:val="single" w:sz="4" w:space="0" w:color="auto"/>
              <w:left w:val="single" w:sz="4" w:space="0" w:color="auto"/>
              <w:bottom w:val="single" w:sz="4" w:space="0" w:color="auto"/>
              <w:right w:val="single" w:sz="4" w:space="0" w:color="auto"/>
            </w:tcBorders>
            <w:vAlign w:val="bottom"/>
            <w:hideMark/>
          </w:tcPr>
          <w:p w14:paraId="0F8BD024" w14:textId="77777777" w:rsidR="00DC64F5" w:rsidRDefault="00DC64F5">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01BCBBBD" w14:textId="77777777" w:rsidR="00DC64F5" w:rsidRDefault="00DC64F5">
            <w:pPr>
              <w:pStyle w:val="TAC"/>
              <w:rPr>
                <w:rFonts w:cs="Arial"/>
              </w:rPr>
            </w:pPr>
            <w:r>
              <w:rPr>
                <w:rFonts w:cs="Arial"/>
              </w:rPr>
              <w:t>dBm</w:t>
            </w:r>
          </w:p>
        </w:tc>
        <w:tc>
          <w:tcPr>
            <w:tcW w:w="3827" w:type="pct"/>
            <w:gridSpan w:val="6"/>
            <w:tcBorders>
              <w:top w:val="single" w:sz="4" w:space="0" w:color="auto"/>
              <w:left w:val="single" w:sz="4" w:space="0" w:color="auto"/>
              <w:bottom w:val="single" w:sz="4" w:space="0" w:color="auto"/>
              <w:right w:val="single" w:sz="4" w:space="0" w:color="auto"/>
            </w:tcBorders>
            <w:vAlign w:val="center"/>
            <w:hideMark/>
          </w:tcPr>
          <w:p w14:paraId="407B0027" w14:textId="77777777" w:rsidR="00DC64F5" w:rsidRDefault="00DC64F5">
            <w:pPr>
              <w:pStyle w:val="TAC"/>
              <w:rPr>
                <w:rFonts w:cs="Arial"/>
              </w:rPr>
            </w:pPr>
            <w:r>
              <w:rPr>
                <w:rFonts w:eastAsia="MS Mincho" w:cs="Arial"/>
              </w:rPr>
              <w:t>-25</w:t>
            </w:r>
          </w:p>
        </w:tc>
      </w:tr>
      <w:tr w:rsidR="00DC64F5" w14:paraId="516DBF07" w14:textId="77777777" w:rsidTr="00DC64F5">
        <w:tc>
          <w:tcPr>
            <w:tcW w:w="782" w:type="pct"/>
            <w:tcBorders>
              <w:top w:val="single" w:sz="4" w:space="0" w:color="auto"/>
              <w:left w:val="single" w:sz="4" w:space="0" w:color="auto"/>
              <w:bottom w:val="single" w:sz="4" w:space="0" w:color="auto"/>
              <w:right w:val="single" w:sz="4" w:space="0" w:color="auto"/>
            </w:tcBorders>
            <w:hideMark/>
          </w:tcPr>
          <w:p w14:paraId="23E5C149" w14:textId="77777777" w:rsidR="00DC64F5" w:rsidRDefault="00DC64F5">
            <w:pPr>
              <w:pStyle w:val="TAL"/>
              <w:rPr>
                <w:rFonts w:eastAsia="MS Mincho" w:cs="Arial"/>
                <w:bCs/>
              </w:rPr>
            </w:pPr>
            <w:proofErr w:type="spellStart"/>
            <w:r>
              <w:rPr>
                <w:rFonts w:eastAsia="MS Mincho" w:cs="Arial"/>
                <w:bCs/>
              </w:rPr>
              <w:t>BW</w:t>
            </w:r>
            <w:r>
              <w:rPr>
                <w:rFonts w:eastAsia="MS Mincho" w:cs="Arial"/>
                <w:bCs/>
                <w:vertAlign w:val="subscript"/>
              </w:rPr>
              <w:t>Interferer</w:t>
            </w:r>
            <w:proofErr w:type="spellEnd"/>
            <w:r>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4034E363" w14:textId="77777777" w:rsidR="00DC64F5" w:rsidRDefault="00DC64F5">
            <w:pPr>
              <w:pStyle w:val="TAC"/>
              <w:rPr>
                <w:rFonts w:cs="Arial"/>
              </w:rPr>
            </w:pPr>
            <w:r>
              <w:rPr>
                <w:rFonts w:cs="Arial"/>
              </w:rPr>
              <w:t>MHz</w:t>
            </w:r>
          </w:p>
        </w:tc>
        <w:tc>
          <w:tcPr>
            <w:tcW w:w="625" w:type="pct"/>
            <w:tcBorders>
              <w:top w:val="single" w:sz="4" w:space="0" w:color="auto"/>
              <w:left w:val="single" w:sz="4" w:space="0" w:color="auto"/>
              <w:bottom w:val="single" w:sz="4" w:space="0" w:color="auto"/>
              <w:right w:val="single" w:sz="4" w:space="0" w:color="auto"/>
            </w:tcBorders>
            <w:vAlign w:val="center"/>
            <w:hideMark/>
          </w:tcPr>
          <w:p w14:paraId="48042CF3" w14:textId="77777777" w:rsidR="00DC64F5" w:rsidRDefault="00DC64F5">
            <w:pPr>
              <w:pStyle w:val="TAC"/>
              <w:rPr>
                <w:rFonts w:cs="Arial"/>
              </w:rPr>
            </w:pPr>
            <w:r>
              <w:rPr>
                <w:rFonts w:cs="Arial"/>
              </w:rPr>
              <w:t>1.4</w:t>
            </w:r>
          </w:p>
        </w:tc>
        <w:tc>
          <w:tcPr>
            <w:tcW w:w="625" w:type="pct"/>
            <w:tcBorders>
              <w:top w:val="single" w:sz="4" w:space="0" w:color="auto"/>
              <w:left w:val="single" w:sz="4" w:space="0" w:color="auto"/>
              <w:bottom w:val="single" w:sz="4" w:space="0" w:color="auto"/>
              <w:right w:val="single" w:sz="4" w:space="0" w:color="auto"/>
            </w:tcBorders>
            <w:vAlign w:val="center"/>
            <w:hideMark/>
          </w:tcPr>
          <w:p w14:paraId="633D33E7" w14:textId="77777777" w:rsidR="00DC64F5" w:rsidRDefault="00DC64F5">
            <w:pPr>
              <w:pStyle w:val="TAC"/>
              <w:rPr>
                <w:rFonts w:cs="Arial"/>
              </w:rPr>
            </w:pPr>
            <w:r>
              <w:rPr>
                <w:rFonts w:cs="Arial"/>
              </w:rPr>
              <w:t>3</w:t>
            </w:r>
          </w:p>
        </w:tc>
        <w:tc>
          <w:tcPr>
            <w:tcW w:w="703" w:type="pct"/>
            <w:tcBorders>
              <w:top w:val="single" w:sz="4" w:space="0" w:color="auto"/>
              <w:left w:val="single" w:sz="4" w:space="0" w:color="auto"/>
              <w:bottom w:val="single" w:sz="4" w:space="0" w:color="auto"/>
              <w:right w:val="single" w:sz="4" w:space="0" w:color="auto"/>
            </w:tcBorders>
            <w:vAlign w:val="center"/>
            <w:hideMark/>
          </w:tcPr>
          <w:p w14:paraId="3DFD05A7" w14:textId="77777777" w:rsidR="00DC64F5" w:rsidRDefault="00DC64F5">
            <w:pPr>
              <w:pStyle w:val="TAC"/>
              <w:rPr>
                <w:rFonts w:cs="Arial"/>
              </w:rPr>
            </w:pPr>
            <w:r>
              <w:rPr>
                <w:rFonts w:cs="Arial"/>
              </w:rPr>
              <w:t>5</w:t>
            </w:r>
          </w:p>
        </w:tc>
        <w:tc>
          <w:tcPr>
            <w:tcW w:w="625"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2ECE9E40" w14:textId="77777777" w:rsidR="00DC64F5" w:rsidRDefault="00DC64F5">
            <w:pPr>
              <w:pStyle w:val="TAC"/>
              <w:rPr>
                <w:rFonts w:cs="Arial"/>
              </w:rPr>
            </w:pPr>
            <w:r>
              <w:rPr>
                <w:rFonts w:cs="Arial"/>
              </w:rPr>
              <w:t>5</w:t>
            </w:r>
          </w:p>
        </w:tc>
        <w:tc>
          <w:tcPr>
            <w:tcW w:w="625" w:type="pct"/>
            <w:tcBorders>
              <w:top w:val="single" w:sz="4" w:space="0" w:color="auto"/>
              <w:left w:val="single" w:sz="4" w:space="0" w:color="auto"/>
              <w:bottom w:val="single" w:sz="4" w:space="0" w:color="auto"/>
              <w:right w:val="single" w:sz="4" w:space="0" w:color="auto"/>
            </w:tcBorders>
            <w:vAlign w:val="center"/>
            <w:hideMark/>
          </w:tcPr>
          <w:p w14:paraId="4799DB23" w14:textId="77777777" w:rsidR="00DC64F5" w:rsidRDefault="00DC64F5">
            <w:pPr>
              <w:pStyle w:val="TAC"/>
              <w:rPr>
                <w:rFonts w:cs="Arial"/>
              </w:rPr>
            </w:pPr>
            <w:r>
              <w:rPr>
                <w:rFonts w:cs="Arial"/>
              </w:rPr>
              <w:t>5</w:t>
            </w:r>
          </w:p>
        </w:tc>
        <w:tc>
          <w:tcPr>
            <w:tcW w:w="624" w:type="pct"/>
            <w:tcBorders>
              <w:top w:val="single" w:sz="4" w:space="0" w:color="auto"/>
              <w:left w:val="single" w:sz="4" w:space="0" w:color="auto"/>
              <w:bottom w:val="single" w:sz="4" w:space="0" w:color="auto"/>
              <w:right w:val="single" w:sz="4" w:space="0" w:color="auto"/>
            </w:tcBorders>
            <w:vAlign w:val="center"/>
            <w:hideMark/>
          </w:tcPr>
          <w:p w14:paraId="7478980A" w14:textId="77777777" w:rsidR="00DC64F5" w:rsidRDefault="00DC64F5">
            <w:pPr>
              <w:pStyle w:val="TAC"/>
              <w:rPr>
                <w:rFonts w:cs="Arial"/>
              </w:rPr>
            </w:pPr>
            <w:r>
              <w:rPr>
                <w:rFonts w:cs="Arial"/>
              </w:rPr>
              <w:t>5</w:t>
            </w:r>
          </w:p>
        </w:tc>
      </w:tr>
      <w:tr w:rsidR="00DC64F5" w14:paraId="395EFFE8" w14:textId="77777777" w:rsidTr="00DC64F5">
        <w:tc>
          <w:tcPr>
            <w:tcW w:w="782" w:type="pct"/>
            <w:tcBorders>
              <w:top w:val="single" w:sz="4" w:space="0" w:color="auto"/>
              <w:left w:val="single" w:sz="4" w:space="0" w:color="auto"/>
              <w:bottom w:val="single" w:sz="4" w:space="0" w:color="auto"/>
              <w:right w:val="single" w:sz="4" w:space="0" w:color="auto"/>
            </w:tcBorders>
            <w:hideMark/>
          </w:tcPr>
          <w:p w14:paraId="7A465212" w14:textId="77777777" w:rsidR="00DC64F5" w:rsidRDefault="00DC64F5">
            <w:pPr>
              <w:pStyle w:val="TAL"/>
              <w:rPr>
                <w:rFonts w:cs="Arial"/>
                <w:i/>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6C77745" w14:textId="77777777" w:rsidR="00DC64F5" w:rsidRDefault="00DC64F5">
            <w:pPr>
              <w:pStyle w:val="TAC"/>
              <w:rPr>
                <w:rFonts w:cs="Arial"/>
              </w:rPr>
            </w:pPr>
            <w:r>
              <w:rPr>
                <w:rFonts w:cs="Arial"/>
              </w:rPr>
              <w:t>MHz</w:t>
            </w:r>
          </w:p>
        </w:tc>
        <w:tc>
          <w:tcPr>
            <w:tcW w:w="625" w:type="pct"/>
            <w:tcBorders>
              <w:top w:val="single" w:sz="4" w:space="0" w:color="auto"/>
              <w:left w:val="single" w:sz="4" w:space="0" w:color="auto"/>
              <w:bottom w:val="single" w:sz="4" w:space="0" w:color="auto"/>
              <w:right w:val="single" w:sz="4" w:space="0" w:color="auto"/>
            </w:tcBorders>
            <w:hideMark/>
          </w:tcPr>
          <w:p w14:paraId="5D378049" w14:textId="77777777" w:rsidR="00DC64F5" w:rsidRDefault="00DC64F5">
            <w:pPr>
              <w:pStyle w:val="TAC"/>
              <w:rPr>
                <w:rFonts w:cs="Arial"/>
              </w:rPr>
            </w:pPr>
            <w:r>
              <w:rPr>
                <w:rFonts w:cs="Arial"/>
              </w:rPr>
              <w:t>1.4+0.0025</w:t>
            </w:r>
          </w:p>
          <w:p w14:paraId="354151DA" w14:textId="77777777" w:rsidR="00DC64F5" w:rsidRDefault="00DC64F5">
            <w:pPr>
              <w:pStyle w:val="TAC"/>
              <w:rPr>
                <w:rFonts w:cs="Arial"/>
              </w:rPr>
            </w:pPr>
            <w:r>
              <w:rPr>
                <w:rFonts w:cs="Arial"/>
              </w:rPr>
              <w:t>/</w:t>
            </w:r>
          </w:p>
          <w:p w14:paraId="25EDF02A" w14:textId="77777777" w:rsidR="00DC64F5" w:rsidRDefault="00DC64F5">
            <w:pPr>
              <w:pStyle w:val="TAC"/>
              <w:rPr>
                <w:rFonts w:cs="Arial"/>
              </w:rPr>
            </w:pPr>
            <w:r>
              <w:rPr>
                <w:rFonts w:cs="Arial"/>
              </w:rPr>
              <w:t>-1.4-0.0025</w:t>
            </w:r>
          </w:p>
        </w:tc>
        <w:tc>
          <w:tcPr>
            <w:tcW w:w="625" w:type="pct"/>
            <w:tcBorders>
              <w:top w:val="single" w:sz="4" w:space="0" w:color="auto"/>
              <w:left w:val="single" w:sz="4" w:space="0" w:color="auto"/>
              <w:bottom w:val="single" w:sz="4" w:space="0" w:color="auto"/>
              <w:right w:val="single" w:sz="4" w:space="0" w:color="auto"/>
            </w:tcBorders>
            <w:hideMark/>
          </w:tcPr>
          <w:p w14:paraId="3423382D" w14:textId="77777777" w:rsidR="00DC64F5" w:rsidRDefault="00DC64F5">
            <w:pPr>
              <w:pStyle w:val="TAC"/>
              <w:rPr>
                <w:rFonts w:cs="Arial"/>
              </w:rPr>
            </w:pPr>
            <w:r>
              <w:rPr>
                <w:rFonts w:cs="Arial"/>
              </w:rPr>
              <w:t xml:space="preserve"> 3+0.0075</w:t>
            </w:r>
          </w:p>
          <w:p w14:paraId="462EE3AC" w14:textId="77777777" w:rsidR="00DC64F5" w:rsidRDefault="00DC64F5">
            <w:pPr>
              <w:pStyle w:val="TAC"/>
              <w:rPr>
                <w:rFonts w:cs="Arial"/>
              </w:rPr>
            </w:pPr>
            <w:r>
              <w:rPr>
                <w:rFonts w:cs="Arial"/>
              </w:rPr>
              <w:t>/</w:t>
            </w:r>
          </w:p>
          <w:p w14:paraId="0FE128B6" w14:textId="77777777" w:rsidR="00DC64F5" w:rsidRDefault="00DC64F5">
            <w:pPr>
              <w:pStyle w:val="TAC"/>
              <w:rPr>
                <w:rFonts w:cs="Arial"/>
              </w:rPr>
            </w:pPr>
            <w:r>
              <w:rPr>
                <w:rFonts w:cs="Arial"/>
              </w:rPr>
              <w:t>-3-0.0075</w:t>
            </w:r>
          </w:p>
        </w:tc>
        <w:tc>
          <w:tcPr>
            <w:tcW w:w="703" w:type="pct"/>
            <w:tcBorders>
              <w:top w:val="single" w:sz="4" w:space="0" w:color="auto"/>
              <w:left w:val="single" w:sz="4" w:space="0" w:color="auto"/>
              <w:bottom w:val="single" w:sz="4" w:space="0" w:color="auto"/>
              <w:right w:val="single" w:sz="4" w:space="0" w:color="auto"/>
            </w:tcBorders>
            <w:hideMark/>
          </w:tcPr>
          <w:p w14:paraId="4BE37ED2" w14:textId="77777777" w:rsidR="00DC64F5" w:rsidRDefault="00DC64F5">
            <w:pPr>
              <w:pStyle w:val="TAC"/>
              <w:rPr>
                <w:rFonts w:cs="Arial"/>
              </w:rPr>
            </w:pPr>
            <w:r>
              <w:rPr>
                <w:rFonts w:cs="Arial"/>
              </w:rPr>
              <w:t>5+0.0025</w:t>
            </w:r>
          </w:p>
          <w:p w14:paraId="71851AAC" w14:textId="77777777" w:rsidR="00DC64F5" w:rsidRDefault="00DC64F5">
            <w:pPr>
              <w:pStyle w:val="TAC"/>
              <w:rPr>
                <w:rFonts w:cs="Arial"/>
              </w:rPr>
            </w:pPr>
            <w:r>
              <w:rPr>
                <w:rFonts w:cs="Arial"/>
              </w:rPr>
              <w:t>/</w:t>
            </w:r>
          </w:p>
          <w:p w14:paraId="1A5D3744" w14:textId="77777777" w:rsidR="00DC64F5" w:rsidRDefault="00DC64F5">
            <w:pPr>
              <w:pStyle w:val="TAC"/>
              <w:rPr>
                <w:rFonts w:cs="Arial"/>
              </w:rPr>
            </w:pPr>
            <w:r>
              <w:rPr>
                <w:rFonts w:cs="Arial"/>
              </w:rPr>
              <w:t>-5-0.0025</w:t>
            </w:r>
          </w:p>
        </w:tc>
        <w:tc>
          <w:tcPr>
            <w:tcW w:w="625" w:type="pct"/>
            <w:tcBorders>
              <w:top w:val="single" w:sz="4" w:space="0" w:color="auto"/>
              <w:left w:val="single" w:sz="4" w:space="0" w:color="auto"/>
              <w:bottom w:val="single" w:sz="4" w:space="0" w:color="auto"/>
              <w:right w:val="single" w:sz="4" w:space="0" w:color="auto"/>
            </w:tcBorders>
            <w:shd w:val="clear" w:color="auto" w:fill="FFFF00"/>
            <w:hideMark/>
          </w:tcPr>
          <w:p w14:paraId="051DEC12" w14:textId="77777777" w:rsidR="00DC64F5" w:rsidRDefault="00DC64F5">
            <w:pPr>
              <w:pStyle w:val="TAC"/>
              <w:rPr>
                <w:rFonts w:cs="Arial"/>
              </w:rPr>
            </w:pPr>
            <w:r>
              <w:rPr>
                <w:rFonts w:cs="Arial"/>
              </w:rPr>
              <w:t>7.5+0.0075</w:t>
            </w:r>
          </w:p>
          <w:p w14:paraId="67F62323" w14:textId="77777777" w:rsidR="00DC64F5" w:rsidRDefault="00DC64F5">
            <w:pPr>
              <w:pStyle w:val="TAC"/>
              <w:rPr>
                <w:rFonts w:cs="Arial"/>
              </w:rPr>
            </w:pPr>
            <w:r>
              <w:rPr>
                <w:rFonts w:cs="Arial"/>
              </w:rPr>
              <w:t>/</w:t>
            </w:r>
          </w:p>
          <w:p w14:paraId="68AEE32F" w14:textId="77777777" w:rsidR="00DC64F5" w:rsidRDefault="00DC64F5">
            <w:pPr>
              <w:pStyle w:val="TAC"/>
              <w:rPr>
                <w:rFonts w:cs="Arial"/>
              </w:rPr>
            </w:pPr>
            <w:r>
              <w:rPr>
                <w:rFonts w:cs="Arial"/>
              </w:rPr>
              <w:t>-7.5-0.0075</w:t>
            </w:r>
          </w:p>
        </w:tc>
        <w:tc>
          <w:tcPr>
            <w:tcW w:w="625" w:type="pct"/>
            <w:tcBorders>
              <w:top w:val="single" w:sz="4" w:space="0" w:color="auto"/>
              <w:left w:val="single" w:sz="4" w:space="0" w:color="auto"/>
              <w:bottom w:val="single" w:sz="4" w:space="0" w:color="auto"/>
              <w:right w:val="single" w:sz="4" w:space="0" w:color="auto"/>
            </w:tcBorders>
            <w:hideMark/>
          </w:tcPr>
          <w:p w14:paraId="184E6A61" w14:textId="77777777" w:rsidR="00DC64F5" w:rsidRDefault="00DC64F5">
            <w:pPr>
              <w:pStyle w:val="TAC"/>
              <w:rPr>
                <w:rFonts w:cs="Arial"/>
              </w:rPr>
            </w:pPr>
            <w:r>
              <w:rPr>
                <w:rFonts w:cs="Arial"/>
              </w:rPr>
              <w:t>10+0.0125</w:t>
            </w:r>
          </w:p>
          <w:p w14:paraId="1353B8B9" w14:textId="77777777" w:rsidR="00DC64F5" w:rsidRDefault="00DC64F5">
            <w:pPr>
              <w:pStyle w:val="TAC"/>
              <w:rPr>
                <w:rFonts w:cs="Arial"/>
              </w:rPr>
            </w:pPr>
            <w:r>
              <w:rPr>
                <w:rFonts w:cs="Arial"/>
              </w:rPr>
              <w:t>/</w:t>
            </w:r>
          </w:p>
          <w:p w14:paraId="0DE24E80" w14:textId="77777777" w:rsidR="00DC64F5" w:rsidRDefault="00DC64F5">
            <w:pPr>
              <w:pStyle w:val="TAC"/>
              <w:rPr>
                <w:rFonts w:cs="Arial"/>
              </w:rPr>
            </w:pPr>
            <w:r>
              <w:rPr>
                <w:rFonts w:cs="Arial"/>
              </w:rPr>
              <w:t>-10-0.0125</w:t>
            </w:r>
          </w:p>
        </w:tc>
        <w:tc>
          <w:tcPr>
            <w:tcW w:w="624" w:type="pct"/>
            <w:tcBorders>
              <w:top w:val="single" w:sz="4" w:space="0" w:color="auto"/>
              <w:left w:val="single" w:sz="4" w:space="0" w:color="auto"/>
              <w:bottom w:val="single" w:sz="4" w:space="0" w:color="auto"/>
              <w:right w:val="single" w:sz="4" w:space="0" w:color="auto"/>
            </w:tcBorders>
            <w:hideMark/>
          </w:tcPr>
          <w:p w14:paraId="3DEA4E4E" w14:textId="77777777" w:rsidR="00DC64F5" w:rsidRDefault="00DC64F5">
            <w:pPr>
              <w:pStyle w:val="TAC"/>
              <w:rPr>
                <w:rFonts w:cs="Arial"/>
              </w:rPr>
            </w:pPr>
            <w:r>
              <w:rPr>
                <w:rFonts w:cs="Arial"/>
              </w:rPr>
              <w:t>12.5+0.0025</w:t>
            </w:r>
          </w:p>
          <w:p w14:paraId="60CADCF4" w14:textId="77777777" w:rsidR="00DC64F5" w:rsidRDefault="00DC64F5">
            <w:pPr>
              <w:pStyle w:val="TAC"/>
              <w:rPr>
                <w:rFonts w:cs="Arial"/>
              </w:rPr>
            </w:pPr>
            <w:r>
              <w:rPr>
                <w:rFonts w:cs="Arial"/>
              </w:rPr>
              <w:t>/</w:t>
            </w:r>
          </w:p>
          <w:p w14:paraId="618B5594" w14:textId="77777777" w:rsidR="00DC64F5" w:rsidRDefault="00DC64F5">
            <w:pPr>
              <w:pStyle w:val="TAC"/>
              <w:rPr>
                <w:rFonts w:cs="Arial"/>
              </w:rPr>
            </w:pPr>
            <w:r>
              <w:rPr>
                <w:rFonts w:cs="Arial"/>
              </w:rPr>
              <w:t>-12.5-0.0025</w:t>
            </w:r>
          </w:p>
        </w:tc>
      </w:tr>
      <w:tr w:rsidR="00DC64F5" w14:paraId="18374DB1" w14:textId="77777777" w:rsidTr="00DC64F5">
        <w:trPr>
          <w:trHeight w:val="398"/>
        </w:trPr>
        <w:tc>
          <w:tcPr>
            <w:tcW w:w="5000" w:type="pct"/>
            <w:gridSpan w:val="8"/>
            <w:tcBorders>
              <w:top w:val="single" w:sz="4" w:space="0" w:color="auto"/>
              <w:left w:val="single" w:sz="4" w:space="0" w:color="auto"/>
              <w:bottom w:val="single" w:sz="4" w:space="0" w:color="auto"/>
              <w:right w:val="single" w:sz="4" w:space="0" w:color="auto"/>
            </w:tcBorders>
            <w:hideMark/>
          </w:tcPr>
          <w:p w14:paraId="0C8C4BC3" w14:textId="77777777" w:rsidR="00DC64F5" w:rsidRDefault="00DC64F5">
            <w:pPr>
              <w:pStyle w:val="TAN"/>
              <w:rPr>
                <w:rFonts w:eastAsia="MS Mincho" w:cs="Arial"/>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w:t>
            </w:r>
            <w:r>
              <w:rPr>
                <w:rFonts w:eastAsia="MS Mincho" w:cs="Arial"/>
              </w:rPr>
              <w:t xml:space="preserve"> at the minimum uplink configuration specified in Table 7.3.1-2 with </w:t>
            </w:r>
            <w:r>
              <w:rPr>
                <w:rFonts w:cs="Arial"/>
              </w:rPr>
              <w:t>P</w:t>
            </w:r>
            <w:r>
              <w:rPr>
                <w:rFonts w:cs="Arial"/>
                <w:sz w:val="12"/>
                <w:szCs w:val="12"/>
              </w:rPr>
              <w:t>CMAX_L</w:t>
            </w:r>
            <w:r>
              <w:rPr>
                <w:rFonts w:eastAsia="MS Mincho" w:cs="Arial"/>
              </w:rPr>
              <w:t xml:space="preserve"> as defined in </w:t>
            </w:r>
            <w:r>
              <w:rPr>
                <w:rFonts w:ascii="Times New Roman" w:eastAsia="MS Mincho" w:hAnsi="Times New Roman" w:cs="Arial"/>
              </w:rPr>
              <w:t>sub</w:t>
            </w:r>
            <w:r>
              <w:rPr>
                <w:rFonts w:eastAsia="MS Mincho" w:cs="Arial"/>
              </w:rPr>
              <w:t>clause 6.2.5.</w:t>
            </w:r>
          </w:p>
          <w:p w14:paraId="7D434191" w14:textId="77777777" w:rsidR="00DC64F5" w:rsidRDefault="00DC64F5">
            <w:pPr>
              <w:pStyle w:val="TAN"/>
              <w:rPr>
                <w:rFonts w:eastAsia="MS Mincho" w:cs="Arial"/>
              </w:rPr>
            </w:pPr>
            <w:r>
              <w:rPr>
                <w:rFonts w:eastAsia="MS Mincho" w:cs="Arial"/>
              </w:rPr>
              <w:t>NOTE 2:</w:t>
            </w:r>
            <w:r>
              <w:rPr>
                <w:rFonts w:eastAsia="MS Mincho" w:cs="Arial"/>
              </w:rPr>
              <w:tab/>
              <w:t>The interferer consists of the Reference measurement channel specified in Annex 3.2 with one sided dynamic OCNG Pattern OP.1 FDD/TDD as described in Annex A.5.1.1/A.5.2.1 and set-up according to Annex C.3.1.</w:t>
            </w:r>
          </w:p>
        </w:tc>
      </w:tr>
    </w:tbl>
    <w:p w14:paraId="3EF5B8F3" w14:textId="77777777" w:rsidR="00DC64F5" w:rsidRDefault="00DC64F5" w:rsidP="00750D8F">
      <w:pPr>
        <w:rPr>
          <w:lang w:val="en-US"/>
        </w:rPr>
      </w:pPr>
    </w:p>
    <w:p w14:paraId="1A6AD422" w14:textId="6CFC40EE" w:rsidR="00750D8F" w:rsidRDefault="00DC64F5" w:rsidP="00750D8F">
      <w:pPr>
        <w:rPr>
          <w:lang w:val="en-US"/>
        </w:rPr>
      </w:pPr>
      <w:r>
        <w:rPr>
          <w:lang w:val="en-US"/>
        </w:rPr>
        <w:t>However, this definition of ACS does not align with the broadcast channel raster as illustrated below.</w:t>
      </w:r>
    </w:p>
    <w:p w14:paraId="2453EDD0" w14:textId="1E28AA3A" w:rsidR="00DC64F5" w:rsidRDefault="007228DF" w:rsidP="00750D8F">
      <w:pPr>
        <w:rPr>
          <w:lang w:val="en-US"/>
        </w:rPr>
      </w:pPr>
      <w:r w:rsidRPr="00955B6C">
        <w:rPr>
          <w:noProof/>
        </w:rPr>
        <w:drawing>
          <wp:inline distT="0" distB="0" distL="0" distR="0" wp14:anchorId="3A6630EA" wp14:editId="5043252D">
            <wp:extent cx="6115685" cy="1715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1715135"/>
                    </a:xfrm>
                    <a:prstGeom prst="rect">
                      <a:avLst/>
                    </a:prstGeom>
                    <a:noFill/>
                    <a:ln>
                      <a:noFill/>
                    </a:ln>
                  </pic:spPr>
                </pic:pic>
              </a:graphicData>
            </a:graphic>
          </wp:inline>
        </w:drawing>
      </w:r>
    </w:p>
    <w:p w14:paraId="19172247" w14:textId="4CF8BDE6" w:rsidR="007228DF" w:rsidRDefault="007228DF" w:rsidP="00750D8F">
      <w:pPr>
        <w:rPr>
          <w:lang w:val="en-US"/>
        </w:rPr>
      </w:pPr>
      <w:r>
        <w:rPr>
          <w:lang w:val="en-US"/>
        </w:rPr>
        <w:t xml:space="preserve">Because the broadcast channel raster is 6, 7, and 8 MHz, the adjacent channel partially encroaches inside of the receiver’s bandwidth.  Therefore, a portion of the adjacent channel interferer passes unimpeded through the receiver channel filter.  The performance impact of this </w:t>
      </w:r>
      <w:r w:rsidR="00A774D5">
        <w:rPr>
          <w:lang w:val="en-US"/>
        </w:rPr>
        <w:t>scenario is considered forthwith.</w:t>
      </w:r>
    </w:p>
    <w:p w14:paraId="4158DBBB" w14:textId="4AB097E3" w:rsidR="00DD0242" w:rsidRDefault="00F53022" w:rsidP="00750D8F">
      <w:pPr>
        <w:rPr>
          <w:lang w:val="en-US"/>
        </w:rPr>
      </w:pPr>
      <w:r>
        <w:rPr>
          <w:lang w:val="en-US"/>
        </w:rPr>
        <w:t xml:space="preserve">The ACS capability of the UE can be evaluated by considering the signal to noise ratio within the wanted signal bandwidth.  The wanted signal is received at REFSENS + 14 dB to ensure the signal is well above the thermal noise </w:t>
      </w:r>
      <w:r>
        <w:rPr>
          <w:lang w:val="en-US"/>
        </w:rPr>
        <w:lastRenderedPageBreak/>
        <w:t xml:space="preserve">floor.  It is assumed that a -1 dB </w:t>
      </w:r>
      <w:r w:rsidR="00D53130">
        <w:rPr>
          <w:lang w:val="en-US"/>
        </w:rPr>
        <w:t xml:space="preserve">in channel </w:t>
      </w:r>
      <w:r>
        <w:rPr>
          <w:lang w:val="en-US"/>
        </w:rPr>
        <w:t xml:space="preserve">SNR is needed for demodulation </w:t>
      </w:r>
      <w:r w:rsidR="00970386">
        <w:rPr>
          <w:lang w:val="en-US"/>
        </w:rPr>
        <w:t>of</w:t>
      </w:r>
      <w:r>
        <w:rPr>
          <w:lang w:val="en-US"/>
        </w:rPr>
        <w:t xml:space="preserve"> the given MCS to achieve the specified 95% maximum throughput.  The </w:t>
      </w:r>
      <w:r w:rsidR="00DD0242">
        <w:rPr>
          <w:lang w:val="en-US"/>
        </w:rPr>
        <w:t xml:space="preserve">in-channel </w:t>
      </w:r>
      <w:r>
        <w:rPr>
          <w:lang w:val="en-US"/>
        </w:rPr>
        <w:t>noise components include the thermal noise, noise ingress from the adjacent channel interferer due to its ACLR</w:t>
      </w:r>
      <w:r w:rsidR="00DD0242">
        <w:rPr>
          <w:lang w:val="en-US"/>
        </w:rPr>
        <w:t xml:space="preserve">, and out-of-channel noise aliased into the wanted channel.  </w:t>
      </w:r>
      <w:r w:rsidR="00FA4741">
        <w:rPr>
          <w:lang w:val="en-US"/>
        </w:rPr>
        <w:t>There may also be noise and distortion present due to saturation</w:t>
      </w:r>
      <w:r w:rsidR="005E6AEC">
        <w:rPr>
          <w:lang w:val="en-US"/>
        </w:rPr>
        <w:t xml:space="preserve"> along the receive chain if a very large interfering signal is passed</w:t>
      </w:r>
      <w:r w:rsidR="009061E8">
        <w:rPr>
          <w:lang w:val="en-US"/>
        </w:rPr>
        <w:t xml:space="preserve"> alongside a relatively smaller wanted signal.  </w:t>
      </w:r>
      <w:r w:rsidR="00FA4741">
        <w:rPr>
          <w:lang w:val="en-US"/>
        </w:rPr>
        <w:t xml:space="preserve">In the baseband, there is </w:t>
      </w:r>
      <w:r w:rsidR="009061E8">
        <w:rPr>
          <w:lang w:val="en-US"/>
        </w:rPr>
        <w:t xml:space="preserve">noise due to FFT leakage since the ACS is assumed to be </w:t>
      </w:r>
      <w:r w:rsidR="00105FBF">
        <w:rPr>
          <w:lang w:val="en-US"/>
        </w:rPr>
        <w:t>asynchronous with respect to the FFT grid</w:t>
      </w:r>
      <w:r w:rsidR="00970386">
        <w:rPr>
          <w:lang w:val="en-US"/>
        </w:rPr>
        <w:t xml:space="preserve"> of the wanted signal</w:t>
      </w:r>
      <w:r w:rsidR="00B71C4A">
        <w:rPr>
          <w:lang w:val="en-US"/>
        </w:rPr>
        <w:t xml:space="preserve">.  </w:t>
      </w:r>
      <w:r w:rsidR="00DD0242">
        <w:rPr>
          <w:lang w:val="en-US"/>
        </w:rPr>
        <w:t xml:space="preserve">These individual noise sources are assumed to be uncorrelated and therefore summed together in linear domain to form the composite noise term in the SNR calculation.  </w:t>
      </w:r>
      <w:r w:rsidR="009018EA">
        <w:rPr>
          <w:lang w:val="en-US"/>
        </w:rPr>
        <w:t xml:space="preserve">  </w:t>
      </w:r>
    </w:p>
    <w:p w14:paraId="15F4F0CB" w14:textId="392F6A61" w:rsidR="00F0623C" w:rsidRDefault="00C30424" w:rsidP="00750D8F">
      <w:pPr>
        <w:rPr>
          <w:lang w:val="en-US"/>
        </w:rPr>
      </w:pPr>
      <w:r>
        <w:rPr>
          <w:lang w:val="en-US"/>
        </w:rPr>
        <w:t xml:space="preserve">The conventional LTE </w:t>
      </w:r>
      <w:r w:rsidR="00C92E3B">
        <w:rPr>
          <w:lang w:val="en-US"/>
        </w:rPr>
        <w:t xml:space="preserve">Case 1 </w:t>
      </w:r>
      <w:r>
        <w:rPr>
          <w:lang w:val="en-US"/>
        </w:rPr>
        <w:t xml:space="preserve">ACS is first evaluated.  </w:t>
      </w:r>
      <w:r w:rsidR="009B1B5B">
        <w:rPr>
          <w:lang w:val="en-US"/>
        </w:rPr>
        <w:t>In addition to the LTE ACS parameters as specified in 36.101, t</w:t>
      </w:r>
      <w:r w:rsidR="00F0623C">
        <w:rPr>
          <w:lang w:val="en-US"/>
        </w:rPr>
        <w:t>he following assumptions are made</w:t>
      </w:r>
    </w:p>
    <w:tbl>
      <w:tblPr>
        <w:tblStyle w:val="TableGrid"/>
        <w:tblW w:w="0" w:type="auto"/>
        <w:tblInd w:w="1615" w:type="dxa"/>
        <w:tblLook w:val="04A0" w:firstRow="1" w:lastRow="0" w:firstColumn="1" w:lastColumn="0" w:noHBand="0" w:noVBand="1"/>
      </w:tblPr>
      <w:tblGrid>
        <w:gridCol w:w="3195"/>
        <w:gridCol w:w="1665"/>
      </w:tblGrid>
      <w:tr w:rsidR="009B1B5B" w14:paraId="59543ECF" w14:textId="77777777" w:rsidTr="009B1B5B">
        <w:tc>
          <w:tcPr>
            <w:tcW w:w="3195" w:type="dxa"/>
          </w:tcPr>
          <w:p w14:paraId="4261B5A5" w14:textId="76B5BBDF" w:rsidR="009B1B5B" w:rsidRDefault="009B1B5B" w:rsidP="00750D8F">
            <w:pPr>
              <w:rPr>
                <w:lang w:val="en-US"/>
              </w:rPr>
            </w:pPr>
            <w:proofErr w:type="spellStart"/>
            <w:r>
              <w:rPr>
                <w:lang w:val="en-US"/>
              </w:rPr>
              <w:t>Demod</w:t>
            </w:r>
            <w:proofErr w:type="spellEnd"/>
            <w:r>
              <w:rPr>
                <w:lang w:val="en-US"/>
              </w:rPr>
              <w:t xml:space="preserve"> SNR required</w:t>
            </w:r>
          </w:p>
        </w:tc>
        <w:tc>
          <w:tcPr>
            <w:tcW w:w="1665" w:type="dxa"/>
          </w:tcPr>
          <w:p w14:paraId="39825DC6" w14:textId="6C379343" w:rsidR="009B1B5B" w:rsidRDefault="009B1B5B" w:rsidP="00750D8F">
            <w:pPr>
              <w:rPr>
                <w:lang w:val="en-US"/>
              </w:rPr>
            </w:pPr>
            <w:r>
              <w:rPr>
                <w:lang w:val="en-US"/>
              </w:rPr>
              <w:t>-1 dB</w:t>
            </w:r>
          </w:p>
        </w:tc>
      </w:tr>
      <w:tr w:rsidR="009B1B5B" w14:paraId="5C3CF242" w14:textId="77777777" w:rsidTr="009B1B5B">
        <w:tc>
          <w:tcPr>
            <w:tcW w:w="3195" w:type="dxa"/>
          </w:tcPr>
          <w:p w14:paraId="0FFA68CA" w14:textId="4324C852" w:rsidR="009B1B5B" w:rsidRDefault="009B1B5B" w:rsidP="00750D8F">
            <w:pPr>
              <w:rPr>
                <w:lang w:val="en-US"/>
              </w:rPr>
            </w:pPr>
            <w:r>
              <w:rPr>
                <w:lang w:val="en-US"/>
              </w:rPr>
              <w:t xml:space="preserve">ACS filter </w:t>
            </w:r>
            <w:r w:rsidR="00A872C5">
              <w:rPr>
                <w:lang w:val="en-US"/>
              </w:rPr>
              <w:t>attenuation</w:t>
            </w:r>
          </w:p>
        </w:tc>
        <w:tc>
          <w:tcPr>
            <w:tcW w:w="1665" w:type="dxa"/>
          </w:tcPr>
          <w:p w14:paraId="1492BBD7" w14:textId="009A6DAC" w:rsidR="009B1B5B" w:rsidRDefault="009B1B5B" w:rsidP="00750D8F">
            <w:pPr>
              <w:rPr>
                <w:lang w:val="en-US"/>
              </w:rPr>
            </w:pPr>
            <w:r>
              <w:rPr>
                <w:lang w:val="en-US"/>
              </w:rPr>
              <w:t>33 dB</w:t>
            </w:r>
          </w:p>
        </w:tc>
      </w:tr>
      <w:tr w:rsidR="00871D97" w14:paraId="640FD33A" w14:textId="77777777" w:rsidTr="009B1B5B">
        <w:tc>
          <w:tcPr>
            <w:tcW w:w="3195" w:type="dxa"/>
          </w:tcPr>
          <w:p w14:paraId="13BB9B99" w14:textId="5B305025" w:rsidR="00871D97" w:rsidRDefault="00871D97" w:rsidP="00750D8F">
            <w:pPr>
              <w:rPr>
                <w:lang w:val="en-US"/>
              </w:rPr>
            </w:pPr>
            <w:r>
              <w:rPr>
                <w:lang w:val="en-US"/>
              </w:rPr>
              <w:t>Receiver channel bandwidth</w:t>
            </w:r>
          </w:p>
        </w:tc>
        <w:tc>
          <w:tcPr>
            <w:tcW w:w="1665" w:type="dxa"/>
          </w:tcPr>
          <w:p w14:paraId="1F4CE592" w14:textId="2402DBFD" w:rsidR="00871D97" w:rsidRDefault="00871D97" w:rsidP="00750D8F">
            <w:pPr>
              <w:rPr>
                <w:lang w:val="en-US"/>
              </w:rPr>
            </w:pPr>
            <w:r>
              <w:rPr>
                <w:lang w:val="en-US"/>
              </w:rPr>
              <w:t>10 MHz</w:t>
            </w:r>
          </w:p>
        </w:tc>
      </w:tr>
      <w:tr w:rsidR="009B1B5B" w14:paraId="6523E895" w14:textId="77777777" w:rsidTr="009B1B5B">
        <w:tc>
          <w:tcPr>
            <w:tcW w:w="3195" w:type="dxa"/>
          </w:tcPr>
          <w:p w14:paraId="2926AEEF" w14:textId="69F9E8F0" w:rsidR="009B1B5B" w:rsidRDefault="009B1B5B" w:rsidP="00750D8F">
            <w:pPr>
              <w:rPr>
                <w:lang w:val="en-US"/>
              </w:rPr>
            </w:pPr>
            <w:r>
              <w:rPr>
                <w:lang w:val="en-US"/>
              </w:rPr>
              <w:t>Interferer ACLR</w:t>
            </w:r>
          </w:p>
        </w:tc>
        <w:tc>
          <w:tcPr>
            <w:tcW w:w="1665" w:type="dxa"/>
          </w:tcPr>
          <w:p w14:paraId="4C11E250" w14:textId="4703F657" w:rsidR="009B1B5B" w:rsidRDefault="009B1B5B" w:rsidP="00750D8F">
            <w:pPr>
              <w:rPr>
                <w:lang w:val="en-US"/>
              </w:rPr>
            </w:pPr>
            <w:r>
              <w:rPr>
                <w:lang w:val="en-US"/>
              </w:rPr>
              <w:t>45 dB</w:t>
            </w:r>
          </w:p>
        </w:tc>
      </w:tr>
      <w:tr w:rsidR="009B1B5B" w14:paraId="5863A19B" w14:textId="77777777" w:rsidTr="009B1B5B">
        <w:tc>
          <w:tcPr>
            <w:tcW w:w="3195" w:type="dxa"/>
          </w:tcPr>
          <w:p w14:paraId="2D9E8DF2" w14:textId="6DD4A97C" w:rsidR="009B1B5B" w:rsidRDefault="009B1B5B" w:rsidP="00750D8F">
            <w:pPr>
              <w:rPr>
                <w:lang w:val="en-US"/>
              </w:rPr>
            </w:pPr>
            <w:r>
              <w:rPr>
                <w:lang w:val="en-US"/>
              </w:rPr>
              <w:t>Implementation margin</w:t>
            </w:r>
          </w:p>
        </w:tc>
        <w:tc>
          <w:tcPr>
            <w:tcW w:w="1665" w:type="dxa"/>
          </w:tcPr>
          <w:p w14:paraId="36B85362" w14:textId="6E03BA9D" w:rsidR="009B1B5B" w:rsidRDefault="009B1B5B" w:rsidP="00750D8F">
            <w:pPr>
              <w:rPr>
                <w:lang w:val="en-US"/>
              </w:rPr>
            </w:pPr>
            <w:r>
              <w:rPr>
                <w:lang w:val="en-US"/>
              </w:rPr>
              <w:t>2.5 dB</w:t>
            </w:r>
          </w:p>
        </w:tc>
      </w:tr>
    </w:tbl>
    <w:p w14:paraId="5BC2C6FE" w14:textId="4C6BEBBE" w:rsidR="00F0623C" w:rsidRDefault="00F0623C" w:rsidP="00750D8F">
      <w:pPr>
        <w:rPr>
          <w:lang w:val="en-US"/>
        </w:rPr>
      </w:pPr>
    </w:p>
    <w:p w14:paraId="2A69CE23" w14:textId="636B3084" w:rsidR="00CA34AE" w:rsidRDefault="0096258D" w:rsidP="00750D8F">
      <w:pPr>
        <w:rPr>
          <w:lang w:val="en-US"/>
        </w:rPr>
      </w:pPr>
      <w:r>
        <w:rPr>
          <w:lang w:val="en-US"/>
        </w:rPr>
        <w:t>In addition to the above, the FFT leakage</w:t>
      </w:r>
      <w:r w:rsidR="00C62112">
        <w:rPr>
          <w:lang w:val="en-US"/>
        </w:rPr>
        <w:t xml:space="preserve"> is calculated b</w:t>
      </w:r>
      <w:r w:rsidR="00267879">
        <w:rPr>
          <w:lang w:val="en-US"/>
        </w:rPr>
        <w:t xml:space="preserve">y summing </w:t>
      </w:r>
      <w:r w:rsidR="00035208">
        <w:rPr>
          <w:lang w:val="en-US"/>
        </w:rPr>
        <w:t>SCS</w:t>
      </w:r>
      <w:r w:rsidR="00970386">
        <w:rPr>
          <w:lang w:val="en-US"/>
        </w:rPr>
        <w:t>-</w:t>
      </w:r>
      <w:r w:rsidR="00267879">
        <w:rPr>
          <w:lang w:val="en-US"/>
        </w:rPr>
        <w:t xml:space="preserve">spaced samples </w:t>
      </w:r>
      <w:r w:rsidR="009708E1">
        <w:rPr>
          <w:lang w:val="en-US"/>
        </w:rPr>
        <w:t xml:space="preserve">offset by </w:t>
      </w:r>
      <w:r w:rsidR="0012708B">
        <w:rPr>
          <w:lang w:val="en-US"/>
        </w:rPr>
        <w:t>one half SCS</w:t>
      </w:r>
      <w:r w:rsidR="009708E1">
        <w:rPr>
          <w:lang w:val="en-US"/>
        </w:rPr>
        <w:t xml:space="preserve"> </w:t>
      </w:r>
      <w:r w:rsidR="00267879">
        <w:rPr>
          <w:lang w:val="en-US"/>
        </w:rPr>
        <w:t xml:space="preserve">of </w:t>
      </w:r>
      <w:r w:rsidR="00C841FA">
        <w:rPr>
          <w:lang w:val="en-US"/>
        </w:rPr>
        <w:t>the</w:t>
      </w:r>
      <w:r w:rsidR="00C62112">
        <w:rPr>
          <w:lang w:val="en-US"/>
        </w:rPr>
        <w:t xml:space="preserve"> </w:t>
      </w:r>
      <w:proofErr w:type="spellStart"/>
      <w:r w:rsidR="00C62112">
        <w:rPr>
          <w:lang w:val="en-US"/>
        </w:rPr>
        <w:t>sinc</w:t>
      </w:r>
      <w:proofErr w:type="spellEnd"/>
      <w:r w:rsidR="00C62112">
        <w:rPr>
          <w:lang w:val="en-US"/>
        </w:rPr>
        <w:t xml:space="preserve"> function response</w:t>
      </w:r>
      <w:r w:rsidR="00C841FA">
        <w:rPr>
          <w:lang w:val="en-US"/>
        </w:rPr>
        <w:t xml:space="preserve"> for a rectangularly windowed FFT.  </w:t>
      </w:r>
      <w:r w:rsidR="00BD3299">
        <w:rPr>
          <w:lang w:val="en-US"/>
        </w:rPr>
        <w:t xml:space="preserve">These samples </w:t>
      </w:r>
      <w:r w:rsidR="0047214E">
        <w:rPr>
          <w:lang w:val="en-US"/>
        </w:rPr>
        <w:t xml:space="preserve">are used as a weighting function to the adjacent channel interferer after ACS filter </w:t>
      </w:r>
      <w:r w:rsidR="00A872C5">
        <w:rPr>
          <w:lang w:val="en-US"/>
        </w:rPr>
        <w:t>attenuation</w:t>
      </w:r>
      <w:r w:rsidR="0047214E">
        <w:rPr>
          <w:lang w:val="en-US"/>
        </w:rPr>
        <w:t xml:space="preserve"> </w:t>
      </w:r>
      <w:r w:rsidR="009708E1">
        <w:rPr>
          <w:lang w:val="en-US"/>
        </w:rPr>
        <w:t xml:space="preserve">is applied.  </w:t>
      </w:r>
      <w:r w:rsidR="00C841FA">
        <w:rPr>
          <w:lang w:val="en-US"/>
        </w:rPr>
        <w:t xml:space="preserve">A guard band is </w:t>
      </w:r>
      <w:r w:rsidR="00227FC3">
        <w:rPr>
          <w:lang w:val="en-US"/>
        </w:rPr>
        <w:t>assumed according to 90% spectral occupancy for LTE in both the 10 MHz wanted signal and the 5 MHz adjacent channel interferer</w:t>
      </w:r>
      <w:r w:rsidR="00747645">
        <w:rPr>
          <w:lang w:val="en-US"/>
        </w:rPr>
        <w:t xml:space="preserve"> </w:t>
      </w:r>
      <w:r w:rsidR="006B468A">
        <w:rPr>
          <w:lang w:val="en-US"/>
        </w:rPr>
        <w:t>–</w:t>
      </w:r>
      <w:r w:rsidR="00747645">
        <w:rPr>
          <w:lang w:val="en-US"/>
        </w:rPr>
        <w:t xml:space="preserve"> </w:t>
      </w:r>
      <w:r w:rsidR="006B468A">
        <w:rPr>
          <w:lang w:val="en-US"/>
        </w:rPr>
        <w:t xml:space="preserve">for example, </w:t>
      </w:r>
      <w:r w:rsidR="00A243DC">
        <w:rPr>
          <w:lang w:val="en-US"/>
        </w:rPr>
        <w:t>7</w:t>
      </w:r>
      <w:r w:rsidR="006B468A">
        <w:rPr>
          <w:lang w:val="en-US"/>
        </w:rPr>
        <w:t xml:space="preserve">50 kHz </w:t>
      </w:r>
      <w:r w:rsidR="00453A90">
        <w:rPr>
          <w:lang w:val="en-US"/>
        </w:rPr>
        <w:t xml:space="preserve">guard band </w:t>
      </w:r>
      <w:r w:rsidR="006B468A">
        <w:rPr>
          <w:lang w:val="en-US"/>
        </w:rPr>
        <w:t xml:space="preserve">for </w:t>
      </w:r>
      <w:r w:rsidR="00453A90">
        <w:rPr>
          <w:lang w:val="en-US"/>
        </w:rPr>
        <w:t xml:space="preserve">the </w:t>
      </w:r>
      <w:r w:rsidR="00A243DC">
        <w:rPr>
          <w:lang w:val="en-US"/>
        </w:rPr>
        <w:t>10</w:t>
      </w:r>
      <w:r w:rsidR="006B468A">
        <w:rPr>
          <w:lang w:val="en-US"/>
        </w:rPr>
        <w:t xml:space="preserve"> MHz wanted and 5 MHz ACS interferer</w:t>
      </w:r>
      <w:r w:rsidR="004B4370">
        <w:rPr>
          <w:lang w:val="en-US"/>
        </w:rPr>
        <w:t xml:space="preserve">.  </w:t>
      </w:r>
      <w:r w:rsidR="00924E91">
        <w:rPr>
          <w:lang w:val="en-US"/>
        </w:rPr>
        <w:t xml:space="preserve">The total noise was </w:t>
      </w:r>
      <w:r w:rsidR="00970386">
        <w:rPr>
          <w:lang w:val="en-US"/>
        </w:rPr>
        <w:t>computed</w:t>
      </w:r>
      <w:r w:rsidR="00924E91">
        <w:rPr>
          <w:lang w:val="en-US"/>
        </w:rPr>
        <w:t xml:space="preserve"> </w:t>
      </w:r>
      <w:r w:rsidR="006D6BC5">
        <w:rPr>
          <w:lang w:val="en-US"/>
        </w:rPr>
        <w:t>to meet the in-channel SNR for 95% throughpu</w:t>
      </w:r>
      <w:r w:rsidR="00504A46">
        <w:rPr>
          <w:lang w:val="en-US"/>
        </w:rPr>
        <w:t>t according to the QPSK R=1/3 MCS</w:t>
      </w:r>
      <w:r w:rsidR="00E358C0">
        <w:rPr>
          <w:lang w:val="en-US"/>
        </w:rPr>
        <w:t xml:space="preserve"> used for </w:t>
      </w:r>
      <w:r w:rsidR="00970386">
        <w:rPr>
          <w:lang w:val="en-US"/>
        </w:rPr>
        <w:t xml:space="preserve">2 Rx </w:t>
      </w:r>
      <w:r w:rsidR="00E358C0">
        <w:rPr>
          <w:lang w:val="en-US"/>
        </w:rPr>
        <w:t>requirements</w:t>
      </w:r>
      <w:r w:rsidR="00504A46">
        <w:rPr>
          <w:lang w:val="en-US"/>
        </w:rPr>
        <w:t xml:space="preserve">.  </w:t>
      </w:r>
    </w:p>
    <w:p w14:paraId="46013C12" w14:textId="6BD15246" w:rsidR="002F36FA" w:rsidRDefault="002F36FA" w:rsidP="00750D8F">
      <w:pPr>
        <w:rPr>
          <w:lang w:val="en-US"/>
        </w:rPr>
      </w:pPr>
      <w:r>
        <w:rPr>
          <w:lang w:val="en-US"/>
        </w:rPr>
        <w:t xml:space="preserve">With this baseline established, a 6 MHz </w:t>
      </w:r>
      <w:r w:rsidR="00921544">
        <w:rPr>
          <w:lang w:val="en-US"/>
        </w:rPr>
        <w:t xml:space="preserve">wanted signal was applied while maintaining the receiver channel bandwidth at 10 </w:t>
      </w:r>
      <w:proofErr w:type="spellStart"/>
      <w:r w:rsidR="00921544">
        <w:rPr>
          <w:lang w:val="en-US"/>
        </w:rPr>
        <w:t>MHz.</w:t>
      </w:r>
      <w:proofErr w:type="spellEnd"/>
      <w:r w:rsidR="00921544">
        <w:rPr>
          <w:lang w:val="en-US"/>
        </w:rPr>
        <w:t xml:space="preserve">  A 5 MHz interfering signal</w:t>
      </w:r>
      <w:r w:rsidR="001B247D">
        <w:rPr>
          <w:lang w:val="en-US"/>
        </w:rPr>
        <w:t xml:space="preserve"> </w:t>
      </w:r>
      <w:r w:rsidR="00C8261D">
        <w:rPr>
          <w:lang w:val="en-US"/>
        </w:rPr>
        <w:t xml:space="preserve">was </w:t>
      </w:r>
      <w:r w:rsidR="001B247D">
        <w:rPr>
          <w:lang w:val="en-US"/>
        </w:rPr>
        <w:t xml:space="preserve">placed immediately adjacent to the 6 MHz </w:t>
      </w:r>
      <w:r w:rsidR="008C7E70">
        <w:rPr>
          <w:lang w:val="en-US"/>
        </w:rPr>
        <w:t xml:space="preserve">PMCH </w:t>
      </w:r>
      <w:r w:rsidR="001B247D">
        <w:rPr>
          <w:lang w:val="en-US"/>
        </w:rPr>
        <w:t>wanted signal</w:t>
      </w:r>
      <w:r w:rsidR="00F03700">
        <w:rPr>
          <w:lang w:val="en-US"/>
        </w:rPr>
        <w:t xml:space="preserve">, so partially inside the 10 MHz receive channel </w:t>
      </w:r>
      <w:r w:rsidR="001B247D">
        <w:rPr>
          <w:lang w:val="en-US"/>
        </w:rPr>
        <w:t xml:space="preserve">with </w:t>
      </w:r>
      <w:r w:rsidR="0059745F">
        <w:rPr>
          <w:lang w:val="en-US"/>
        </w:rPr>
        <w:t xml:space="preserve">an internal guard band of </w:t>
      </w:r>
      <w:r w:rsidR="008C7E70">
        <w:rPr>
          <w:lang w:val="en-US"/>
        </w:rPr>
        <w:t xml:space="preserve">approximately </w:t>
      </w:r>
      <w:r w:rsidR="0059745F">
        <w:rPr>
          <w:lang w:val="en-US"/>
        </w:rPr>
        <w:t xml:space="preserve">550 kHz between the </w:t>
      </w:r>
      <w:r w:rsidR="008C7E70">
        <w:rPr>
          <w:lang w:val="en-US"/>
        </w:rPr>
        <w:t>last RB of the wanted signal and the first RB of the interfering signal.  The interfering signal is also offset</w:t>
      </w:r>
      <w:r w:rsidR="005F0F91">
        <w:rPr>
          <w:lang w:val="en-US"/>
        </w:rPr>
        <w:t xml:space="preserve"> slightly </w:t>
      </w:r>
      <w:r w:rsidR="00705265">
        <w:rPr>
          <w:lang w:val="en-US"/>
        </w:rPr>
        <w:t xml:space="preserve">by half the SCS frequency </w:t>
      </w:r>
      <w:r w:rsidR="005F0F91">
        <w:rPr>
          <w:lang w:val="en-US"/>
        </w:rPr>
        <w:t>to maximize the FFT leakage</w:t>
      </w:r>
      <w:r w:rsidR="00192249">
        <w:rPr>
          <w:lang w:val="en-US"/>
        </w:rPr>
        <w:t xml:space="preserve">, so the </w:t>
      </w:r>
      <w:r w:rsidR="00141B43">
        <w:rPr>
          <w:lang w:val="en-US"/>
        </w:rPr>
        <w:t>center to center spacing is 5.5 + 0.0</w:t>
      </w:r>
      <w:r w:rsidR="00A773EE">
        <w:rPr>
          <w:lang w:val="en-US"/>
        </w:rPr>
        <w:t>125 MHz</w:t>
      </w:r>
      <w:r w:rsidR="00D77A34">
        <w:rPr>
          <w:lang w:val="en-US"/>
        </w:rPr>
        <w:t xml:space="preserve"> or -5.5 – 0.0125 </w:t>
      </w:r>
      <w:proofErr w:type="spellStart"/>
      <w:r w:rsidR="00D77A34">
        <w:rPr>
          <w:lang w:val="en-US"/>
        </w:rPr>
        <w:t>MHz</w:t>
      </w:r>
      <w:r w:rsidR="00035208">
        <w:rPr>
          <w:lang w:val="en-US"/>
        </w:rPr>
        <w:t>.</w:t>
      </w:r>
      <w:proofErr w:type="spellEnd"/>
      <w:r w:rsidR="00035208">
        <w:rPr>
          <w:lang w:val="en-US"/>
        </w:rPr>
        <w:t xml:space="preserve">  The </w:t>
      </w:r>
      <w:proofErr w:type="spellStart"/>
      <w:r w:rsidR="00035208">
        <w:rPr>
          <w:lang w:val="en-US"/>
        </w:rPr>
        <w:t>sinc</w:t>
      </w:r>
      <w:proofErr w:type="spellEnd"/>
      <w:r w:rsidR="00035208">
        <w:rPr>
          <w:lang w:val="en-US"/>
        </w:rPr>
        <w:t xml:space="preserve"> function is once again evaluated summing over those</w:t>
      </w:r>
      <w:r w:rsidR="00A872C5">
        <w:rPr>
          <w:lang w:val="en-US"/>
        </w:rPr>
        <w:t xml:space="preserve"> samples falling inside the channel without filter attenuation and those samples falling outside the channel with filter attenuation.</w:t>
      </w:r>
      <w:r w:rsidR="00A04991">
        <w:rPr>
          <w:lang w:val="en-US"/>
        </w:rPr>
        <w:t xml:space="preserve">  </w:t>
      </w:r>
      <w:r w:rsidR="007B4115">
        <w:rPr>
          <w:lang w:val="en-US"/>
        </w:rPr>
        <w:t>The channel filter is modeled as ideally rectangular in frequency.  T</w:t>
      </w:r>
      <w:r w:rsidR="00A04991">
        <w:rPr>
          <w:lang w:val="en-US"/>
        </w:rPr>
        <w:t xml:space="preserve">hermal noise is evaluated over the bandwidth of the signal, i.e., 6 MHz, since these are the </w:t>
      </w:r>
      <w:r w:rsidR="007B4115">
        <w:rPr>
          <w:lang w:val="en-US"/>
        </w:rPr>
        <w:t xml:space="preserve">PMCH </w:t>
      </w:r>
      <w:r w:rsidR="00A04991">
        <w:rPr>
          <w:lang w:val="en-US"/>
        </w:rPr>
        <w:t>tones to be demodulated, but the remainder of the noise terms are unchanged from the baseline</w:t>
      </w:r>
      <w:r w:rsidR="007B4115">
        <w:rPr>
          <w:lang w:val="en-US"/>
        </w:rPr>
        <w:t xml:space="preserve"> and hence are assumed not to scale with the wanted signal bandwidth but constant due to the fixed 10 MHz configured channel filter bandwidth</w:t>
      </w:r>
      <w:r w:rsidR="00A04991">
        <w:rPr>
          <w:lang w:val="en-US"/>
        </w:rPr>
        <w:t>.  The interferer power is then adjusted</w:t>
      </w:r>
      <w:r w:rsidR="00D0447F">
        <w:rPr>
          <w:lang w:val="en-US"/>
        </w:rPr>
        <w:t xml:space="preserve"> until the in-chan</w:t>
      </w:r>
      <w:r w:rsidR="007B4115">
        <w:rPr>
          <w:lang w:val="en-US"/>
        </w:rPr>
        <w:t>n</w:t>
      </w:r>
      <w:r w:rsidR="00D0447F">
        <w:rPr>
          <w:lang w:val="en-US"/>
        </w:rPr>
        <w:t xml:space="preserve">el SNR is met for 95% throughput and the </w:t>
      </w:r>
      <w:r w:rsidR="007B4115">
        <w:rPr>
          <w:lang w:val="en-US"/>
        </w:rPr>
        <w:t xml:space="preserve">resulting </w:t>
      </w:r>
      <w:r w:rsidR="00D0447F">
        <w:rPr>
          <w:lang w:val="en-US"/>
        </w:rPr>
        <w:t>ACS is determined.</w:t>
      </w:r>
    </w:p>
    <w:p w14:paraId="7A2A4296" w14:textId="5B0E4477" w:rsidR="00D0447F" w:rsidRDefault="00D0447F" w:rsidP="00750D8F">
      <w:pPr>
        <w:rPr>
          <w:lang w:val="en-US"/>
        </w:rPr>
      </w:pPr>
      <w:r>
        <w:rPr>
          <w:lang w:val="en-US"/>
        </w:rPr>
        <w:t xml:space="preserve">With this approach, </w:t>
      </w:r>
      <w:r w:rsidR="00900B16">
        <w:rPr>
          <w:lang w:val="en-US"/>
        </w:rPr>
        <w:t>the following results were obtained</w:t>
      </w:r>
    </w:p>
    <w:p w14:paraId="081C24AA" w14:textId="16626C90" w:rsidR="00C92E3B" w:rsidRDefault="00C92E3B" w:rsidP="00C92E3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5G broadcast ACS requirement for Case 1 power levels.</w:t>
      </w:r>
    </w:p>
    <w:tbl>
      <w:tblPr>
        <w:tblStyle w:val="TableGrid"/>
        <w:tblW w:w="0" w:type="auto"/>
        <w:jc w:val="center"/>
        <w:tblLook w:val="04A0" w:firstRow="1" w:lastRow="0" w:firstColumn="1" w:lastColumn="0" w:noHBand="0" w:noVBand="1"/>
      </w:tblPr>
      <w:tblGrid>
        <w:gridCol w:w="1525"/>
        <w:gridCol w:w="2165"/>
        <w:gridCol w:w="1975"/>
        <w:gridCol w:w="1440"/>
      </w:tblGrid>
      <w:tr w:rsidR="009779F0" w14:paraId="439C28DA" w14:textId="77777777" w:rsidTr="00900B16">
        <w:trPr>
          <w:jc w:val="center"/>
        </w:trPr>
        <w:tc>
          <w:tcPr>
            <w:tcW w:w="1525" w:type="dxa"/>
          </w:tcPr>
          <w:p w14:paraId="46F85714" w14:textId="51B6D00F" w:rsidR="009779F0" w:rsidRPr="00900B16" w:rsidRDefault="009779F0" w:rsidP="00750D8F">
            <w:pPr>
              <w:rPr>
                <w:lang w:val="en-US"/>
              </w:rPr>
            </w:pPr>
            <w:r w:rsidRPr="00900B16">
              <w:rPr>
                <w:lang w:val="en-US"/>
              </w:rPr>
              <w:t>Channelization</w:t>
            </w:r>
          </w:p>
        </w:tc>
        <w:tc>
          <w:tcPr>
            <w:tcW w:w="2165" w:type="dxa"/>
          </w:tcPr>
          <w:p w14:paraId="41C5EEE2" w14:textId="5269CB99" w:rsidR="009779F0" w:rsidRPr="00900B16" w:rsidRDefault="009779F0" w:rsidP="00750D8F">
            <w:pPr>
              <w:rPr>
                <w:rFonts w:eastAsia="MS Mincho" w:cs="Arial"/>
                <w:bCs/>
              </w:rPr>
            </w:pPr>
            <w:r w:rsidRPr="00900B16">
              <w:rPr>
                <w:rFonts w:eastAsia="MS Mincho" w:cs="Arial"/>
                <w:bCs/>
              </w:rPr>
              <w:t>Power in transmission bandwidth configuration</w:t>
            </w:r>
          </w:p>
        </w:tc>
        <w:tc>
          <w:tcPr>
            <w:tcW w:w="1975" w:type="dxa"/>
          </w:tcPr>
          <w:p w14:paraId="78A20171" w14:textId="2C04733E" w:rsidR="009779F0" w:rsidRPr="00900B16" w:rsidRDefault="009779F0" w:rsidP="00750D8F">
            <w:pPr>
              <w:rPr>
                <w:lang w:val="en-US"/>
              </w:rPr>
            </w:pPr>
            <w:proofErr w:type="spellStart"/>
            <w:r w:rsidRPr="00900B16">
              <w:rPr>
                <w:rFonts w:eastAsia="MS Mincho" w:cs="Arial"/>
                <w:bCs/>
              </w:rPr>
              <w:t>P</w:t>
            </w:r>
            <w:r w:rsidRPr="00900B16">
              <w:rPr>
                <w:rFonts w:eastAsia="MS Mincho" w:cs="Arial"/>
                <w:bCs/>
                <w:vertAlign w:val="subscript"/>
              </w:rPr>
              <w:t>Interferer</w:t>
            </w:r>
            <w:proofErr w:type="spellEnd"/>
          </w:p>
        </w:tc>
        <w:tc>
          <w:tcPr>
            <w:tcW w:w="1440" w:type="dxa"/>
          </w:tcPr>
          <w:p w14:paraId="40316FD6" w14:textId="4B4D8988" w:rsidR="009779F0" w:rsidRPr="00900B16" w:rsidRDefault="009779F0" w:rsidP="00750D8F">
            <w:pPr>
              <w:rPr>
                <w:lang w:val="en-US"/>
              </w:rPr>
            </w:pPr>
            <w:r w:rsidRPr="00900B16">
              <w:rPr>
                <w:lang w:val="en-US"/>
              </w:rPr>
              <w:t>ACS</w:t>
            </w:r>
          </w:p>
        </w:tc>
      </w:tr>
      <w:tr w:rsidR="009779F0" w14:paraId="0D7B01B6" w14:textId="77777777" w:rsidTr="00900B16">
        <w:trPr>
          <w:jc w:val="center"/>
        </w:trPr>
        <w:tc>
          <w:tcPr>
            <w:tcW w:w="1525" w:type="dxa"/>
          </w:tcPr>
          <w:p w14:paraId="58D8114E" w14:textId="77F44FEB" w:rsidR="009779F0" w:rsidRPr="00900B16" w:rsidRDefault="009779F0" w:rsidP="00750D8F">
            <w:pPr>
              <w:rPr>
                <w:lang w:val="en-US"/>
              </w:rPr>
            </w:pPr>
            <w:r w:rsidRPr="00900B16">
              <w:rPr>
                <w:lang w:val="en-US"/>
              </w:rPr>
              <w:t>10 MHz</w:t>
            </w:r>
            <w:r w:rsidR="007B4115">
              <w:rPr>
                <w:lang w:val="en-US"/>
              </w:rPr>
              <w:t xml:space="preserve"> (baseline)</w:t>
            </w:r>
          </w:p>
        </w:tc>
        <w:tc>
          <w:tcPr>
            <w:tcW w:w="2165" w:type="dxa"/>
          </w:tcPr>
          <w:p w14:paraId="7E436AF7" w14:textId="49699F4F" w:rsidR="009779F0" w:rsidRPr="00900B16" w:rsidRDefault="009779F0" w:rsidP="00750D8F">
            <w:pPr>
              <w:rPr>
                <w:lang w:val="en-US"/>
              </w:rPr>
            </w:pPr>
            <w:r w:rsidRPr="00900B16">
              <w:rPr>
                <w:lang w:val="en-US"/>
              </w:rPr>
              <w:t>REFSENS + 14 dB</w:t>
            </w:r>
          </w:p>
        </w:tc>
        <w:tc>
          <w:tcPr>
            <w:tcW w:w="1975" w:type="dxa"/>
          </w:tcPr>
          <w:p w14:paraId="20AD04C4" w14:textId="138F5D6A" w:rsidR="009779F0" w:rsidRPr="00900B16" w:rsidRDefault="009779F0" w:rsidP="00750D8F">
            <w:pPr>
              <w:rPr>
                <w:lang w:val="en-US"/>
              </w:rPr>
            </w:pPr>
            <w:r w:rsidRPr="00900B16">
              <w:rPr>
                <w:lang w:val="en-US"/>
              </w:rPr>
              <w:t>REFSENS + 45.5</w:t>
            </w:r>
          </w:p>
        </w:tc>
        <w:tc>
          <w:tcPr>
            <w:tcW w:w="1440" w:type="dxa"/>
          </w:tcPr>
          <w:p w14:paraId="741CBC91" w14:textId="1E4037E5" w:rsidR="009779F0" w:rsidRPr="00900B16" w:rsidRDefault="009779F0" w:rsidP="00750D8F">
            <w:pPr>
              <w:rPr>
                <w:lang w:val="en-US"/>
              </w:rPr>
            </w:pPr>
            <w:r w:rsidRPr="00900B16">
              <w:rPr>
                <w:lang w:val="en-US"/>
              </w:rPr>
              <w:t>33 dB</w:t>
            </w:r>
          </w:p>
        </w:tc>
      </w:tr>
      <w:tr w:rsidR="00D40A2A" w14:paraId="67625BC8" w14:textId="77777777" w:rsidTr="00900B16">
        <w:trPr>
          <w:jc w:val="center"/>
        </w:trPr>
        <w:tc>
          <w:tcPr>
            <w:tcW w:w="1525" w:type="dxa"/>
            <w:shd w:val="clear" w:color="auto" w:fill="auto"/>
          </w:tcPr>
          <w:p w14:paraId="42FD607C" w14:textId="749D69D2" w:rsidR="00D40A2A" w:rsidRPr="00900B16" w:rsidRDefault="00D40A2A" w:rsidP="00D40A2A">
            <w:pPr>
              <w:rPr>
                <w:lang w:val="en-US"/>
              </w:rPr>
            </w:pPr>
            <w:r w:rsidRPr="00900B16">
              <w:rPr>
                <w:lang w:val="en-US"/>
              </w:rPr>
              <w:t>6 MHz</w:t>
            </w:r>
          </w:p>
        </w:tc>
        <w:tc>
          <w:tcPr>
            <w:tcW w:w="2165" w:type="dxa"/>
            <w:shd w:val="clear" w:color="auto" w:fill="auto"/>
          </w:tcPr>
          <w:p w14:paraId="47C6BC2C" w14:textId="49A0EDE4" w:rsidR="00D40A2A" w:rsidRPr="00900B16" w:rsidRDefault="00D40A2A" w:rsidP="00D40A2A">
            <w:pPr>
              <w:rPr>
                <w:lang w:val="en-US"/>
              </w:rPr>
            </w:pPr>
            <w:r w:rsidRPr="00900B16">
              <w:rPr>
                <w:lang w:val="en-US"/>
              </w:rPr>
              <w:t>REFSENS + 14 dB</w:t>
            </w:r>
          </w:p>
        </w:tc>
        <w:tc>
          <w:tcPr>
            <w:tcW w:w="1975" w:type="dxa"/>
            <w:shd w:val="clear" w:color="auto" w:fill="auto"/>
          </w:tcPr>
          <w:p w14:paraId="7E080B64" w14:textId="4354F60C" w:rsidR="00D40A2A" w:rsidRPr="00900B16" w:rsidRDefault="00D40A2A" w:rsidP="00D40A2A">
            <w:pPr>
              <w:rPr>
                <w:lang w:val="en-US"/>
              </w:rPr>
            </w:pPr>
            <w:r w:rsidRPr="00900B16">
              <w:rPr>
                <w:lang w:val="en-US"/>
              </w:rPr>
              <w:t xml:space="preserve">REFSENS + </w:t>
            </w:r>
            <w:r w:rsidR="00D11E5D" w:rsidRPr="00900B16">
              <w:rPr>
                <w:lang w:val="en-US"/>
              </w:rPr>
              <w:t>28</w:t>
            </w:r>
            <w:r w:rsidRPr="00900B16">
              <w:rPr>
                <w:lang w:val="en-US"/>
              </w:rPr>
              <w:t>.5</w:t>
            </w:r>
          </w:p>
        </w:tc>
        <w:tc>
          <w:tcPr>
            <w:tcW w:w="1440" w:type="dxa"/>
            <w:shd w:val="clear" w:color="auto" w:fill="auto"/>
          </w:tcPr>
          <w:p w14:paraId="0D6B45D3" w14:textId="3F821FBA" w:rsidR="00D40A2A" w:rsidRPr="00900B16" w:rsidRDefault="00D40A2A" w:rsidP="00D40A2A">
            <w:pPr>
              <w:rPr>
                <w:lang w:val="en-US"/>
              </w:rPr>
            </w:pPr>
            <w:r w:rsidRPr="00900B16">
              <w:rPr>
                <w:lang w:val="en-US"/>
              </w:rPr>
              <w:t>16 dB</w:t>
            </w:r>
          </w:p>
        </w:tc>
      </w:tr>
      <w:tr w:rsidR="00D40A2A" w14:paraId="35873F60" w14:textId="77777777" w:rsidTr="00900B16">
        <w:trPr>
          <w:jc w:val="center"/>
        </w:trPr>
        <w:tc>
          <w:tcPr>
            <w:tcW w:w="1525" w:type="dxa"/>
            <w:shd w:val="clear" w:color="auto" w:fill="auto"/>
          </w:tcPr>
          <w:p w14:paraId="43680756" w14:textId="19A3CECF" w:rsidR="00D40A2A" w:rsidRPr="00900B16" w:rsidRDefault="00D40A2A" w:rsidP="00D40A2A">
            <w:pPr>
              <w:rPr>
                <w:lang w:val="en-US"/>
              </w:rPr>
            </w:pPr>
            <w:r w:rsidRPr="00900B16">
              <w:rPr>
                <w:lang w:val="en-US"/>
              </w:rPr>
              <w:t>7 MHz</w:t>
            </w:r>
          </w:p>
        </w:tc>
        <w:tc>
          <w:tcPr>
            <w:tcW w:w="2165" w:type="dxa"/>
            <w:shd w:val="clear" w:color="auto" w:fill="auto"/>
          </w:tcPr>
          <w:p w14:paraId="451687E9" w14:textId="3DD31BCB" w:rsidR="00D40A2A" w:rsidRPr="00900B16" w:rsidRDefault="00D40A2A" w:rsidP="00D40A2A">
            <w:pPr>
              <w:rPr>
                <w:lang w:val="en-US"/>
              </w:rPr>
            </w:pPr>
            <w:r w:rsidRPr="00900B16">
              <w:rPr>
                <w:lang w:val="en-US"/>
              </w:rPr>
              <w:t>REFSENS + 14 dB</w:t>
            </w:r>
          </w:p>
        </w:tc>
        <w:tc>
          <w:tcPr>
            <w:tcW w:w="1975" w:type="dxa"/>
            <w:shd w:val="clear" w:color="auto" w:fill="auto"/>
          </w:tcPr>
          <w:p w14:paraId="5F3CB500" w14:textId="0D9A0E0A" w:rsidR="00D40A2A" w:rsidRPr="00900B16" w:rsidRDefault="00D40A2A" w:rsidP="00D40A2A">
            <w:pPr>
              <w:rPr>
                <w:lang w:val="en-US"/>
              </w:rPr>
            </w:pPr>
            <w:r w:rsidRPr="00900B16">
              <w:rPr>
                <w:lang w:val="en-US"/>
              </w:rPr>
              <w:t>REFSENS + 30.0</w:t>
            </w:r>
          </w:p>
        </w:tc>
        <w:tc>
          <w:tcPr>
            <w:tcW w:w="1440" w:type="dxa"/>
            <w:shd w:val="clear" w:color="auto" w:fill="auto"/>
          </w:tcPr>
          <w:p w14:paraId="08EE3581" w14:textId="13B699F3" w:rsidR="00D40A2A" w:rsidRPr="00900B16" w:rsidRDefault="00D40A2A" w:rsidP="00D40A2A">
            <w:pPr>
              <w:rPr>
                <w:lang w:val="en-US"/>
              </w:rPr>
            </w:pPr>
            <w:r w:rsidRPr="00900B16">
              <w:rPr>
                <w:lang w:val="en-US"/>
              </w:rPr>
              <w:t>17.5 dB</w:t>
            </w:r>
          </w:p>
        </w:tc>
      </w:tr>
      <w:tr w:rsidR="00D40A2A" w14:paraId="632CF754" w14:textId="77777777" w:rsidTr="00900B16">
        <w:trPr>
          <w:jc w:val="center"/>
        </w:trPr>
        <w:tc>
          <w:tcPr>
            <w:tcW w:w="1525" w:type="dxa"/>
            <w:shd w:val="clear" w:color="auto" w:fill="auto"/>
          </w:tcPr>
          <w:p w14:paraId="2097117B" w14:textId="28AF5CBA" w:rsidR="00D40A2A" w:rsidRPr="00900B16" w:rsidRDefault="00D40A2A" w:rsidP="00D40A2A">
            <w:pPr>
              <w:rPr>
                <w:lang w:val="en-US"/>
              </w:rPr>
            </w:pPr>
            <w:r w:rsidRPr="00900B16">
              <w:rPr>
                <w:lang w:val="en-US"/>
              </w:rPr>
              <w:t>8 MHz</w:t>
            </w:r>
          </w:p>
        </w:tc>
        <w:tc>
          <w:tcPr>
            <w:tcW w:w="2165" w:type="dxa"/>
            <w:shd w:val="clear" w:color="auto" w:fill="auto"/>
          </w:tcPr>
          <w:p w14:paraId="49862906" w14:textId="66DE1E06" w:rsidR="00D40A2A" w:rsidRPr="00900B16" w:rsidRDefault="00D40A2A" w:rsidP="00D40A2A">
            <w:pPr>
              <w:rPr>
                <w:lang w:val="en-US"/>
              </w:rPr>
            </w:pPr>
            <w:r w:rsidRPr="00900B16">
              <w:rPr>
                <w:lang w:val="en-US"/>
              </w:rPr>
              <w:t>REFSENS + 14 dB</w:t>
            </w:r>
          </w:p>
        </w:tc>
        <w:tc>
          <w:tcPr>
            <w:tcW w:w="1975" w:type="dxa"/>
            <w:shd w:val="clear" w:color="auto" w:fill="auto"/>
          </w:tcPr>
          <w:p w14:paraId="6447227B" w14:textId="40FDE7AC" w:rsidR="00D40A2A" w:rsidRPr="00900B16" w:rsidRDefault="00900B16" w:rsidP="00D40A2A">
            <w:pPr>
              <w:rPr>
                <w:lang w:val="en-US"/>
              </w:rPr>
            </w:pPr>
            <w:r w:rsidRPr="00900B16">
              <w:rPr>
                <w:lang w:val="en-US"/>
              </w:rPr>
              <w:t>REFSENS + 35.0</w:t>
            </w:r>
          </w:p>
        </w:tc>
        <w:tc>
          <w:tcPr>
            <w:tcW w:w="1440" w:type="dxa"/>
            <w:shd w:val="clear" w:color="auto" w:fill="auto"/>
          </w:tcPr>
          <w:p w14:paraId="5E8659B9" w14:textId="6207E773" w:rsidR="00D40A2A" w:rsidRPr="00900B16" w:rsidRDefault="00D40A2A" w:rsidP="00D40A2A">
            <w:pPr>
              <w:rPr>
                <w:lang w:val="en-US"/>
              </w:rPr>
            </w:pPr>
            <w:r w:rsidRPr="00900B16">
              <w:rPr>
                <w:lang w:val="en-US"/>
              </w:rPr>
              <w:t>22.5 dB</w:t>
            </w:r>
          </w:p>
        </w:tc>
      </w:tr>
    </w:tbl>
    <w:p w14:paraId="69AC7C34" w14:textId="77777777" w:rsidR="0041018D" w:rsidRDefault="0041018D" w:rsidP="00750D8F">
      <w:pPr>
        <w:rPr>
          <w:lang w:val="en-US"/>
        </w:rPr>
      </w:pPr>
    </w:p>
    <w:p w14:paraId="108E5C3D" w14:textId="57967997" w:rsidR="00E87A89" w:rsidRDefault="00E87A89" w:rsidP="00E87A89">
      <w:pPr>
        <w:pStyle w:val="Heading2"/>
        <w:rPr>
          <w:lang w:val="en-US"/>
        </w:rPr>
      </w:pPr>
      <w:r>
        <w:rPr>
          <w:lang w:val="en-US"/>
        </w:rPr>
        <w:lastRenderedPageBreak/>
        <w:t>In the field</w:t>
      </w:r>
    </w:p>
    <w:p w14:paraId="62B23288" w14:textId="0EA66026" w:rsidR="008964CE" w:rsidRDefault="00EF2A4F" w:rsidP="00642302">
      <w:pPr>
        <w:rPr>
          <w:lang w:val="en-US"/>
        </w:rPr>
      </w:pPr>
      <w:r>
        <w:rPr>
          <w:lang w:val="en-US"/>
        </w:rPr>
        <w:t>In the field, UE performance is necessarily better than the minimum requirement illustrated above.  The amount by which a UE exceeds the minimum requirement is entirely dependent on its implementation and a general rule</w:t>
      </w:r>
      <w:r w:rsidR="005C03EA">
        <w:rPr>
          <w:lang w:val="en-US"/>
        </w:rPr>
        <w:t xml:space="preserve"> may not be possible to derive.  Nonetheless, the above results show that </w:t>
      </w:r>
      <w:r w:rsidR="008436EC">
        <w:rPr>
          <w:lang w:val="en-US"/>
        </w:rPr>
        <w:t xml:space="preserve">if broadcast channels are fully packed in the same geographical region, it is </w:t>
      </w:r>
      <w:r w:rsidR="008257A8">
        <w:rPr>
          <w:lang w:val="en-US"/>
        </w:rPr>
        <w:t>highly desirable</w:t>
      </w:r>
      <w:r w:rsidR="008436EC">
        <w:rPr>
          <w:lang w:val="en-US"/>
        </w:rPr>
        <w:t xml:space="preserve"> that the broadcast towers are co-located </w:t>
      </w:r>
      <w:r w:rsidR="00813DAD">
        <w:rPr>
          <w:lang w:val="en-US"/>
        </w:rPr>
        <w:t xml:space="preserve">and transmit powers normalized </w:t>
      </w:r>
      <w:r w:rsidR="008436EC">
        <w:rPr>
          <w:lang w:val="en-US"/>
        </w:rPr>
        <w:t xml:space="preserve">to minimize the </w:t>
      </w:r>
      <w:r w:rsidR="00813DAD">
        <w:rPr>
          <w:lang w:val="en-US"/>
        </w:rPr>
        <w:t xml:space="preserve">mismatch in receive power at the UE in adjacent channels.  </w:t>
      </w:r>
      <w:r w:rsidR="007B3BF7">
        <w:rPr>
          <w:lang w:val="en-US"/>
        </w:rPr>
        <w:t xml:space="preserve">Even then, non-zero power mismatch might be observed due to </w:t>
      </w:r>
      <w:r w:rsidR="007964C8">
        <w:rPr>
          <w:lang w:val="en-US"/>
        </w:rPr>
        <w:t xml:space="preserve">multi-path </w:t>
      </w:r>
      <w:r w:rsidR="007B3BF7">
        <w:rPr>
          <w:lang w:val="en-US"/>
        </w:rPr>
        <w:t xml:space="preserve">fading or other environmental factors.  </w:t>
      </w:r>
      <w:r w:rsidR="008964CE">
        <w:rPr>
          <w:lang w:val="en-US"/>
        </w:rPr>
        <w:t xml:space="preserve">It should also </w:t>
      </w:r>
      <w:r w:rsidR="007633E7">
        <w:rPr>
          <w:lang w:val="en-US"/>
        </w:rPr>
        <w:t xml:space="preserve">be </w:t>
      </w:r>
      <w:r w:rsidR="008964CE">
        <w:rPr>
          <w:lang w:val="en-US"/>
        </w:rPr>
        <w:t xml:space="preserve">noted that the LTE ACS specification </w:t>
      </w:r>
      <w:r w:rsidR="007633E7">
        <w:rPr>
          <w:lang w:val="en-US"/>
        </w:rPr>
        <w:t xml:space="preserve">as derived above </w:t>
      </w:r>
      <w:r w:rsidR="008964CE">
        <w:rPr>
          <w:lang w:val="en-US"/>
        </w:rPr>
        <w:t xml:space="preserve">is applicable for </w:t>
      </w:r>
      <w:r w:rsidR="002F17DA">
        <w:rPr>
          <w:lang w:val="en-US"/>
        </w:rPr>
        <w:t xml:space="preserve">QPSK </w:t>
      </w:r>
      <w:r w:rsidR="008257A8">
        <w:rPr>
          <w:lang w:val="en-US"/>
        </w:rPr>
        <w:t>R=</w:t>
      </w:r>
      <w:r w:rsidR="002F17DA">
        <w:rPr>
          <w:lang w:val="en-US"/>
        </w:rPr>
        <w:t xml:space="preserve"> 1/3.  Due to the high level of redundancy, the SNR requirement </w:t>
      </w:r>
      <w:r w:rsidR="003D1EEE">
        <w:rPr>
          <w:lang w:val="en-US"/>
        </w:rPr>
        <w:t xml:space="preserve">for this MCS </w:t>
      </w:r>
      <w:r w:rsidR="002F17DA">
        <w:rPr>
          <w:lang w:val="en-US"/>
        </w:rPr>
        <w:t xml:space="preserve">is </w:t>
      </w:r>
      <w:r w:rsidR="00613B7F">
        <w:rPr>
          <w:lang w:val="en-US"/>
        </w:rPr>
        <w:t xml:space="preserve">low and a significant amount of in-band noise can be tolerated.  With higher MCS, the </w:t>
      </w:r>
      <w:r w:rsidR="00671F46">
        <w:rPr>
          <w:lang w:val="en-US"/>
        </w:rPr>
        <w:t xml:space="preserve">SNR requirement is higher and </w:t>
      </w:r>
      <w:r w:rsidR="00642302">
        <w:rPr>
          <w:lang w:val="en-US"/>
        </w:rPr>
        <w:t xml:space="preserve">therefore the levels of interference </w:t>
      </w:r>
      <w:r w:rsidR="00C44F44">
        <w:rPr>
          <w:lang w:val="en-US"/>
        </w:rPr>
        <w:t>evaluated</w:t>
      </w:r>
      <w:r w:rsidR="00642302">
        <w:rPr>
          <w:lang w:val="en-US"/>
        </w:rPr>
        <w:t xml:space="preserve"> for QPSK R=1/3 may not yield good performance</w:t>
      </w:r>
      <w:r w:rsidR="005F5B6F">
        <w:rPr>
          <w:lang w:val="en-US"/>
        </w:rPr>
        <w:t xml:space="preserve">.  </w:t>
      </w:r>
      <w:r w:rsidR="00642302">
        <w:rPr>
          <w:lang w:val="en-US"/>
        </w:rPr>
        <w:t>Thus, it is cautioned to use the ACS values derived above directly in broadcast network planning</w:t>
      </w:r>
      <w:r w:rsidR="00C44F44">
        <w:rPr>
          <w:lang w:val="en-US"/>
        </w:rPr>
        <w:t xml:space="preserve"> without proper understanding of their assumptions and parameters</w:t>
      </w:r>
      <w:r w:rsidR="00642302">
        <w:rPr>
          <w:lang w:val="en-US"/>
        </w:rPr>
        <w:t xml:space="preserve">.  However, it is evident that </w:t>
      </w:r>
      <w:r w:rsidR="00197D5B">
        <w:rPr>
          <w:lang w:val="en-US"/>
        </w:rPr>
        <w:t xml:space="preserve">for a practical deployment it is </w:t>
      </w:r>
      <w:r w:rsidR="005A014B">
        <w:rPr>
          <w:lang w:val="en-US"/>
        </w:rPr>
        <w:t>imperative</w:t>
      </w:r>
      <w:r w:rsidR="00197D5B">
        <w:rPr>
          <w:lang w:val="en-US"/>
        </w:rPr>
        <w:t xml:space="preserve"> to </w:t>
      </w:r>
      <w:r w:rsidR="00483216">
        <w:rPr>
          <w:lang w:val="en-US"/>
        </w:rPr>
        <w:t>maximize opportunities for coordination between adjacent channel broadcasters in the same geography</w:t>
      </w:r>
      <w:r w:rsidR="005A014B">
        <w:rPr>
          <w:lang w:val="en-US"/>
        </w:rPr>
        <w:t xml:space="preserve"> for best performance</w:t>
      </w:r>
      <w:r w:rsidR="00483216">
        <w:rPr>
          <w:lang w:val="en-US"/>
        </w:rPr>
        <w:t xml:space="preserve">.  This includes co-location and the consideration of </w:t>
      </w:r>
      <w:r w:rsidR="006D5023">
        <w:rPr>
          <w:lang w:val="en-US"/>
        </w:rPr>
        <w:t>leaving empty channels to be used as guard band</w:t>
      </w:r>
      <w:r w:rsidR="00D346B8">
        <w:rPr>
          <w:lang w:val="en-US"/>
        </w:rPr>
        <w:t xml:space="preserve"> where frequency planning allows</w:t>
      </w:r>
      <w:r w:rsidR="00935870">
        <w:rPr>
          <w:lang w:val="en-US"/>
        </w:rPr>
        <w:t xml:space="preserve">.  Other techniques such as </w:t>
      </w:r>
      <w:r w:rsidR="003144B3">
        <w:rPr>
          <w:lang w:val="en-US"/>
        </w:rPr>
        <w:t xml:space="preserve">tight </w:t>
      </w:r>
      <w:r w:rsidR="00935870">
        <w:rPr>
          <w:lang w:val="en-US"/>
        </w:rPr>
        <w:t>synchronization</w:t>
      </w:r>
      <w:r w:rsidR="004C63D7">
        <w:rPr>
          <w:lang w:val="en-US"/>
        </w:rPr>
        <w:t xml:space="preserve"> of broadcasts </w:t>
      </w:r>
      <w:r w:rsidR="00767356">
        <w:rPr>
          <w:lang w:val="en-US"/>
        </w:rPr>
        <w:t>to enable FFT orthogonalization</w:t>
      </w:r>
      <w:r w:rsidR="00E87A89">
        <w:rPr>
          <w:lang w:val="en-US"/>
        </w:rPr>
        <w:t xml:space="preserve"> </w:t>
      </w:r>
      <w:r w:rsidR="009D1C8C">
        <w:rPr>
          <w:lang w:val="en-US"/>
        </w:rPr>
        <w:t xml:space="preserve">and minimize </w:t>
      </w:r>
      <w:r w:rsidR="008E46E2">
        <w:rPr>
          <w:lang w:val="en-US"/>
        </w:rPr>
        <w:t xml:space="preserve">OFDM </w:t>
      </w:r>
      <w:r w:rsidR="009D1C8C">
        <w:rPr>
          <w:lang w:val="en-US"/>
        </w:rPr>
        <w:t xml:space="preserve">tone leakage </w:t>
      </w:r>
      <w:r w:rsidR="00767356">
        <w:rPr>
          <w:lang w:val="en-US"/>
        </w:rPr>
        <w:t>between channels would also greatly improve</w:t>
      </w:r>
      <w:r w:rsidR="009E1C13">
        <w:rPr>
          <w:lang w:val="en-US"/>
        </w:rPr>
        <w:t xml:space="preserve"> the performance in both channels</w:t>
      </w:r>
      <w:r w:rsidR="00F81B30">
        <w:rPr>
          <w:lang w:val="en-US"/>
        </w:rPr>
        <w:t xml:space="preserve"> recognizing the wanted signal for one broadcaster is the interfering signal for the other.</w:t>
      </w:r>
      <w:r w:rsidR="00E87A89">
        <w:rPr>
          <w:lang w:val="en-US"/>
        </w:rPr>
        <w:t xml:space="preserve"> </w:t>
      </w:r>
    </w:p>
    <w:p w14:paraId="69DE9615" w14:textId="77777777" w:rsidR="00A407EF" w:rsidRDefault="00A407EF" w:rsidP="00872AB8">
      <w:pPr>
        <w:pStyle w:val="Heading2"/>
        <w:rPr>
          <w:lang w:val="en-US"/>
        </w:rPr>
      </w:pPr>
      <w:r>
        <w:rPr>
          <w:lang w:val="en-US"/>
        </w:rPr>
        <w:t>In the specification</w:t>
      </w:r>
    </w:p>
    <w:p w14:paraId="09135202" w14:textId="1A13D8D2" w:rsidR="00AC7D6A" w:rsidRDefault="00C777D5" w:rsidP="00A407EF">
      <w:pPr>
        <w:rPr>
          <w:lang w:val="en-US"/>
        </w:rPr>
      </w:pPr>
      <w:r>
        <w:rPr>
          <w:lang w:val="en-US"/>
        </w:rPr>
        <w:t xml:space="preserve">Two </w:t>
      </w:r>
      <w:r w:rsidR="00AC7D6A">
        <w:rPr>
          <w:lang w:val="en-US"/>
        </w:rPr>
        <w:t xml:space="preserve">options are available for </w:t>
      </w:r>
      <w:r w:rsidR="002054BA">
        <w:rPr>
          <w:lang w:val="en-US"/>
        </w:rPr>
        <w:t>including 5G broadcast</w:t>
      </w:r>
      <w:r w:rsidR="00AC7D6A">
        <w:rPr>
          <w:lang w:val="en-US"/>
        </w:rPr>
        <w:t xml:space="preserve"> ACS into the 36.101 specification</w:t>
      </w:r>
    </w:p>
    <w:p w14:paraId="367FCFF8" w14:textId="2788AFA4" w:rsidR="00AC7D6A" w:rsidRDefault="00AC7D6A" w:rsidP="00AC7D6A">
      <w:pPr>
        <w:pStyle w:val="ListParagraph"/>
        <w:numPr>
          <w:ilvl w:val="0"/>
          <w:numId w:val="46"/>
        </w:numPr>
        <w:rPr>
          <w:lang w:val="en-US"/>
        </w:rPr>
      </w:pPr>
      <w:r>
        <w:rPr>
          <w:lang w:val="en-US"/>
        </w:rPr>
        <w:t>Keep the existing LTE 10 MHz ACS specification</w:t>
      </w:r>
    </w:p>
    <w:p w14:paraId="41C6F6E7" w14:textId="22117DD8" w:rsidR="00AC7D6A" w:rsidRDefault="00AC7D6A" w:rsidP="00AC7D6A">
      <w:pPr>
        <w:pStyle w:val="ListParagraph"/>
        <w:numPr>
          <w:ilvl w:val="0"/>
          <w:numId w:val="46"/>
        </w:numPr>
        <w:rPr>
          <w:lang w:val="en-US"/>
        </w:rPr>
      </w:pPr>
      <w:r>
        <w:rPr>
          <w:lang w:val="en-US"/>
        </w:rPr>
        <w:t>Write a new ACS specification for 5G Broadcast using a 6, 7, and/or 8 MHz PMCH wanted signal with a 5 MHz ACS interfering signaling immediately adjacent.  The interfering signal would partially fall inside of the configured 10 MHz receive channel.</w:t>
      </w:r>
    </w:p>
    <w:p w14:paraId="3B645362" w14:textId="6D0956F0" w:rsidR="0045118C" w:rsidRDefault="00C44F44" w:rsidP="00A407EF">
      <w:pPr>
        <w:rPr>
          <w:lang w:val="en-US"/>
        </w:rPr>
      </w:pPr>
      <w:r>
        <w:rPr>
          <w:lang w:val="en-US"/>
        </w:rPr>
        <w:t xml:space="preserve">Neither option fundamentally changes the performance of the device.  </w:t>
      </w:r>
      <w:r w:rsidR="0045118C">
        <w:rPr>
          <w:lang w:val="en-US"/>
        </w:rPr>
        <w:t>The first option would be the simplest and conforms with the WID objective to reuse the LTE 10 MHz requirements as much as possible.</w:t>
      </w:r>
      <w:r w:rsidR="005F447C">
        <w:rPr>
          <w:lang w:val="en-US"/>
        </w:rPr>
        <w:t xml:space="preserve">  However, the 10 MHz LTE uses a fully allocated PDSCH RMC which is not aligned with the </w:t>
      </w:r>
      <w:r w:rsidR="00AE0A88">
        <w:rPr>
          <w:lang w:val="en-US"/>
        </w:rPr>
        <w:t xml:space="preserve">30, 35, or 40 RB </w:t>
      </w:r>
      <w:r w:rsidR="005F447C">
        <w:rPr>
          <w:lang w:val="en-US"/>
        </w:rPr>
        <w:t xml:space="preserve">PMCH </w:t>
      </w:r>
      <w:r w:rsidR="00AE0A88">
        <w:rPr>
          <w:lang w:val="en-US"/>
        </w:rPr>
        <w:t>specified by RAN1</w:t>
      </w:r>
      <w:r>
        <w:rPr>
          <w:lang w:val="en-US"/>
        </w:rPr>
        <w:t xml:space="preserve"> for broadcast</w:t>
      </w:r>
      <w:r w:rsidR="00AE0A88">
        <w:rPr>
          <w:lang w:val="en-US"/>
        </w:rPr>
        <w:t xml:space="preserve">.  </w:t>
      </w:r>
      <w:r w:rsidR="002B0516">
        <w:rPr>
          <w:lang w:val="en-US"/>
        </w:rPr>
        <w:t>Moreover, placing the ACS at the edge of a 10 MHz channel does not correspond to any envisioned 5G broadcast deployment since the broadcast spectrum follows a 6, 7, or 8 MHz channelization</w:t>
      </w:r>
      <w:r w:rsidR="00CC59C7">
        <w:rPr>
          <w:lang w:val="en-US"/>
        </w:rPr>
        <w:t xml:space="preserve"> and likely will share spectrum with other broadcast technologies also following a 6, 7, or 8 MHz channelization</w:t>
      </w:r>
      <w:r w:rsidR="00451838">
        <w:rPr>
          <w:lang w:val="en-US"/>
        </w:rPr>
        <w:t xml:space="preserve">.  </w:t>
      </w:r>
      <w:r w:rsidR="00CC59C7">
        <w:rPr>
          <w:lang w:val="en-US"/>
        </w:rPr>
        <w:t>While not completely irrelevant, d</w:t>
      </w:r>
      <w:r w:rsidR="00451838">
        <w:rPr>
          <w:lang w:val="en-US"/>
        </w:rPr>
        <w:t>efining the requirement according to the legacy LTE 10 MHz</w:t>
      </w:r>
      <w:r w:rsidR="00BA4985">
        <w:rPr>
          <w:lang w:val="en-US"/>
        </w:rPr>
        <w:t xml:space="preserve"> is not the most technically accurate approach.  Therefore, it is recommended to adopt option 2</w:t>
      </w:r>
      <w:r w:rsidR="00BE05CB">
        <w:rPr>
          <w:lang w:val="en-US"/>
        </w:rPr>
        <w:t xml:space="preserve">.  However, </w:t>
      </w:r>
      <w:r w:rsidR="00233370">
        <w:rPr>
          <w:lang w:val="en-US"/>
        </w:rPr>
        <w:t>for the sake</w:t>
      </w:r>
      <w:r w:rsidR="00C94C74">
        <w:rPr>
          <w:lang w:val="en-US"/>
        </w:rPr>
        <w:t xml:space="preserve"> of test time reduction, it is suggested that only 6 MHz PMCH </w:t>
      </w:r>
      <w:r w:rsidR="00233370">
        <w:rPr>
          <w:lang w:val="en-US"/>
        </w:rPr>
        <w:t>needs to</w:t>
      </w:r>
      <w:r w:rsidR="00C94C74">
        <w:rPr>
          <w:lang w:val="en-US"/>
        </w:rPr>
        <w:t xml:space="preserve"> be tested since this bandwidth has the greatest in-channel overlap with the ACS interferer.</w:t>
      </w:r>
    </w:p>
    <w:p w14:paraId="3F8BEA58" w14:textId="3DBDE7E1" w:rsidR="009C37D0" w:rsidRDefault="00FA01C7" w:rsidP="009C37D0">
      <w:pPr>
        <w:pStyle w:val="Heading1"/>
        <w:tabs>
          <w:tab w:val="clear" w:pos="432"/>
          <w:tab w:val="num" w:pos="522"/>
        </w:tabs>
        <w:ind w:left="522" w:hanging="522"/>
        <w:rPr>
          <w:lang w:val="en-US"/>
        </w:rPr>
      </w:pPr>
      <w:r>
        <w:rPr>
          <w:lang w:val="en-US"/>
        </w:rPr>
        <w:t>Conclusion</w:t>
      </w:r>
    </w:p>
    <w:p w14:paraId="42643288" w14:textId="06E407C7" w:rsidR="00D738C5" w:rsidRDefault="00B45CB2" w:rsidP="001F0242">
      <w:pPr>
        <w:rPr>
          <w:lang w:val="en-US"/>
        </w:rPr>
      </w:pPr>
      <w:r>
        <w:rPr>
          <w:lang w:val="en-US"/>
        </w:rPr>
        <w:t xml:space="preserve">In this contribution, the results of a study to estimate the ACS performance of a 5G broadcast device operating </w:t>
      </w:r>
      <w:r w:rsidR="001663F4">
        <w:rPr>
          <w:lang w:val="en-US"/>
        </w:rPr>
        <w:t>with</w:t>
      </w:r>
      <w:r>
        <w:rPr>
          <w:lang w:val="en-US"/>
        </w:rPr>
        <w:t xml:space="preserve"> </w:t>
      </w:r>
      <w:r w:rsidR="001663F4">
        <w:rPr>
          <w:lang w:val="en-US"/>
        </w:rPr>
        <w:t>6, 7, and 8 MHz channelization, but configured with 10 MHz channel filtering</w:t>
      </w:r>
      <w:r w:rsidR="007167B6">
        <w:rPr>
          <w:lang w:val="en-US"/>
        </w:rPr>
        <w:t xml:space="preserve">.  It was found the LTE ACS performance is degraded due to the interference </w:t>
      </w:r>
      <w:r w:rsidR="00603631">
        <w:rPr>
          <w:lang w:val="en-US"/>
        </w:rPr>
        <w:t xml:space="preserve">partially </w:t>
      </w:r>
      <w:r w:rsidR="007167B6">
        <w:rPr>
          <w:lang w:val="en-US"/>
        </w:rPr>
        <w:t xml:space="preserve">falling inside of the channel filter.  </w:t>
      </w:r>
      <w:proofErr w:type="gramStart"/>
      <w:r w:rsidR="00D85187">
        <w:rPr>
          <w:lang w:val="en-US"/>
        </w:rPr>
        <w:t>In spite of</w:t>
      </w:r>
      <w:proofErr w:type="gramEnd"/>
      <w:r w:rsidR="00D85187">
        <w:rPr>
          <w:lang w:val="en-US"/>
        </w:rPr>
        <w:t xml:space="preserve"> this degradation in performance, it is expected that 5G broadcast networks will be deployed in a coordinated manner</w:t>
      </w:r>
      <w:r w:rsidR="00956E8A">
        <w:rPr>
          <w:lang w:val="en-US"/>
        </w:rPr>
        <w:t xml:space="preserve"> to minimize the interference</w:t>
      </w:r>
      <w:r w:rsidR="00603631">
        <w:rPr>
          <w:lang w:val="en-US"/>
        </w:rPr>
        <w:t xml:space="preserve"> and degradation</w:t>
      </w:r>
      <w:r w:rsidR="00956E8A">
        <w:rPr>
          <w:lang w:val="en-US"/>
        </w:rPr>
        <w:t xml:space="preserve"> between adjacent broadcasts.  </w:t>
      </w:r>
      <w:r w:rsidR="00FB5C92">
        <w:rPr>
          <w:lang w:val="en-US"/>
        </w:rPr>
        <w:t xml:space="preserve">Finally, it is recommended to specify the ACS requirement </w:t>
      </w:r>
      <w:r w:rsidR="00603631">
        <w:rPr>
          <w:lang w:val="en-US"/>
        </w:rPr>
        <w:t xml:space="preserve">with a 6 MHz PMCH signal and an immediately adjacent </w:t>
      </w:r>
      <w:r w:rsidR="00D738C5">
        <w:rPr>
          <w:lang w:val="en-US"/>
        </w:rPr>
        <w:t xml:space="preserve">5 MHz </w:t>
      </w:r>
      <w:r w:rsidR="00603631">
        <w:rPr>
          <w:lang w:val="en-US"/>
        </w:rPr>
        <w:t>ACS interferer at 5.5125 MHz center-to-center of</w:t>
      </w:r>
      <w:r w:rsidR="00D738C5">
        <w:rPr>
          <w:lang w:val="en-US"/>
        </w:rPr>
        <w:t>fs</w:t>
      </w:r>
      <w:r w:rsidR="00603631">
        <w:rPr>
          <w:lang w:val="en-US"/>
        </w:rPr>
        <w:t>et</w:t>
      </w:r>
      <w:r w:rsidR="00D738C5">
        <w:rPr>
          <w:lang w:val="en-US"/>
        </w:rPr>
        <w:t xml:space="preserve"> to more closely reflect the expected 5G broadcast channelization.  The ACS requirements is proposed to be 16 </w:t>
      </w:r>
      <w:proofErr w:type="spellStart"/>
      <w:r w:rsidR="00D738C5">
        <w:rPr>
          <w:lang w:val="en-US"/>
        </w:rPr>
        <w:t>dB.</w:t>
      </w:r>
      <w:proofErr w:type="spellEnd"/>
    </w:p>
    <w:p w14:paraId="370EE77B" w14:textId="77777777" w:rsidR="0090577D" w:rsidRDefault="0090577D" w:rsidP="00505D2D">
      <w:pPr>
        <w:pStyle w:val="Heading1"/>
        <w:numPr>
          <w:ilvl w:val="0"/>
          <w:numId w:val="0"/>
        </w:numPr>
        <w:ind w:left="432" w:hanging="432"/>
        <w:rPr>
          <w:lang w:val="en-US"/>
        </w:rPr>
      </w:pPr>
      <w:r>
        <w:rPr>
          <w:lang w:val="en-US"/>
        </w:rPr>
        <w:t>Reference</w:t>
      </w:r>
    </w:p>
    <w:p w14:paraId="68199AD1" w14:textId="396194BA" w:rsidR="003D3F6A" w:rsidRDefault="003D3F6A" w:rsidP="00D23312">
      <w:pPr>
        <w:numPr>
          <w:ilvl w:val="0"/>
          <w:numId w:val="2"/>
        </w:numPr>
        <w:tabs>
          <w:tab w:val="left" w:pos="1080"/>
        </w:tabs>
        <w:rPr>
          <w:lang w:val="en-US" w:eastAsia="x-none"/>
        </w:rPr>
      </w:pPr>
      <w:bookmarkStart w:id="0" w:name="_Hlk859252"/>
      <w:r>
        <w:rPr>
          <w:lang w:val="en-US" w:eastAsia="x-none"/>
        </w:rPr>
        <w:t>R4-2219988, “</w:t>
      </w:r>
      <w:r w:rsidRPr="003D3F6A">
        <w:rPr>
          <w:lang w:val="en-US" w:eastAsia="x-none"/>
        </w:rPr>
        <w:t>UE ACS requirement for 5G broadcast</w:t>
      </w:r>
      <w:r>
        <w:rPr>
          <w:lang w:val="en-US" w:eastAsia="x-none"/>
        </w:rPr>
        <w:t>,” Qualcomm Incorporated</w:t>
      </w:r>
    </w:p>
    <w:p w14:paraId="6F9371B8" w14:textId="01332BDD" w:rsidR="003D3F6A" w:rsidRDefault="00CC545A" w:rsidP="00D23312">
      <w:pPr>
        <w:numPr>
          <w:ilvl w:val="0"/>
          <w:numId w:val="2"/>
        </w:numPr>
        <w:tabs>
          <w:tab w:val="left" w:pos="1080"/>
        </w:tabs>
        <w:rPr>
          <w:lang w:val="en-US" w:eastAsia="x-none"/>
        </w:rPr>
      </w:pPr>
      <w:r>
        <w:rPr>
          <w:lang w:val="en-US" w:eastAsia="x-none"/>
        </w:rPr>
        <w:t>RP-223378, “</w:t>
      </w:r>
      <w:r w:rsidR="00783EE9" w:rsidRPr="00783EE9">
        <w:rPr>
          <w:lang w:val="en-US" w:eastAsia="x-none"/>
        </w:rPr>
        <w:t>Revised WID on New bands and bandwidth allocation for LTE based 5G terrestrial broadcast - part 2</w:t>
      </w:r>
      <w:r w:rsidR="00783EE9">
        <w:rPr>
          <w:lang w:val="en-US" w:eastAsia="x-none"/>
        </w:rPr>
        <w:t>,” Qualcomm Incorporated</w:t>
      </w:r>
      <w:bookmarkEnd w:id="0"/>
    </w:p>
    <w:sectPr w:rsidR="003D3F6A"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53655" w14:textId="77777777" w:rsidR="00D50544" w:rsidRDefault="00D50544">
      <w:r>
        <w:separator/>
      </w:r>
    </w:p>
  </w:endnote>
  <w:endnote w:type="continuationSeparator" w:id="0">
    <w:p w14:paraId="627851C5" w14:textId="77777777" w:rsidR="00D50544" w:rsidRDefault="00D50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8B9C2" w14:textId="77777777" w:rsidR="00D50544" w:rsidRDefault="00D50544">
      <w:r>
        <w:separator/>
      </w:r>
    </w:p>
  </w:footnote>
  <w:footnote w:type="continuationSeparator" w:id="0">
    <w:p w14:paraId="17B3548F" w14:textId="77777777" w:rsidR="00D50544" w:rsidRDefault="00D505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541AC8"/>
    <w:multiLevelType w:val="hybridMultilevel"/>
    <w:tmpl w:val="EA881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8"/>
  </w:num>
  <w:num w:numId="2" w16cid:durableId="513963709">
    <w:abstractNumId w:val="33"/>
  </w:num>
  <w:num w:numId="3" w16cid:durableId="30959319">
    <w:abstractNumId w:val="38"/>
  </w:num>
  <w:num w:numId="4" w16cid:durableId="1579515455">
    <w:abstractNumId w:val="41"/>
  </w:num>
  <w:num w:numId="5" w16cid:durableId="1213884486">
    <w:abstractNumId w:val="31"/>
  </w:num>
  <w:num w:numId="6" w16cid:durableId="895549640">
    <w:abstractNumId w:val="11"/>
  </w:num>
  <w:num w:numId="7" w16cid:durableId="1494643654">
    <w:abstractNumId w:val="4"/>
  </w:num>
  <w:num w:numId="8" w16cid:durableId="1777947175">
    <w:abstractNumId w:val="37"/>
  </w:num>
  <w:num w:numId="9" w16cid:durableId="461308997">
    <w:abstractNumId w:val="12"/>
  </w:num>
  <w:num w:numId="10" w16cid:durableId="1624651259">
    <w:abstractNumId w:val="27"/>
  </w:num>
  <w:num w:numId="11" w16cid:durableId="1362783709">
    <w:abstractNumId w:val="43"/>
  </w:num>
  <w:num w:numId="12" w16cid:durableId="1425344883">
    <w:abstractNumId w:val="10"/>
  </w:num>
  <w:num w:numId="13" w16cid:durableId="2073697746">
    <w:abstractNumId w:val="24"/>
  </w:num>
  <w:num w:numId="14" w16cid:durableId="866678966">
    <w:abstractNumId w:val="6"/>
  </w:num>
  <w:num w:numId="15" w16cid:durableId="1666591006">
    <w:abstractNumId w:val="23"/>
  </w:num>
  <w:num w:numId="16" w16cid:durableId="1524439568">
    <w:abstractNumId w:val="42"/>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2"/>
  </w:num>
  <w:num w:numId="19" w16cid:durableId="2009550563">
    <w:abstractNumId w:val="21"/>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6"/>
  </w:num>
  <w:num w:numId="23" w16cid:durableId="2045934884">
    <w:abstractNumId w:val="29"/>
  </w:num>
  <w:num w:numId="24" w16cid:durableId="1658996919">
    <w:abstractNumId w:val="39"/>
  </w:num>
  <w:num w:numId="25" w16cid:durableId="1145976948">
    <w:abstractNumId w:val="40"/>
  </w:num>
  <w:num w:numId="26" w16cid:durableId="1948657783">
    <w:abstractNumId w:val="5"/>
  </w:num>
  <w:num w:numId="27" w16cid:durableId="1612282645">
    <w:abstractNumId w:val="26"/>
  </w:num>
  <w:num w:numId="28" w16cid:durableId="126902088">
    <w:abstractNumId w:val="28"/>
  </w:num>
  <w:num w:numId="29" w16cid:durableId="906383168">
    <w:abstractNumId w:val="35"/>
  </w:num>
  <w:num w:numId="30" w16cid:durableId="1341155545">
    <w:abstractNumId w:val="7"/>
  </w:num>
  <w:num w:numId="31" w16cid:durableId="674380148">
    <w:abstractNumId w:val="14"/>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2"/>
  </w:num>
  <w:num w:numId="35" w16cid:durableId="2019849514">
    <w:abstractNumId w:val="19"/>
  </w:num>
  <w:num w:numId="36" w16cid:durableId="1071586423">
    <w:abstractNumId w:val="3"/>
  </w:num>
  <w:num w:numId="37" w16cid:durableId="1338195957">
    <w:abstractNumId w:val="36"/>
  </w:num>
  <w:num w:numId="38" w16cid:durableId="1058632768">
    <w:abstractNumId w:val="8"/>
  </w:num>
  <w:num w:numId="39" w16cid:durableId="1014115387">
    <w:abstractNumId w:val="25"/>
  </w:num>
  <w:num w:numId="40" w16cid:durableId="1853765394">
    <w:abstractNumId w:val="30"/>
  </w:num>
  <w:num w:numId="41" w16cid:durableId="252057258">
    <w:abstractNumId w:val="13"/>
  </w:num>
  <w:num w:numId="42" w16cid:durableId="641429476">
    <w:abstractNumId w:val="34"/>
  </w:num>
  <w:num w:numId="43" w16cid:durableId="1304696361">
    <w:abstractNumId w:val="2"/>
  </w:num>
  <w:num w:numId="44" w16cid:durableId="1178233322">
    <w:abstractNumId w:val="17"/>
  </w:num>
  <w:num w:numId="45" w16cid:durableId="1902904055">
    <w:abstractNumId w:val="15"/>
  </w:num>
  <w:num w:numId="46" w16cid:durableId="1263759874">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208"/>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12"/>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7B2"/>
    <w:rsid w:val="00057B8F"/>
    <w:rsid w:val="000601B0"/>
    <w:rsid w:val="000605D7"/>
    <w:rsid w:val="00060932"/>
    <w:rsid w:val="00060DD0"/>
    <w:rsid w:val="000614E5"/>
    <w:rsid w:val="0006167A"/>
    <w:rsid w:val="00062456"/>
    <w:rsid w:val="00062AE2"/>
    <w:rsid w:val="00062E5A"/>
    <w:rsid w:val="00062F52"/>
    <w:rsid w:val="00063B14"/>
    <w:rsid w:val="00064105"/>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70A"/>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9B7"/>
    <w:rsid w:val="000E5C51"/>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BF"/>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8B"/>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1B43"/>
    <w:rsid w:val="00142046"/>
    <w:rsid w:val="001422CC"/>
    <w:rsid w:val="00142612"/>
    <w:rsid w:val="00142B46"/>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3F4"/>
    <w:rsid w:val="00166BBB"/>
    <w:rsid w:val="001679C5"/>
    <w:rsid w:val="00167B3A"/>
    <w:rsid w:val="00170570"/>
    <w:rsid w:val="00170B48"/>
    <w:rsid w:val="00170C0A"/>
    <w:rsid w:val="00170FF5"/>
    <w:rsid w:val="00171233"/>
    <w:rsid w:val="001715F5"/>
    <w:rsid w:val="00171629"/>
    <w:rsid w:val="00171D36"/>
    <w:rsid w:val="0017222E"/>
    <w:rsid w:val="0017224D"/>
    <w:rsid w:val="001728C4"/>
    <w:rsid w:val="00172D5B"/>
    <w:rsid w:val="001731C4"/>
    <w:rsid w:val="0017355B"/>
    <w:rsid w:val="001735A3"/>
    <w:rsid w:val="001739BE"/>
    <w:rsid w:val="00173B56"/>
    <w:rsid w:val="001748B7"/>
    <w:rsid w:val="00174969"/>
    <w:rsid w:val="001749BF"/>
    <w:rsid w:val="00174BA5"/>
    <w:rsid w:val="00174BD8"/>
    <w:rsid w:val="00175084"/>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A32"/>
    <w:rsid w:val="00185F9C"/>
    <w:rsid w:val="00186488"/>
    <w:rsid w:val="0018788E"/>
    <w:rsid w:val="00187E14"/>
    <w:rsid w:val="001903FE"/>
    <w:rsid w:val="00190445"/>
    <w:rsid w:val="001905F3"/>
    <w:rsid w:val="00190C6E"/>
    <w:rsid w:val="00190F12"/>
    <w:rsid w:val="00191198"/>
    <w:rsid w:val="00191449"/>
    <w:rsid w:val="00191D6B"/>
    <w:rsid w:val="00192249"/>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E87"/>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47D"/>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3AEF"/>
    <w:rsid w:val="001F4191"/>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4BA"/>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27FC3"/>
    <w:rsid w:val="00230A56"/>
    <w:rsid w:val="00230BEE"/>
    <w:rsid w:val="00230C94"/>
    <w:rsid w:val="00230EB7"/>
    <w:rsid w:val="00230EC6"/>
    <w:rsid w:val="00230EC9"/>
    <w:rsid w:val="00230FED"/>
    <w:rsid w:val="00231333"/>
    <w:rsid w:val="00231913"/>
    <w:rsid w:val="00231BD8"/>
    <w:rsid w:val="00233370"/>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3A6"/>
    <w:rsid w:val="002647D1"/>
    <w:rsid w:val="00265201"/>
    <w:rsid w:val="002658E7"/>
    <w:rsid w:val="00265EC8"/>
    <w:rsid w:val="00266622"/>
    <w:rsid w:val="00266B5B"/>
    <w:rsid w:val="00266E01"/>
    <w:rsid w:val="00266EB5"/>
    <w:rsid w:val="00266FA5"/>
    <w:rsid w:val="00267702"/>
    <w:rsid w:val="00267879"/>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4E99"/>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C11"/>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16"/>
    <w:rsid w:val="002B05C7"/>
    <w:rsid w:val="002B0AD0"/>
    <w:rsid w:val="002B0DA6"/>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6FA"/>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1B9"/>
    <w:rsid w:val="0031162E"/>
    <w:rsid w:val="00311874"/>
    <w:rsid w:val="00311D14"/>
    <w:rsid w:val="0031208B"/>
    <w:rsid w:val="00312A91"/>
    <w:rsid w:val="00312EF8"/>
    <w:rsid w:val="0031376F"/>
    <w:rsid w:val="003138A2"/>
    <w:rsid w:val="00313F7D"/>
    <w:rsid w:val="003144B3"/>
    <w:rsid w:val="003149E9"/>
    <w:rsid w:val="00314A72"/>
    <w:rsid w:val="00314DB7"/>
    <w:rsid w:val="00314F09"/>
    <w:rsid w:val="00315017"/>
    <w:rsid w:val="00315C7E"/>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937"/>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71D"/>
    <w:rsid w:val="0035082B"/>
    <w:rsid w:val="003508AD"/>
    <w:rsid w:val="00350AEE"/>
    <w:rsid w:val="003512A1"/>
    <w:rsid w:val="003512D1"/>
    <w:rsid w:val="00351328"/>
    <w:rsid w:val="003514E1"/>
    <w:rsid w:val="0035163A"/>
    <w:rsid w:val="003517BE"/>
    <w:rsid w:val="0035229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5F42"/>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D89"/>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18D"/>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18C"/>
    <w:rsid w:val="00451838"/>
    <w:rsid w:val="00451B62"/>
    <w:rsid w:val="00451DF6"/>
    <w:rsid w:val="00451F07"/>
    <w:rsid w:val="00452193"/>
    <w:rsid w:val="00453273"/>
    <w:rsid w:val="0045343F"/>
    <w:rsid w:val="004539A6"/>
    <w:rsid w:val="00453A90"/>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14E"/>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370"/>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9C9"/>
    <w:rsid w:val="00501D13"/>
    <w:rsid w:val="00502A3E"/>
    <w:rsid w:val="00502ECA"/>
    <w:rsid w:val="00503F7B"/>
    <w:rsid w:val="00504A46"/>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8CB"/>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12E"/>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45F"/>
    <w:rsid w:val="00597C40"/>
    <w:rsid w:val="00597E5D"/>
    <w:rsid w:val="005A014B"/>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A39"/>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1C0"/>
    <w:rsid w:val="005E534E"/>
    <w:rsid w:val="005E56ED"/>
    <w:rsid w:val="005E5729"/>
    <w:rsid w:val="005E597B"/>
    <w:rsid w:val="005E59A8"/>
    <w:rsid w:val="005E5CBA"/>
    <w:rsid w:val="005E5CD5"/>
    <w:rsid w:val="005E63E5"/>
    <w:rsid w:val="005E6619"/>
    <w:rsid w:val="005E684F"/>
    <w:rsid w:val="005E69DF"/>
    <w:rsid w:val="005E6AEC"/>
    <w:rsid w:val="005E6BCB"/>
    <w:rsid w:val="005E6F14"/>
    <w:rsid w:val="005E72EB"/>
    <w:rsid w:val="005E785C"/>
    <w:rsid w:val="005E7A4E"/>
    <w:rsid w:val="005E7A84"/>
    <w:rsid w:val="005E7E5C"/>
    <w:rsid w:val="005F0059"/>
    <w:rsid w:val="005F03E6"/>
    <w:rsid w:val="005F0B18"/>
    <w:rsid w:val="005F0F91"/>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47C"/>
    <w:rsid w:val="005F4549"/>
    <w:rsid w:val="005F495C"/>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631"/>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302"/>
    <w:rsid w:val="0064248C"/>
    <w:rsid w:val="00642800"/>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68A"/>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BC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265"/>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67B6"/>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467E"/>
    <w:rsid w:val="00734B28"/>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47645"/>
    <w:rsid w:val="007500E4"/>
    <w:rsid w:val="00750244"/>
    <w:rsid w:val="00750434"/>
    <w:rsid w:val="00750D8F"/>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90F37"/>
    <w:rsid w:val="00790FEC"/>
    <w:rsid w:val="007910CE"/>
    <w:rsid w:val="00791761"/>
    <w:rsid w:val="00791C03"/>
    <w:rsid w:val="00791CC0"/>
    <w:rsid w:val="00791DAA"/>
    <w:rsid w:val="0079227B"/>
    <w:rsid w:val="00792480"/>
    <w:rsid w:val="0079324E"/>
    <w:rsid w:val="0079338E"/>
    <w:rsid w:val="007933AC"/>
    <w:rsid w:val="007933BE"/>
    <w:rsid w:val="00793AD3"/>
    <w:rsid w:val="007941DA"/>
    <w:rsid w:val="007942A6"/>
    <w:rsid w:val="007942B9"/>
    <w:rsid w:val="0079485D"/>
    <w:rsid w:val="00794A20"/>
    <w:rsid w:val="00794A29"/>
    <w:rsid w:val="00794DF7"/>
    <w:rsid w:val="00794E0C"/>
    <w:rsid w:val="00795163"/>
    <w:rsid w:val="007951C7"/>
    <w:rsid w:val="00795625"/>
    <w:rsid w:val="0079596F"/>
    <w:rsid w:val="007964C8"/>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28D3"/>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BF7"/>
    <w:rsid w:val="007B3DB9"/>
    <w:rsid w:val="007B402C"/>
    <w:rsid w:val="007B4115"/>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C7CC4"/>
    <w:rsid w:val="007D0421"/>
    <w:rsid w:val="007D0975"/>
    <w:rsid w:val="007D0AA9"/>
    <w:rsid w:val="007D151F"/>
    <w:rsid w:val="007D16F6"/>
    <w:rsid w:val="007D1885"/>
    <w:rsid w:val="007D192A"/>
    <w:rsid w:val="007D1D86"/>
    <w:rsid w:val="007D2289"/>
    <w:rsid w:val="007D240C"/>
    <w:rsid w:val="007D2899"/>
    <w:rsid w:val="007D3F01"/>
    <w:rsid w:val="007D4488"/>
    <w:rsid w:val="007D4554"/>
    <w:rsid w:val="007D4584"/>
    <w:rsid w:val="007D47CD"/>
    <w:rsid w:val="007D4D07"/>
    <w:rsid w:val="007D5536"/>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DB3"/>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57A8"/>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57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8BC"/>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E70"/>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6E2"/>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B16"/>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1E8"/>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544"/>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4E91"/>
    <w:rsid w:val="00925707"/>
    <w:rsid w:val="00925726"/>
    <w:rsid w:val="00925944"/>
    <w:rsid w:val="00925C67"/>
    <w:rsid w:val="00926732"/>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8A"/>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8D"/>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386"/>
    <w:rsid w:val="00970564"/>
    <w:rsid w:val="009708D1"/>
    <w:rsid w:val="009708E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9F0"/>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4C47"/>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566"/>
    <w:rsid w:val="009A78E5"/>
    <w:rsid w:val="009A7E3C"/>
    <w:rsid w:val="009B0165"/>
    <w:rsid w:val="009B09B4"/>
    <w:rsid w:val="009B0B85"/>
    <w:rsid w:val="009B1475"/>
    <w:rsid w:val="009B15FC"/>
    <w:rsid w:val="009B17EC"/>
    <w:rsid w:val="009B1B5B"/>
    <w:rsid w:val="009B1EBF"/>
    <w:rsid w:val="009B23DD"/>
    <w:rsid w:val="009B27D6"/>
    <w:rsid w:val="009B2851"/>
    <w:rsid w:val="009B2DD8"/>
    <w:rsid w:val="009B34FE"/>
    <w:rsid w:val="009B3CD8"/>
    <w:rsid w:val="009B45EB"/>
    <w:rsid w:val="009B4B74"/>
    <w:rsid w:val="009B57C3"/>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C8C"/>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991"/>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3DC"/>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7EF"/>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8B1"/>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3EE"/>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C5"/>
    <w:rsid w:val="00A8769B"/>
    <w:rsid w:val="00A87954"/>
    <w:rsid w:val="00A903C8"/>
    <w:rsid w:val="00A90BAB"/>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AD2"/>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D6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A88"/>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4945"/>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CB2"/>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1C4A"/>
    <w:rsid w:val="00B72030"/>
    <w:rsid w:val="00B72124"/>
    <w:rsid w:val="00B72140"/>
    <w:rsid w:val="00B728DF"/>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667"/>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985"/>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361"/>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299"/>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5CB"/>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4F44"/>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112"/>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649"/>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7D5"/>
    <w:rsid w:val="00C779F9"/>
    <w:rsid w:val="00C77AE8"/>
    <w:rsid w:val="00C80C32"/>
    <w:rsid w:val="00C81037"/>
    <w:rsid w:val="00C81393"/>
    <w:rsid w:val="00C818B7"/>
    <w:rsid w:val="00C8261D"/>
    <w:rsid w:val="00C82D0D"/>
    <w:rsid w:val="00C83527"/>
    <w:rsid w:val="00C839E1"/>
    <w:rsid w:val="00C83C21"/>
    <w:rsid w:val="00C83D2F"/>
    <w:rsid w:val="00C83D6C"/>
    <w:rsid w:val="00C83E08"/>
    <w:rsid w:val="00C84110"/>
    <w:rsid w:val="00C841FA"/>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2E3B"/>
    <w:rsid w:val="00C93479"/>
    <w:rsid w:val="00C93E4C"/>
    <w:rsid w:val="00C94430"/>
    <w:rsid w:val="00C94C74"/>
    <w:rsid w:val="00C94DC8"/>
    <w:rsid w:val="00C94E77"/>
    <w:rsid w:val="00C95B50"/>
    <w:rsid w:val="00C96481"/>
    <w:rsid w:val="00C96C7A"/>
    <w:rsid w:val="00C97032"/>
    <w:rsid w:val="00CA078A"/>
    <w:rsid w:val="00CA082F"/>
    <w:rsid w:val="00CA08AF"/>
    <w:rsid w:val="00CA09C2"/>
    <w:rsid w:val="00CA0AB3"/>
    <w:rsid w:val="00CA1130"/>
    <w:rsid w:val="00CA181E"/>
    <w:rsid w:val="00CA183A"/>
    <w:rsid w:val="00CA215A"/>
    <w:rsid w:val="00CA24F6"/>
    <w:rsid w:val="00CA29D5"/>
    <w:rsid w:val="00CA3369"/>
    <w:rsid w:val="00CA34AE"/>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45A"/>
    <w:rsid w:val="00CC592B"/>
    <w:rsid w:val="00CC59BC"/>
    <w:rsid w:val="00CC59C7"/>
    <w:rsid w:val="00CC6037"/>
    <w:rsid w:val="00CC63D5"/>
    <w:rsid w:val="00CC6970"/>
    <w:rsid w:val="00CC6A47"/>
    <w:rsid w:val="00CC6EE1"/>
    <w:rsid w:val="00CC72C8"/>
    <w:rsid w:val="00CC7661"/>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DFD"/>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7E"/>
    <w:rsid w:val="00D02AC5"/>
    <w:rsid w:val="00D03248"/>
    <w:rsid w:val="00D03913"/>
    <w:rsid w:val="00D03A4A"/>
    <w:rsid w:val="00D03F71"/>
    <w:rsid w:val="00D0447F"/>
    <w:rsid w:val="00D046FE"/>
    <w:rsid w:val="00D04CE7"/>
    <w:rsid w:val="00D05121"/>
    <w:rsid w:val="00D0569F"/>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1E5D"/>
    <w:rsid w:val="00D12373"/>
    <w:rsid w:val="00D124F4"/>
    <w:rsid w:val="00D1270F"/>
    <w:rsid w:val="00D12D39"/>
    <w:rsid w:val="00D12F86"/>
    <w:rsid w:val="00D132B1"/>
    <w:rsid w:val="00D13FC2"/>
    <w:rsid w:val="00D14749"/>
    <w:rsid w:val="00D1499B"/>
    <w:rsid w:val="00D14C4B"/>
    <w:rsid w:val="00D14D64"/>
    <w:rsid w:val="00D14FCA"/>
    <w:rsid w:val="00D15014"/>
    <w:rsid w:val="00D159BA"/>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6B8"/>
    <w:rsid w:val="00D34B7F"/>
    <w:rsid w:val="00D34CC2"/>
    <w:rsid w:val="00D35BAA"/>
    <w:rsid w:val="00D36127"/>
    <w:rsid w:val="00D36249"/>
    <w:rsid w:val="00D36655"/>
    <w:rsid w:val="00D367AB"/>
    <w:rsid w:val="00D37310"/>
    <w:rsid w:val="00D37EA5"/>
    <w:rsid w:val="00D400A9"/>
    <w:rsid w:val="00D4094B"/>
    <w:rsid w:val="00D40A2A"/>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44"/>
    <w:rsid w:val="00D505C2"/>
    <w:rsid w:val="00D5060A"/>
    <w:rsid w:val="00D50BF9"/>
    <w:rsid w:val="00D513BC"/>
    <w:rsid w:val="00D51D44"/>
    <w:rsid w:val="00D5244B"/>
    <w:rsid w:val="00D5271B"/>
    <w:rsid w:val="00D53130"/>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89B"/>
    <w:rsid w:val="00D56B30"/>
    <w:rsid w:val="00D60342"/>
    <w:rsid w:val="00D603DC"/>
    <w:rsid w:val="00D6068C"/>
    <w:rsid w:val="00D60E23"/>
    <w:rsid w:val="00D61BD8"/>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8C5"/>
    <w:rsid w:val="00D73AAC"/>
    <w:rsid w:val="00D73D1E"/>
    <w:rsid w:val="00D744C7"/>
    <w:rsid w:val="00D7451F"/>
    <w:rsid w:val="00D747FE"/>
    <w:rsid w:val="00D74903"/>
    <w:rsid w:val="00D74AC4"/>
    <w:rsid w:val="00D750FB"/>
    <w:rsid w:val="00D75151"/>
    <w:rsid w:val="00D765D0"/>
    <w:rsid w:val="00D77839"/>
    <w:rsid w:val="00D77A34"/>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187"/>
    <w:rsid w:val="00D854EC"/>
    <w:rsid w:val="00D857EB"/>
    <w:rsid w:val="00D8584A"/>
    <w:rsid w:val="00D85CD8"/>
    <w:rsid w:val="00D86377"/>
    <w:rsid w:val="00D869A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387"/>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06D"/>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1AE5"/>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CB9"/>
    <w:rsid w:val="00E343BD"/>
    <w:rsid w:val="00E358C0"/>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0"/>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01F"/>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9CB"/>
    <w:rsid w:val="00F34A38"/>
    <w:rsid w:val="00F354C9"/>
    <w:rsid w:val="00F35682"/>
    <w:rsid w:val="00F3597D"/>
    <w:rsid w:val="00F35C8F"/>
    <w:rsid w:val="00F35E5B"/>
    <w:rsid w:val="00F368B6"/>
    <w:rsid w:val="00F36A11"/>
    <w:rsid w:val="00F36C90"/>
    <w:rsid w:val="00F36D83"/>
    <w:rsid w:val="00F3756B"/>
    <w:rsid w:val="00F375E7"/>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0C5"/>
    <w:rsid w:val="00FA218E"/>
    <w:rsid w:val="00FA2F09"/>
    <w:rsid w:val="00FA30DB"/>
    <w:rsid w:val="00FA3AC5"/>
    <w:rsid w:val="00FA3DF5"/>
    <w:rsid w:val="00FA4115"/>
    <w:rsid w:val="00FA43A1"/>
    <w:rsid w:val="00FA4485"/>
    <w:rsid w:val="00FA4741"/>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6AD"/>
    <w:rsid w:val="00FB2967"/>
    <w:rsid w:val="00FB2FFF"/>
    <w:rsid w:val="00FB32BF"/>
    <w:rsid w:val="00FB3A04"/>
    <w:rsid w:val="00FB3A69"/>
    <w:rsid w:val="00FB4096"/>
    <w:rsid w:val="00FB4845"/>
    <w:rsid w:val="00FB4C76"/>
    <w:rsid w:val="00FB5C92"/>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039"/>
    <w:rsid w:val="00FE6213"/>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4</Pages>
  <Words>1807</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2023-02-17T22:17:00Z</dcterms:created>
  <dcterms:modified xsi:type="dcterms:W3CDTF">2023-02-17T22:17:00Z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