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2301388</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expanded and improved NR positioning</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9.21.3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The Rel-18 </w:t>
      </w:r>
      <w:r>
        <w:rPr>
          <w:rFonts w:hint="eastAsia" w:eastAsia="宋体"/>
          <w:lang w:val="en-US" w:eastAsia="zh-CN"/>
        </w:rPr>
        <w:t>WID</w:t>
      </w:r>
      <w:r>
        <w:t xml:space="preserve"> [1] investigates positioning accuracy enhancement with advanced techniques of </w:t>
      </w:r>
      <w:r>
        <w:rPr>
          <w:highlight w:val="none"/>
        </w:rPr>
        <w:t>bandwidth aggregation</w:t>
      </w:r>
      <w:r>
        <w:rPr>
          <w:rFonts w:hint="eastAsia" w:eastAsia="宋体"/>
          <w:highlight w:val="none"/>
          <w:lang w:val="en-US" w:eastAsia="zh-CN"/>
        </w:rPr>
        <w:t xml:space="preserve"> and proposed the special UE LPHAP.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line="276" w:lineRule="auto"/>
              <w:textAlignment w:val="auto"/>
              <w:rPr>
                <w:rFonts w:eastAsia="MS Mincho"/>
                <w:highlight w:val="yellow"/>
                <w:lang w:val="en-US" w:eastAsia="ko-KR"/>
              </w:rPr>
            </w:pPr>
            <w:r>
              <w:rPr>
                <w:rFonts w:eastAsia="MS Mincho"/>
                <w:highlight w:val="yellow"/>
                <w:lang w:val="en-US" w:eastAsia="ko-KR"/>
              </w:rPr>
              <w:t>Specify bandwidth aggregation for positioning measurements across up to</w:t>
            </w:r>
            <w:r>
              <w:rPr>
                <w:rFonts w:eastAsia="MS Mincho"/>
                <w:b/>
                <w:bCs/>
                <w:highlight w:val="yellow"/>
                <w:lang w:val="en-US" w:eastAsia="ko-KR"/>
              </w:rPr>
              <w:t xml:space="preserve"> three intra-band contiguous carriers</w:t>
            </w:r>
            <w:r>
              <w:rPr>
                <w:rFonts w:eastAsia="MS Mincho"/>
                <w:highlight w:val="yellow"/>
                <w:lang w:val="en-US" w:eastAsia="ko-KR"/>
              </w:rPr>
              <w:t xml:space="preserve"> [RAN1, RAN2, RAN4].</w:t>
            </w:r>
          </w:p>
          <w:p>
            <w:pPr>
              <w:numPr>
                <w:ilvl w:val="1"/>
                <w:numId w:val="3"/>
              </w:numPr>
              <w:overflowPunct/>
              <w:autoSpaceDE/>
              <w:autoSpaceDN/>
              <w:adjustRightInd/>
              <w:spacing w:after="0" w:line="276" w:lineRule="auto"/>
              <w:textAlignment w:val="auto"/>
              <w:rPr>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3"/>
              </w:numPr>
              <w:overflowPunct/>
              <w:autoSpaceDE/>
              <w:autoSpaceDN/>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UE/gNB Rx-Tx time difference).</w:t>
            </w:r>
          </w:p>
          <w:p>
            <w:pPr>
              <w:pStyle w:val="70"/>
              <w:numPr>
                <w:ilvl w:val="1"/>
                <w:numId w:val="3"/>
              </w:numPr>
              <w:rPr>
                <w:b/>
                <w:bCs/>
              </w:rPr>
            </w:pPr>
            <w:r>
              <w:rPr>
                <w:highlight w:val="yellow"/>
                <w:lang w:val="en-US" w:eastAsia="ko-KR"/>
              </w:rPr>
              <w:t>Specify RRM requirements</w:t>
            </w:r>
            <w:r>
              <w:rPr>
                <w:b w:val="0"/>
                <w:bCs w:val="0"/>
                <w:highlight w:val="yellow"/>
                <w:lang w:val="en-US" w:eastAsia="ko-KR"/>
              </w:rPr>
              <w:t xml:space="preserve"> with measurement gaps</w:t>
            </w:r>
            <w:r>
              <w:rPr>
                <w:highlight w:val="yellow"/>
                <w:lang w:val="en-US" w:eastAsia="ko-KR"/>
              </w:rPr>
              <w:t xml:space="preserve"> in connected mode, and in inactive mode, including PRS measurement period/reporting [RAN4].</w:t>
            </w:r>
          </w:p>
          <w:p>
            <w:pPr>
              <w:numPr>
                <w:ilvl w:val="0"/>
                <w:numId w:val="4"/>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enhancements for enabling LPHAP use-case 6 as defined in TS 22.104 including:</w:t>
            </w:r>
          </w:p>
          <w:p>
            <w:pPr>
              <w:numPr>
                <w:ilvl w:val="1"/>
                <w:numId w:val="4"/>
              </w:numPr>
              <w:overflowPunct/>
              <w:autoSpaceDE/>
              <w:autoSpaceDN/>
              <w:adjustRightInd/>
              <w:spacing w:after="0"/>
              <w:textAlignment w:val="auto"/>
              <w:rPr>
                <w:rFonts w:eastAsia="MS Mincho"/>
                <w:highlight w:val="yellow"/>
                <w:lang w:val="en-US" w:eastAsia="ko-KR"/>
              </w:rPr>
            </w:pPr>
            <w:r>
              <w:rPr>
                <w:highlight w:val="yellow"/>
                <w:lang w:val="en-US" w:eastAsia="ko-KR"/>
              </w:rPr>
              <w:t>Extending eDRX cycle beyond 10.24s in RRC_INACTIVE state towards meeting the battery life requirement for LPHAP [RAN2, RAN3, RAN4]</w:t>
            </w:r>
          </w:p>
          <w:p>
            <w:pPr>
              <w:numPr>
                <w:ilvl w:val="2"/>
                <w:numId w:val="4"/>
              </w:numPr>
              <w:overflowPunct/>
              <w:autoSpaceDE/>
              <w:autoSpaceDN/>
              <w:adjustRightInd/>
              <w:spacing w:after="0"/>
              <w:textAlignment w:val="auto"/>
              <w:rPr>
                <w:rFonts w:eastAsia="MS Mincho"/>
                <w:lang w:val="en-US" w:eastAsia="ko-KR"/>
              </w:rPr>
            </w:pPr>
            <w:r>
              <w:rPr>
                <w:rFonts w:eastAsia="MS Mincho"/>
                <w:lang w:val="en-US" w:eastAsia="ko-KR"/>
              </w:rPr>
              <w:t>Positioning-specific enhancement for eDRX cycle beyond 10.24s to be defined as part of Rel-18 WI on expanded and improved NR positioning.</w:t>
            </w:r>
          </w:p>
          <w:p>
            <w:pPr>
              <w:numPr>
                <w:ilvl w:val="3"/>
                <w:numId w:val="4"/>
              </w:numPr>
              <w:overflowPunct/>
              <w:autoSpaceDE/>
              <w:autoSpaceDN/>
              <w:adjustRightInd/>
              <w:spacing w:after="0"/>
              <w:textAlignment w:val="auto"/>
              <w:rPr>
                <w:rFonts w:eastAsia="MS Mincho"/>
                <w:lang w:val="en-US" w:eastAsia="ko-KR"/>
              </w:rPr>
            </w:pPr>
            <w:r>
              <w:rPr>
                <w:rFonts w:eastAsia="MS Mincho"/>
                <w:lang w:val="en-US" w:eastAsia="ko-KR"/>
              </w:rPr>
              <w:t>NOTE: Work on this objective should be coordinated with that in Rel-18 WI on eRedCap. Towards this, the feature of extending eDRX cycle beyond 10.24s should be defined as part of Rel-18 WI on eRedCap.</w:t>
            </w:r>
          </w:p>
          <w:p>
            <w:pPr>
              <w:numPr>
                <w:ilvl w:val="2"/>
                <w:numId w:val="4"/>
              </w:numPr>
              <w:overflowPunct/>
              <w:autoSpaceDE/>
              <w:autoSpaceDN/>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pPr>
              <w:numPr>
                <w:ilvl w:val="1"/>
                <w:numId w:val="4"/>
              </w:numPr>
              <w:overflowPunct/>
              <w:autoSpaceDE/>
              <w:autoSpaceDN/>
              <w:adjustRightInd/>
              <w:spacing w:after="0" w:line="276" w:lineRule="auto"/>
              <w:textAlignment w:val="auto"/>
              <w:rPr>
                <w:b/>
                <w:bCs/>
              </w:rPr>
            </w:pPr>
            <w:r>
              <w:rPr>
                <w:highlight w:val="yellow"/>
                <w:lang w:val="en-US" w:eastAsia="ko-KR"/>
              </w:rPr>
              <w:t>Specify corresponding new core requirements, as well as identifying and specifying the impact on the existing RAN4 specification, including RRM measurements and procedures [RAN4].</w:t>
            </w:r>
          </w:p>
        </w:tc>
      </w:tr>
    </w:tbl>
    <w:p>
      <w:pPr>
        <w:spacing w:after="0"/>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rPr>
          <w:rFonts w:hint="eastAsia" w:eastAsia="宋体"/>
          <w:lang w:val="en-US" w:eastAsia="zh-CN"/>
        </w:rPr>
        <w:t>At RAN4 #106, we mainly discuss the bandwidth aggregation for positioning measurements across up to three intra-band contiguous carriers, especially the RRM requirements with measurement gaps in connected mode, and in inactive mode, including PRS measurement period/reporting.</w:t>
      </w:r>
    </w:p>
    <w:p>
      <w:pPr>
        <w:pStyle w:val="74"/>
        <w:rPr>
          <w:lang w:val="en-US"/>
        </w:rPr>
      </w:pPr>
      <w:r>
        <w:rPr>
          <w:lang w:val="en-US"/>
        </w:rPr>
        <w:t>Discussion</w:t>
      </w:r>
    </w:p>
    <w:p>
      <w:pPr>
        <w:pStyle w:val="3"/>
        <w:bidi w:val="0"/>
        <w:rPr>
          <w:rFonts w:hint="default"/>
          <w:sz w:val="28"/>
          <w:szCs w:val="18"/>
          <w:lang w:val="en-US" w:eastAsia="zh-CN"/>
        </w:rPr>
      </w:pPr>
      <w:r>
        <w:rPr>
          <w:rFonts w:hint="eastAsia"/>
          <w:sz w:val="28"/>
          <w:szCs w:val="18"/>
          <w:lang w:val="en-US" w:eastAsia="zh-CN"/>
        </w:rPr>
        <w:t>2.1 Bandwidth aggregation for positioning measurements</w:t>
      </w:r>
    </w:p>
    <w:p>
      <w:pPr>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eastAsia="宋体"/>
          <w:lang w:val="en-US" w:eastAsia="zh-CN"/>
        </w:rPr>
      </w:pPr>
      <w:r>
        <w:rPr>
          <w:rFonts w:hint="eastAsia" w:eastAsia="宋体"/>
          <w:lang w:val="en-US" w:eastAsia="zh-CN"/>
        </w:rPr>
        <w:t>Firstly, we do the illustration on carrier aggregation (CA) as below:</w:t>
      </w:r>
    </w:p>
    <w:p>
      <w:pPr>
        <w:jc w:val="center"/>
        <w:rPr>
          <w:rFonts w:hint="default" w:eastAsia="宋体"/>
          <w:lang w:val="en-US" w:eastAsia="zh-CN"/>
        </w:rPr>
      </w:pPr>
      <w:r>
        <w:rPr>
          <w:rFonts w:hint="default" w:eastAsia="宋体"/>
          <w:lang w:val="en-US" w:eastAsia="zh-CN"/>
        </w:rPr>
        <w:drawing>
          <wp:inline distT="0" distB="0" distL="114300" distR="114300">
            <wp:extent cx="5270500" cy="2306320"/>
            <wp:effectExtent l="0" t="0" r="0" b="0"/>
            <wp:docPr id="3" name="图片 3" descr="C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_3"/>
                    <pic:cNvPicPr>
                      <a:picLocks noChangeAspect="1"/>
                    </pic:cNvPicPr>
                  </pic:nvPicPr>
                  <pic:blipFill>
                    <a:blip r:embed="rId6"/>
                    <a:stretch>
                      <a:fillRect/>
                    </a:stretch>
                  </pic:blipFill>
                  <pic:spPr>
                    <a:xfrm>
                      <a:off x="0" y="0"/>
                      <a:ext cx="5270500" cy="230632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Figure 1  PRS bandwidth aggregation</w:t>
      </w:r>
    </w:p>
    <w:p>
      <w:pPr>
        <w:jc w:val="center"/>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 xml:space="preserve">As shown in figure1, i.e. we have three component carriers (CCs), the CC1 is 5M and the rest of CCs are 10M. For multi-carrier positioning measurement, we aggregate three CCs into </w:t>
      </w:r>
      <w:r>
        <w:rPr>
          <w:rFonts w:hint="default" w:eastAsia="宋体"/>
          <w:lang w:val="en-US" w:eastAsia="zh-CN"/>
        </w:rPr>
        <w:t>“</w:t>
      </w:r>
      <w:r>
        <w:rPr>
          <w:rFonts w:hint="eastAsia" w:eastAsia="宋体"/>
          <w:lang w:val="en-US" w:eastAsia="zh-CN"/>
        </w:rPr>
        <w:t>one</w:t>
      </w:r>
      <w:r>
        <w:rPr>
          <w:rFonts w:hint="default" w:eastAsia="宋体"/>
          <w:lang w:val="en-US" w:eastAsia="zh-CN"/>
        </w:rPr>
        <w:t>”</w:t>
      </w:r>
      <w:r>
        <w:rPr>
          <w:rFonts w:hint="eastAsia" w:eastAsia="宋体"/>
          <w:lang w:val="en-US" w:eastAsia="zh-CN"/>
        </w:rPr>
        <w:t xml:space="preserve"> carrier, it equals the transmitted channel is 25M. And then we have the wider transmitted channel to transmit the signals simultaneously. And we also do the illustration on the DL positioning procedure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4663440" cy="2953385"/>
            <wp:effectExtent l="0" t="0" r="0" b="3175"/>
            <wp:docPr id="1" name="图片 1"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3"/>
                    <pic:cNvPicPr>
                      <a:picLocks noChangeAspect="1"/>
                    </pic:cNvPicPr>
                  </pic:nvPicPr>
                  <pic:blipFill>
                    <a:blip r:embed="rId7"/>
                    <a:stretch>
                      <a:fillRect/>
                    </a:stretch>
                  </pic:blipFill>
                  <pic:spPr>
                    <a:xfrm>
                      <a:off x="0" y="0"/>
                      <a:ext cx="4663440" cy="2953385"/>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2  DL positioning procedure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lang w:val="en-US" w:eastAsia="zh-CN"/>
        </w:rPr>
      </w:pPr>
      <w:r>
        <w:rPr>
          <w:rFonts w:hint="eastAsia" w:eastAsia="宋体"/>
          <w:lang w:val="en-US" w:eastAsia="zh-CN"/>
        </w:rPr>
        <w:t>What we want to express is that UE measures DL-PRS with different methods, such as RSRP, RSTD or other values in step 3. The UE will receive the assistance data and start the measurement, i.g. RSTD measurement, the measurement period shall be considered and in TS38.133 we have already defined the RSTD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b/>
          <w:bCs/>
          <w:lang w:val="en-US" w:eastAsia="zh-CN"/>
        </w:rPr>
      </w:pPr>
      <w:r>
        <w:rPr>
          <w:rFonts w:hint="eastAsia" w:eastAsia="宋体"/>
          <w:b/>
          <w:bCs/>
          <w:lang w:val="en-US" w:eastAsia="zh-CN"/>
        </w:rPr>
        <w:t>Connected or 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u w:val="none"/>
              </w:rPr>
            </w:pPr>
            <w:r>
              <w:rPr>
                <w:i/>
                <w:iCs/>
                <w:u w:val="none"/>
              </w:rPr>
              <w:tab/>
            </w:r>
            <m:oMath>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RSTD,Total</m:t>
                  </m:r>
                  <m:ctrlPr>
                    <w:rPr>
                      <w:rFonts w:ascii="Cambria Math" w:hAnsi="Cambria Math"/>
                      <w:i/>
                      <w:iCs/>
                      <w:u w:val="none"/>
                    </w:rPr>
                  </m:ctrlPr>
                </m:sub>
              </m:sSub>
              <m:r>
                <m:rPr/>
                <w:rPr>
                  <w:rFonts w:ascii="Cambria Math" w:hAnsi="Cambria Math"/>
                  <w:u w:val="none"/>
                </w:rPr>
                <m:t>=</m:t>
              </m:r>
              <m:nary>
                <m:naryPr>
                  <m:chr m:val="∑"/>
                  <m:limLoc m:val="undOvr"/>
                  <m:ctrlPr>
                    <w:rPr>
                      <w:rFonts w:ascii="Cambria Math" w:hAnsi="Cambria Math"/>
                      <w:i/>
                      <w:iCs/>
                      <w:u w:val="none"/>
                    </w:rPr>
                  </m:ctrlPr>
                </m:naryPr>
                <m:sub>
                  <m:r>
                    <m:rPr/>
                    <w:rPr>
                      <w:rFonts w:hint="default" w:ascii="Cambria Math" w:hAnsi="Cambria Math"/>
                      <w:u w:val="none"/>
                    </w:rPr>
                    <m:t>i=1</m:t>
                  </m:r>
                  <m:ctrlPr>
                    <w:rPr>
                      <w:rFonts w:ascii="Cambria Math" w:hAnsi="Cambria Math"/>
                      <w:i/>
                      <w:iCs/>
                      <w:u w:val="none"/>
                    </w:rPr>
                  </m:ctrlPr>
                </m:sub>
                <m:sup>
                  <m:r>
                    <m:rPr/>
                    <w:rPr>
                      <w:rFonts w:hint="default" w:ascii="Cambria Math" w:hAnsi="Cambria Math"/>
                      <w:u w:val="none"/>
                    </w:rPr>
                    <m:t>L</m:t>
                  </m:r>
                  <m:ctrlPr>
                    <w:rPr>
                      <w:rFonts w:ascii="Cambria Math" w:hAnsi="Cambria Math"/>
                      <w:i/>
                      <w:iCs/>
                      <w:u w:val="none"/>
                    </w:rPr>
                  </m:ctrlPr>
                </m:sup>
                <m:e>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RSTD,i</m:t>
                      </m:r>
                      <m:ctrlPr>
                        <w:rPr>
                          <w:rFonts w:ascii="Cambria Math" w:hAnsi="Cambria Math"/>
                          <w:i/>
                          <w:iCs/>
                          <w:u w:val="none"/>
                        </w:rPr>
                      </m:ctrlPr>
                    </m:sub>
                  </m:sSub>
                  <m:r>
                    <m:rPr/>
                    <w:rPr>
                      <w:rFonts w:ascii="Cambria Math" w:hAnsi="Cambria Math"/>
                      <w:u w:val="none"/>
                    </w:rPr>
                    <m:t xml:space="preserve">+ </m:t>
                  </m:r>
                  <m:d>
                    <m:dPr>
                      <m:ctrlPr>
                        <w:rPr>
                          <w:rFonts w:ascii="Cambria Math" w:hAnsi="Cambria Math"/>
                          <w:bCs/>
                          <w:i/>
                          <w:iCs/>
                          <w:u w:val="none"/>
                        </w:rPr>
                      </m:ctrlPr>
                    </m:dPr>
                    <m:e>
                      <m:r>
                        <m:rPr/>
                        <w:rPr>
                          <w:rFonts w:hint="default" w:ascii="Cambria Math" w:hAnsi="Cambria Math"/>
                          <w:u w:val="none"/>
                          <w:lang w:eastAsia="zh-CN"/>
                        </w:rPr>
                        <m:t>L−1</m:t>
                      </m:r>
                      <m:ctrlPr>
                        <w:rPr>
                          <w:rFonts w:ascii="Cambria Math" w:hAnsi="Cambria Math"/>
                          <w:bCs/>
                          <w:i/>
                          <w:iCs/>
                          <w:u w:val="none"/>
                        </w:rPr>
                      </m:ctrlPr>
                    </m:e>
                  </m:d>
                  <m:r>
                    <m:rPr/>
                    <w:rPr>
                      <w:rFonts w:ascii="Cambria Math" w:hAnsi="Cambria Math"/>
                      <w:u w:val="none"/>
                      <w:lang w:eastAsia="zh-CN"/>
                    </w:rPr>
                    <m:t>∗</m:t>
                  </m:r>
                  <m:func>
                    <m:funcPr>
                      <m:ctrlPr>
                        <w:rPr>
                          <w:rFonts w:ascii="Cambria Math" w:hAnsi="Cambria Math"/>
                          <w:bCs/>
                          <w:i/>
                          <w:iCs/>
                          <w:u w:val="none"/>
                        </w:rPr>
                      </m:ctrlPr>
                    </m:funcPr>
                    <m:fName>
                      <m:r>
                        <m:rPr/>
                        <w:rPr>
                          <w:rFonts w:hint="default" w:ascii="Cambria Math" w:hAnsi="Cambria Math"/>
                          <w:u w:val="none"/>
                          <w:lang w:eastAsia="zh-CN"/>
                        </w:rPr>
                        <m:t>max</m:t>
                      </m:r>
                      <m:ctrlPr>
                        <w:rPr>
                          <w:rFonts w:ascii="Cambria Math" w:hAnsi="Cambria Math"/>
                          <w:bCs/>
                          <w:i/>
                          <w:iCs/>
                          <w:u w:val="none"/>
                        </w:rPr>
                      </m:ctrlPr>
                    </m:fName>
                    <m:e>
                      <m:d>
                        <m:dPr>
                          <m:ctrlPr>
                            <w:rPr>
                              <w:rFonts w:ascii="Cambria Math" w:hAnsi="Cambria Math"/>
                              <w:bCs/>
                              <w:i/>
                              <w:iCs/>
                              <w:u w:val="none"/>
                            </w:rPr>
                          </m:ctrlPr>
                        </m:dPr>
                        <m:e>
                          <m:sSub>
                            <m:sSubPr>
                              <m:ctrlPr>
                                <w:rPr>
                                  <w:rFonts w:ascii="Cambria Math" w:hAnsi="Cambria Math"/>
                                  <w:bCs/>
                                  <w:i/>
                                  <w:iCs/>
                                  <w:u w:val="none"/>
                                </w:rPr>
                              </m:ctrlPr>
                            </m:sSubPr>
                            <m:e>
                              <m:r>
                                <m:rPr/>
                                <w:rPr>
                                  <w:rFonts w:hint="default" w:ascii="Cambria Math" w:hAnsi="Cambria Math"/>
                                  <w:u w:val="none"/>
                                  <w:lang w:eastAsia="zh-CN"/>
                                </w:rPr>
                                <m:t>T</m:t>
                              </m:r>
                              <m:ctrlPr>
                                <w:rPr>
                                  <w:rFonts w:ascii="Cambria Math" w:hAnsi="Cambria Math"/>
                                  <w:bCs/>
                                  <w:i/>
                                  <w:iCs/>
                                  <w:u w:val="none"/>
                                </w:rPr>
                              </m:ctrlPr>
                            </m:e>
                            <m:sub>
                              <m:r>
                                <m:rPr/>
                                <w:rPr>
                                  <w:rFonts w:hint="default" w:ascii="Cambria Math" w:hAnsi="Cambria Math"/>
                                  <w:u w:val="none"/>
                                  <w:lang w:eastAsia="zh-CN"/>
                                </w:rPr>
                                <m:t>effect,i</m:t>
                              </m:r>
                              <m:ctrlPr>
                                <w:rPr>
                                  <w:rFonts w:ascii="Cambria Math" w:hAnsi="Cambria Math"/>
                                  <w:bCs/>
                                  <w:i/>
                                  <w:iCs/>
                                  <w:u w:val="none"/>
                                </w:rPr>
                              </m:ctrlPr>
                            </m:sub>
                          </m:sSub>
                          <m:ctrlPr>
                            <w:rPr>
                              <w:rFonts w:ascii="Cambria Math" w:hAnsi="Cambria Math"/>
                              <w:bCs/>
                              <w:i/>
                              <w:iCs/>
                              <w:u w:val="none"/>
                            </w:rPr>
                          </m:ctrlPr>
                        </m:e>
                      </m:d>
                      <m:ctrlPr>
                        <w:rPr>
                          <w:rFonts w:ascii="Cambria Math" w:hAnsi="Cambria Math"/>
                          <w:bCs/>
                          <w:i/>
                          <w:iCs/>
                          <w:u w:val="none"/>
                        </w:rPr>
                      </m:ctrlPr>
                    </m:e>
                  </m:func>
                  <m:r>
                    <m:rPr/>
                    <w:rPr>
                      <w:rFonts w:ascii="Cambria Math" w:hAnsi="Cambria Math"/>
                      <w:color w:val="0070C0"/>
                      <w:u w:val="none"/>
                      <w:lang w:eastAsia="zh-CN"/>
                    </w:rPr>
                    <m:t xml:space="preserve"> </m:t>
                  </m:r>
                  <m:ctrlPr>
                    <w:rPr>
                      <w:rFonts w:ascii="Cambria Math" w:hAnsi="Cambria Math"/>
                      <w:i/>
                      <w:iCs/>
                      <w:u w:val="none"/>
                    </w:rPr>
                  </m:ctrlPr>
                </m:e>
              </m:nary>
            </m:oMath>
          </w:p>
          <w:p>
            <w:pPr>
              <w:rPr>
                <w:i/>
                <w:iCs/>
                <w:u w:val="single"/>
                <w:lang w:eastAsia="zh-CN"/>
              </w:rPr>
            </w:pPr>
            <w:r>
              <w:rPr>
                <w:i/>
                <w:iCs/>
                <w:u w:val="single"/>
                <w:lang w:eastAsia="zh-CN"/>
              </w:rPr>
              <w:t>Where:</w:t>
            </w:r>
          </w:p>
          <w:p>
            <w:pPr>
              <w:pStyle w:val="49"/>
              <w:rPr>
                <w:i/>
                <w:iCs/>
                <w:highlight w:val="yellow"/>
                <w:u w:val="single"/>
                <w:lang w:eastAsia="zh-CN"/>
              </w:rPr>
            </w:pPr>
            <w:r>
              <w:rPr>
                <w:i/>
                <w:iCs/>
                <w:highlight w:val="yellow"/>
                <w:u w:val="single"/>
                <w:lang w:eastAsia="zh-CN"/>
              </w:rPr>
              <w:t>-</w:t>
            </w:r>
            <w:r>
              <w:rPr>
                <w:i/>
                <w:iCs/>
                <w:highlight w:val="yellow"/>
                <w:u w:val="single"/>
                <w:lang w:eastAsia="zh-CN"/>
              </w:rPr>
              <w:tab/>
            </w:r>
            <m:oMath>
              <m:r>
                <m:rPr/>
                <w:rPr>
                  <w:rFonts w:ascii="Cambria Math" w:hAnsi="Cambria Math"/>
                  <w:highlight w:val="yellow"/>
                  <w:u w:val="single"/>
                  <w:lang w:eastAsia="zh-CN"/>
                </w:rPr>
                <m:t>i</m:t>
              </m:r>
            </m:oMath>
            <w:r>
              <w:rPr>
                <w:i/>
                <w:iCs/>
                <w:highlight w:val="yellow"/>
                <w:u w:val="single"/>
                <w:lang w:eastAsia="zh-CN"/>
              </w:rPr>
              <w:t xml:space="preserve"> is the index of positioning frequency layer,</w:t>
            </w:r>
          </w:p>
          <w:p>
            <w:pPr>
              <w:pStyle w:val="49"/>
              <w:rPr>
                <w:i/>
                <w:iCs/>
                <w:highlight w:val="yellow"/>
                <w:u w:val="single"/>
                <w:lang w:eastAsia="zh-CN"/>
              </w:rPr>
            </w:pPr>
            <w:r>
              <w:rPr>
                <w:i/>
                <w:iCs/>
                <w:highlight w:val="yellow"/>
                <w:u w:val="single"/>
              </w:rPr>
              <w:t>-</w:t>
            </w:r>
            <w:r>
              <w:rPr>
                <w:i/>
                <w:iCs/>
                <w:highlight w:val="yellow"/>
                <w:u w:val="single"/>
              </w:rPr>
              <w:tab/>
            </w:r>
            <m:oMath>
              <m:r>
                <m:rPr/>
                <w:rPr>
                  <w:rFonts w:ascii="Cambria Math" w:hAnsi="Cambria Math"/>
                  <w:highlight w:val="yellow"/>
                  <w:u w:val="single"/>
                </w:rPr>
                <m:t>L</m:t>
              </m:r>
            </m:oMath>
            <w:r>
              <w:rPr>
                <w:i/>
                <w:iCs/>
                <w:highlight w:val="yellow"/>
                <w:u w:val="single"/>
              </w:rPr>
              <w:t xml:space="preserve"> is total number of </w:t>
            </w:r>
            <w:r>
              <w:rPr>
                <w:i/>
                <w:iCs/>
                <w:highlight w:val="yellow"/>
                <w:u w:val="single"/>
                <w:lang w:eastAsia="zh-CN"/>
              </w:rPr>
              <w:t xml:space="preserve">positioning </w:t>
            </w:r>
            <w:r>
              <w:rPr>
                <w:i/>
                <w:iCs/>
                <w:highlight w:val="yellow"/>
                <w:u w:val="single"/>
              </w:rPr>
              <w:t>frequency layers, and</w:t>
            </w:r>
          </w:p>
          <w:p>
            <w:pPr>
              <w:pStyle w:val="49"/>
              <w:rPr>
                <w:i/>
                <w:iCs/>
                <w:sz w:val="18"/>
                <w:szCs w:val="18"/>
                <w:highlight w:val="yellow"/>
                <w:u w:val="single"/>
                <w:lang w:eastAsia="zh-CN"/>
              </w:rPr>
            </w:pPr>
            <w:r>
              <w:rPr>
                <w:i/>
                <w:iCs/>
                <w:highlight w:val="yellow"/>
                <w:u w:val="single"/>
              </w:rPr>
              <w:t>-</w:t>
            </w:r>
            <w:r>
              <w:rPr>
                <w:i/>
                <w:iCs/>
                <w:highlight w:val="yellow"/>
                <w:u w:val="single"/>
              </w:rPr>
              <w:tab/>
            </w:r>
            <m:oMath>
              <m:sSub>
                <m:sSubPr>
                  <m:ctrlPr>
                    <w:rPr>
                      <w:rFonts w:ascii="Cambria Math" w:hAnsi="Cambria Math"/>
                      <w:bCs/>
                      <w:i/>
                      <w:iCs/>
                      <w:highlight w:val="yellow"/>
                      <w:u w:val="single"/>
                    </w:rPr>
                  </m:ctrlPr>
                </m:sSubPr>
                <m:e>
                  <m:r>
                    <m:rPr/>
                    <w:rPr>
                      <w:rFonts w:hint="default" w:ascii="Cambria Math" w:hAnsi="Cambria Math"/>
                      <w:highlight w:val="yellow"/>
                      <w:u w:val="single"/>
                      <w:lang w:eastAsia="zh-CN"/>
                    </w:rPr>
                    <m:t>T</m:t>
                  </m:r>
                  <m:ctrlPr>
                    <w:rPr>
                      <w:rFonts w:ascii="Cambria Math" w:hAnsi="Cambria Math"/>
                      <w:bCs/>
                      <w:i/>
                      <w:iCs/>
                      <w:highlight w:val="yellow"/>
                      <w:u w:val="single"/>
                    </w:rPr>
                  </m:ctrlPr>
                </m:e>
                <m:sub>
                  <m:r>
                    <m:rPr/>
                    <w:rPr>
                      <w:rFonts w:hint="default" w:ascii="Cambria Math" w:hAnsi="Cambria Math"/>
                      <w:highlight w:val="yellow"/>
                      <w:u w:val="single"/>
                      <w:lang w:eastAsia="zh-CN"/>
                    </w:rPr>
                    <m:t>effect,</m:t>
                  </m:r>
                  <m:r>
                    <m:rPr/>
                    <w:rPr>
                      <w:rFonts w:ascii="Cambria Math" w:hAnsi="Cambria Math"/>
                      <w:highlight w:val="yellow"/>
                      <w:u w:val="single"/>
                      <w:lang w:eastAsia="zh-CN"/>
                    </w:rPr>
                    <m:t>i</m:t>
                  </m:r>
                  <m:ctrlPr>
                    <w:rPr>
                      <w:rFonts w:ascii="Cambria Math" w:hAnsi="Cambria Math"/>
                      <w:bCs/>
                      <w:i/>
                      <w:iCs/>
                      <w:highlight w:val="yellow"/>
                      <w:u w:val="single"/>
                    </w:rPr>
                  </m:ctrlPr>
                </m:sub>
              </m:sSub>
            </m:oMath>
            <w:r>
              <w:rPr>
                <w:bCs/>
                <w:i/>
                <w:iCs/>
                <w:highlight w:val="yellow"/>
                <w:u w:val="single"/>
                <w:lang w:eastAsia="zh-CN"/>
              </w:rPr>
              <w:t xml:space="preserve"> </w:t>
            </w:r>
            <w:r>
              <w:rPr>
                <w:i/>
                <w:iCs/>
                <w:highlight w:val="yellow"/>
                <w:u w:val="single"/>
              </w:rPr>
              <w:t xml:space="preserve">is the periodicity of the </w:t>
            </w:r>
            <w:r>
              <w:rPr>
                <w:i/>
                <w:iCs/>
                <w:highlight w:val="yellow"/>
                <w:u w:val="single"/>
                <w:lang w:eastAsia="zh-CN"/>
              </w:rPr>
              <w:t>PRS RSTD</w:t>
            </w:r>
            <w:r>
              <w:rPr>
                <w:i/>
                <w:iCs/>
                <w:highlight w:val="yellow"/>
                <w:u w:val="single"/>
              </w:rPr>
              <w:t xml:space="preserve"> measurement in </w:t>
            </w:r>
            <w:r>
              <w:rPr>
                <w:i/>
                <w:iCs/>
                <w:highlight w:val="yellow"/>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rPr>
                <w:b/>
                <w:bCs/>
              </w:rPr>
            </w:pPr>
            <w:r>
              <w:rPr>
                <w:i/>
                <w:iCs/>
                <w:u w:val="none"/>
              </w:rPr>
              <w:tab/>
            </w:r>
            <m:oMath>
              <m:sSub>
                <m:sSubPr>
                  <m:ctrlPr>
                    <w:rPr>
                      <w:rFonts w:ascii="Cambria Math" w:hAnsi="Cambria Math"/>
                      <w:i/>
                      <w:iCs/>
                      <w:u w:val="none"/>
                    </w:rPr>
                  </m:ctrlPr>
                </m:sSubPr>
                <m:e>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RSTD,i</m:t>
                  </m:r>
                  <m:ctrlPr>
                    <w:rPr>
                      <w:rFonts w:ascii="Cambria Math" w:hAnsi="Cambria Math"/>
                      <w:i/>
                      <w:iCs/>
                      <w:u w:val="none"/>
                    </w:rPr>
                  </m:ctrlPr>
                </m:sub>
              </m:sSub>
              <m:r>
                <m:rPr/>
                <w:rPr>
                  <w:rFonts w:ascii="Cambria Math" w:hAnsi="Cambria Math"/>
                  <w:u w:val="none"/>
                  <w:lang w:eastAsia="zh-CN"/>
                </w:rPr>
                <m:t xml:space="preserve">= </m:t>
              </m:r>
              <m:sSub>
                <m:sSubPr>
                  <m:ctrlPr>
                    <w:rPr>
                      <w:rFonts w:ascii="Cambria Math" w:hAnsi="Cambria Math"/>
                      <w:i/>
                      <w:iCs/>
                      <w:u w:val="none"/>
                    </w:rPr>
                  </m:ctrlPr>
                </m:sSubPr>
                <m:e>
                  <m:d>
                    <m:dPr>
                      <m:ctrlPr>
                        <w:rPr>
                          <w:rFonts w:ascii="Cambria Math" w:hAnsi="Cambria Math"/>
                          <w:i/>
                          <w:iCs/>
                          <w:u w:val="none"/>
                        </w:rPr>
                      </m:ctrlPr>
                    </m:dPr>
                    <m:e>
                      <m:sSub>
                        <m:sSubPr>
                          <m:ctrlPr>
                            <w:rPr>
                              <w:rFonts w:ascii="Cambria Math" w:hAnsi="Cambria Math"/>
                              <w:bCs/>
                              <w:i/>
                              <w:iCs/>
                              <w:u w:val="none"/>
                            </w:rPr>
                          </m:ctrlPr>
                        </m:sSubPr>
                        <m:e>
                          <m:sSub>
                            <m:sSubPr>
                              <m:ctrlPr>
                                <w:rPr>
                                  <w:rFonts w:ascii="Cambria Math" w:hAnsi="Cambria Math"/>
                                  <w:i/>
                                  <w:iCs/>
                                  <w:u w:val="none"/>
                                </w:rPr>
                              </m:ctrlPr>
                            </m:sSubPr>
                            <m:e>
                              <m:r>
                                <m:rPr/>
                                <w:rPr>
                                  <w:rFonts w:ascii="Cambria Math" w:hAnsi="Cambria Math"/>
                                  <w:u w:val="none"/>
                                  <w:lang w:eastAsia="zh-CN"/>
                                </w:rPr>
                                <m:t>K</m:t>
                              </m:r>
                              <m:ctrlPr>
                                <w:rPr>
                                  <w:rFonts w:ascii="Cambria Math" w:hAnsi="Cambria Math"/>
                                  <w:i/>
                                  <w:iCs/>
                                  <w:u w:val="none"/>
                                </w:rPr>
                              </m:ctrlPr>
                            </m:e>
                            <m:sub>
                              <m:r>
                                <m:rPr/>
                                <w:rPr>
                                  <w:rFonts w:hint="default" w:ascii="Cambria Math" w:hAnsi="Cambria Math"/>
                                  <w:u w:val="none"/>
                                  <w:lang w:eastAsia="zh-CN"/>
                                </w:rPr>
                                <m:t>carrier_PRS</m:t>
                              </m:r>
                              <m:ctrlPr>
                                <w:rPr>
                                  <w:rFonts w:ascii="Cambria Math" w:hAnsi="Cambria Math"/>
                                  <w:i/>
                                  <w:iCs/>
                                  <w:u w:val="none"/>
                                </w:rPr>
                              </m:ctrlPr>
                            </m:sub>
                          </m:sSub>
                          <m:r>
                            <m:rPr/>
                            <w:rPr>
                              <w:rFonts w:ascii="Cambria Math" w:hAnsi="Cambria Math"/>
                              <w:u w:val="none"/>
                            </w:rPr>
                            <m:t xml:space="preserve">∗ </m:t>
                          </m:r>
                          <m:sSub>
                            <m:sSubPr>
                              <m:ctrlPr>
                                <w:rPr>
                                  <w:rFonts w:ascii="Cambria Math" w:hAnsi="Cambria Math" w:eastAsia="MS Mincho"/>
                                  <w:i/>
                                  <w:iCs/>
                                  <w:u w:val="none"/>
                                </w:rPr>
                              </m:ctrlPr>
                            </m:sSubPr>
                            <m:e>
                              <m:r>
                                <m:rPr/>
                                <w:rPr>
                                  <w:rFonts w:ascii="Cambria Math" w:hAnsi="Cambria Math" w:eastAsia="MS Mincho"/>
                                  <w:u w:val="none"/>
                                </w:rPr>
                                <m:t>N</m:t>
                              </m:r>
                              <m:ctrlPr>
                                <w:rPr>
                                  <w:rFonts w:ascii="Cambria Math" w:hAnsi="Cambria Math" w:eastAsia="MS Mincho"/>
                                  <w:i/>
                                  <w:iCs/>
                                  <w:u w:val="none"/>
                                </w:rPr>
                              </m:ctrlPr>
                            </m:e>
                            <m:sub>
                              <m:r>
                                <m:rPr/>
                                <w:rPr>
                                  <w:rFonts w:ascii="Cambria Math" w:hAnsi="Cambria Math" w:eastAsia="MS Mincho"/>
                                  <w:u w:val="none"/>
                                </w:rPr>
                                <m:t>Rx,TEG,i</m:t>
                              </m:r>
                              <m:ctrlPr>
                                <w:rPr>
                                  <w:rFonts w:ascii="Cambria Math" w:hAnsi="Cambria Math" w:eastAsia="MS Mincho"/>
                                  <w:i/>
                                  <w:iCs/>
                                  <w:u w:val="none"/>
                                </w:rPr>
                              </m:ctrlPr>
                            </m:sub>
                          </m:sSub>
                          <m:r>
                            <m:rPr/>
                            <w:rPr>
                              <w:rFonts w:ascii="Cambria Math" w:hAnsi="Cambria Math"/>
                              <w:u w:val="none"/>
                            </w:rPr>
                            <m:t>∗N</m:t>
                          </m:r>
                          <m:ctrlPr>
                            <w:rPr>
                              <w:rFonts w:ascii="Cambria Math" w:hAnsi="Cambria Math"/>
                              <w:bCs/>
                              <w:i/>
                              <w:iCs/>
                              <w:u w:val="none"/>
                            </w:rPr>
                          </m:ctrlPr>
                        </m:e>
                        <m:sub>
                          <m:r>
                            <m:rPr/>
                            <w:rPr>
                              <w:rFonts w:ascii="Cambria Math" w:hAnsi="Cambria Math"/>
                              <w:u w:val="none"/>
                            </w:rPr>
                            <m:t>RxBeam,i</m:t>
                          </m:r>
                          <m:ctrlPr>
                            <w:rPr>
                              <w:rFonts w:ascii="Cambria Math" w:hAnsi="Cambria Math"/>
                              <w:bCs/>
                              <w:i/>
                              <w:iCs/>
                              <w:u w:val="none"/>
                            </w:rPr>
                          </m:ctrlPr>
                        </m:sub>
                      </m:sSub>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Sup>
                                <m:sSubSupPr>
                                  <m:ctrlPr>
                                    <w:rPr>
                                      <w:rFonts w:ascii="Cambria Math" w:hAnsi="Cambria Math"/>
                                      <w:i/>
                                      <w:iCs/>
                                      <w:u w:val="none"/>
                                    </w:rPr>
                                  </m:ctrlPr>
                                </m:sSubSupPr>
                                <m:e>
                                  <m:r>
                                    <m:rPr/>
                                    <w:rPr>
                                      <w:rFonts w:ascii="Cambria Math" w:hAnsi="Cambria Math"/>
                                      <w:u w:val="none"/>
                                    </w:rPr>
                                    <m:t>N</m:t>
                                  </m:r>
                                  <m:ctrlPr>
                                    <w:rPr>
                                      <w:rFonts w:ascii="Cambria Math" w:hAnsi="Cambria Math"/>
                                      <w:i/>
                                      <w:iCs/>
                                      <w:u w:val="none"/>
                                    </w:rPr>
                                  </m:ctrlPr>
                                </m:e>
                                <m:sub>
                                  <m:r>
                                    <m:rPr/>
                                    <w:rPr>
                                      <w:rFonts w:ascii="Cambria Math" w:hAnsi="Cambria Math"/>
                                      <w:u w:val="none"/>
                                    </w:rPr>
                                    <m:t>PRS</m:t>
                                  </m:r>
                                  <m:r>
                                    <m:rPr>
                                      <m:nor/>
                                    </m:rPr>
                                    <w:rPr>
                                      <w:rFonts w:ascii="Cambria Math" w:hAnsi="Cambria Math"/>
                                      <w:b w:val="0"/>
                                      <w:i/>
                                      <w:iCs/>
                                      <w:u w:val="none"/>
                                    </w:rPr>
                                    <m:t>,i</m:t>
                                  </m:r>
                                  <m:ctrlPr>
                                    <w:rPr>
                                      <w:rFonts w:ascii="Cambria Math" w:hAnsi="Cambria Math"/>
                                      <w:i/>
                                      <w:iCs/>
                                      <w:u w:val="none"/>
                                    </w:rPr>
                                  </m:ctrlPr>
                                </m:sub>
                                <m:sup>
                                  <m:r>
                                    <m:rPr/>
                                    <w:rPr>
                                      <w:rFonts w:ascii="Cambria Math" w:hAnsi="Cambria Math"/>
                                      <w:u w:val="none"/>
                                    </w:rPr>
                                    <m:t>slot</m:t>
                                  </m:r>
                                  <m:ctrlPr>
                                    <w:rPr>
                                      <w:rFonts w:ascii="Cambria Math" w:hAnsi="Cambria Math"/>
                                      <w:i/>
                                      <w:iCs/>
                                      <w:u w:val="none"/>
                                    </w:rPr>
                                  </m:ctrlPr>
                                </m:sup>
                              </m:sSubSup>
                              <m:ctrlPr>
                                <w:rPr>
                                  <w:rFonts w:ascii="Cambria Math" w:hAnsi="Cambria Math"/>
                                  <w:i/>
                                  <w:iCs/>
                                  <w:u w:val="none"/>
                                </w:rPr>
                              </m:ctrlPr>
                            </m:num>
                            <m:den>
                              <m:sSup>
                                <m:sSupPr>
                                  <m:ctrlPr>
                                    <w:rPr>
                                      <w:rFonts w:ascii="Cambria Math" w:hAnsi="Cambria Math"/>
                                      <w:i/>
                                      <w:iCs/>
                                      <w:u w:val="none"/>
                                    </w:rPr>
                                  </m:ctrlPr>
                                </m:sSupPr>
                                <m:e>
                                  <m:r>
                                    <m:rPr/>
                                    <w:rPr>
                                      <w:rFonts w:ascii="Cambria Math" w:hAnsi="Cambria Math"/>
                                      <w:u w:val="none"/>
                                    </w:rPr>
                                    <m:t>N</m:t>
                                  </m:r>
                                  <m:ctrlPr>
                                    <w:rPr>
                                      <w:rFonts w:ascii="Cambria Math" w:hAnsi="Cambria Math"/>
                                      <w:i/>
                                      <w:iCs/>
                                      <w:u w:val="none"/>
                                    </w:rPr>
                                  </m:ctrlPr>
                                </m:e>
                                <m:sup>
                                  <m:r>
                                    <m:rPr/>
                                    <w:rPr>
                                      <w:rFonts w:hint="eastAsia" w:ascii="Cambria Math" w:hAnsi="Cambria Math"/>
                                      <w:u w:val="none"/>
                                    </w:rPr>
                                    <m:t>'</m:t>
                                  </m:r>
                                  <m:ctrlPr>
                                    <w:rPr>
                                      <w:rFonts w:ascii="Cambria Math" w:hAnsi="Cambria Math"/>
                                      <w:i/>
                                      <w:iCs/>
                                      <w:u w:val="none"/>
                                    </w:rPr>
                                  </m:ctrlPr>
                                </m:sup>
                              </m:sSup>
                              <m:ctrlPr>
                                <w:rPr>
                                  <w:rFonts w:ascii="Cambria Math" w:hAnsi="Cambria Math"/>
                                  <w:i/>
                                  <w:iCs/>
                                  <w:u w:val="none"/>
                                </w:rPr>
                              </m:ctrlPr>
                            </m:den>
                          </m:f>
                          <m:ctrlPr>
                            <w:rPr>
                              <w:rFonts w:ascii="Cambria Math" w:hAnsi="Cambria Math"/>
                              <w:i/>
                              <w:iCs/>
                              <w:u w:val="none"/>
                            </w:rPr>
                          </m:ctrlPr>
                        </m:e>
                      </m:d>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
                                <m:sSubPr>
                                  <m:ctrlPr>
                                    <w:rPr>
                                      <w:rFonts w:ascii="Cambria Math" w:hAnsi="Cambria Math"/>
                                      <w:i/>
                                      <w:iCs/>
                                      <w:u w:val="none"/>
                                      <w:lang w:eastAsia="zh-CN"/>
                                    </w:rPr>
                                  </m:ctrlPr>
                                </m:sSubPr>
                                <m:e>
                                  <m:r>
                                    <m:rPr/>
                                    <w:rPr>
                                      <w:rFonts w:ascii="Cambria Math" w:hAnsi="Cambria Math"/>
                                      <w:u w:val="none"/>
                                      <w:lang w:eastAsia="zh-CN"/>
                                    </w:rPr>
                                    <m:t>L</m:t>
                                  </m:r>
                                  <m:ctrlPr>
                                    <w:rPr>
                                      <w:rFonts w:ascii="Cambria Math" w:hAnsi="Cambria Math"/>
                                      <w:i/>
                                      <w:iCs/>
                                      <w:u w:val="none"/>
                                      <w:lang w:eastAsia="zh-CN"/>
                                    </w:rPr>
                                  </m:ctrlPr>
                                </m:e>
                                <m:sub>
                                  <m:r>
                                    <m:rPr/>
                                    <w:rPr>
                                      <w:rFonts w:ascii="Cambria Math" w:hAnsi="Cambria Math"/>
                                      <w:u w:val="none"/>
                                      <w:lang w:eastAsia="zh-CN"/>
                                    </w:rPr>
                                    <m:t>available_PRS</m:t>
                                  </m:r>
                                  <m:r>
                                    <m:rPr/>
                                    <w:rPr>
                                      <w:rFonts w:hint="default" w:ascii="Cambria Math" w:hAnsi="Cambria Math"/>
                                      <w:u w:val="none"/>
                                      <w:lang w:eastAsia="zh-CN"/>
                                    </w:rPr>
                                    <m:t>,i</m:t>
                                  </m:r>
                                  <m:ctrlPr>
                                    <w:rPr>
                                      <w:rFonts w:ascii="Cambria Math" w:hAnsi="Cambria Math"/>
                                      <w:i/>
                                      <w:iCs/>
                                      <w:u w:val="none"/>
                                      <w:lang w:eastAsia="zh-CN"/>
                                    </w:rPr>
                                  </m:ctrlPr>
                                </m:sub>
                              </m:sSub>
                              <m:ctrlPr>
                                <w:rPr>
                                  <w:rFonts w:ascii="Cambria Math" w:hAnsi="Cambria Math"/>
                                  <w:i/>
                                  <w:iCs/>
                                  <w:u w:val="none"/>
                                </w:rPr>
                              </m:ctrlPr>
                            </m:num>
                            <m:den>
                              <m:r>
                                <m:rPr/>
                                <w:rPr>
                                  <w:rFonts w:ascii="Cambria Math" w:hAnsi="Cambria Math"/>
                                  <w:u w:val="none"/>
                                </w:rPr>
                                <m:t>N</m:t>
                              </m:r>
                              <m:ctrlPr>
                                <w:rPr>
                                  <w:rFonts w:ascii="Cambria Math" w:hAnsi="Cambria Math"/>
                                  <w:i/>
                                  <w:iCs/>
                                  <w:u w:val="none"/>
                                </w:rPr>
                              </m:ctrlPr>
                            </m:den>
                          </m:f>
                          <m:ctrlPr>
                            <w:rPr>
                              <w:rFonts w:ascii="Cambria Math" w:hAnsi="Cambria Math"/>
                              <w:i/>
                              <w:iCs/>
                              <w:u w:val="none"/>
                            </w:rPr>
                          </m:ctrlPr>
                        </m:e>
                      </m:d>
                      <m:r>
                        <m:rPr/>
                        <w:rPr>
                          <w:rFonts w:ascii="Cambria Math" w:hAnsi="Cambria Math"/>
                          <w:u w:val="none"/>
                          <w:lang w:eastAsia="zh-CN"/>
                        </w:rPr>
                        <m:t>∗</m:t>
                      </m:r>
                      <m:sSub>
                        <m:sSubPr>
                          <m:ctrlPr>
                            <w:rPr>
                              <w:rFonts w:ascii="Cambria Math" w:hAnsi="Cambria Math"/>
                              <w:i/>
                              <w:iCs/>
                              <w:u w:val="none"/>
                            </w:rPr>
                          </m:ctrlPr>
                        </m:sSubPr>
                        <m:e>
                          <m:r>
                            <m:rPr/>
                            <w:rPr>
                              <w:rFonts w:ascii="Cambria Math" w:hAnsi="Cambria Math"/>
                              <w:u w:val="none"/>
                            </w:rPr>
                            <m:t>N</m:t>
                          </m:r>
                          <m:ctrlPr>
                            <w:rPr>
                              <w:rFonts w:ascii="Cambria Math" w:hAnsi="Cambria Math"/>
                              <w:i/>
                              <w:iCs/>
                              <w:u w:val="none"/>
                            </w:rPr>
                          </m:ctrlPr>
                        </m:e>
                        <m:sub>
                          <m:r>
                            <m:rPr/>
                            <w:rPr>
                              <w:rFonts w:ascii="Cambria Math" w:hAnsi="Cambria Math"/>
                              <w:u w:val="none"/>
                            </w:rPr>
                            <m:t>sample</m:t>
                          </m:r>
                          <m:ctrlPr>
                            <w:rPr>
                              <w:rFonts w:ascii="Cambria Math" w:hAnsi="Cambria Math"/>
                              <w:i/>
                              <w:iCs/>
                              <w:u w:val="none"/>
                            </w:rPr>
                          </m:ctrlPr>
                        </m:sub>
                      </m:sSub>
                      <m:r>
                        <m:rPr/>
                        <w:rPr>
                          <w:rFonts w:ascii="Cambria Math" w:hAnsi="Cambria Math"/>
                          <w:u w:val="none"/>
                        </w:rPr>
                        <m:t>−1</m:t>
                      </m:r>
                      <m:ctrlPr>
                        <w:rPr>
                          <w:rFonts w:ascii="Cambria Math" w:hAnsi="Cambria Math"/>
                          <w:i/>
                          <w:iCs/>
                          <w:u w:val="none"/>
                        </w:rPr>
                      </m:ctrlPr>
                    </m:e>
                  </m:d>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effect,i</m:t>
                  </m:r>
                  <m:ctrlPr>
                    <w:rPr>
                      <w:rFonts w:ascii="Cambria Math" w:hAnsi="Cambria Math"/>
                      <w:i/>
                      <w:iCs/>
                      <w:u w:val="none"/>
                    </w:rPr>
                  </m:ctrlPr>
                </m:sub>
              </m:sSub>
              <m:r>
                <m:rPr/>
                <w:rPr>
                  <w:rFonts w:ascii="Cambria Math" w:hAnsi="Cambria Math"/>
                  <w:u w:val="none"/>
                  <w:lang w:eastAsia="zh-CN"/>
                </w:rPr>
                <m:t>+</m:t>
              </m:r>
              <m:sSub>
                <m:sSubPr>
                  <m:ctrlPr>
                    <w:rPr>
                      <w:rFonts w:ascii="Cambria Math" w:hAnsi="Cambria Math"/>
                      <w:i/>
                      <w:iCs/>
                      <w:u w:val="none"/>
                    </w:rPr>
                  </m:ctrlPr>
                </m:sSubPr>
                <m:e>
                  <m:r>
                    <m:rPr>
                      <m:nor/>
                    </m:rPr>
                    <w:rPr>
                      <w:rFonts w:ascii="Cambria Math" w:hAnsi="Cambria Math"/>
                      <w:b w:val="0"/>
                      <w:i/>
                      <w:iCs/>
                      <w:u w:val="none"/>
                    </w:rPr>
                    <m:t>T</m:t>
                  </m:r>
                  <m:ctrlPr>
                    <w:rPr>
                      <w:rFonts w:ascii="Cambria Math" w:hAnsi="Cambria Math"/>
                      <w:i/>
                      <w:iCs/>
                      <w:u w:val="none"/>
                    </w:rPr>
                  </m:ctrlPr>
                </m:e>
                <m:sub>
                  <m:r>
                    <m:rPr>
                      <m:nor/>
                    </m:rPr>
                    <w:rPr>
                      <w:rFonts w:ascii="Cambria Math" w:hAnsi="Cambria Math"/>
                      <w:b w:val="0"/>
                      <w:i/>
                      <w:iCs/>
                      <w:u w:val="none"/>
                    </w:rPr>
                    <m:t>last</m:t>
                  </m:r>
                  <m:r>
                    <m:rPr/>
                    <w:rPr>
                      <w:rFonts w:hint="default" w:ascii="Cambria Math" w:hAnsi="Cambria Math"/>
                      <w:u w:val="none"/>
                    </w:rPr>
                    <m:t>,i</m:t>
                  </m:r>
                  <m:ctrlPr>
                    <w:rPr>
                      <w:rFonts w:ascii="Cambria Math" w:hAnsi="Cambria Math"/>
                      <w:i/>
                      <w:iCs/>
                      <w:u w:val="none"/>
                    </w:rPr>
                  </m:ctrlPr>
                </m:sub>
              </m:sSub>
            </m:oMath>
            <w:r>
              <w:rPr>
                <w:i/>
                <w:iCs/>
                <w:u w:val="none"/>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In this meeting, we mainly define the measurement period on bandwidth aggregation for positioning measurements across up to three intra-band contiguous carriers, and the legacy measurement period can be used as baseline. T</w:t>
      </w:r>
      <w:r>
        <w:t>he measurement period for positioning is calculated on a basis of PFL (</w:t>
      </w:r>
      <m:oMath>
        <m:r>
          <m:rPr/>
          <w:rPr>
            <w:rFonts w:ascii="Cambria Math" w:hAnsi="Cambria Math"/>
            <w:szCs w:val="21"/>
          </w:rPr>
          <m:t>i</m:t>
        </m:r>
      </m:oMath>
      <w:r>
        <w:rPr>
          <w:szCs w:val="21"/>
        </w:rPr>
        <w:t xml:space="preserve"> is the index of PFL</w:t>
      </w:r>
      <w:r>
        <w:t>). Inside one positioning measurement gap config the UE is only expected to measure a single DL-PRS PFL. And different positioning MG is not overlapping in time domain</w:t>
      </w:r>
      <w:r>
        <w:rPr>
          <w:rFonts w:hint="eastAsia" w:eastAsia="宋体"/>
          <w:lang w:val="en-US" w:eastAsia="zh-CN"/>
        </w:rPr>
        <w:t xml:space="preserve"> as shown in figure 3</w:t>
      </w:r>
      <w:r>
        <w:t>.</w:t>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lang w:val="en-US" w:eastAsia="zh-CN"/>
        </w:rPr>
      </w:pPr>
      <w:r>
        <w:rPr>
          <w:rFonts w:hint="eastAsia"/>
        </w:rPr>
        <w:t>However, in CA scenario DL-PRS RSTD/RSRP/RSRPP/Rx-Tx time difference are not measured separately on multiple aggregated PFL, PFL as the basis of calculating measurement period may not be very appropriate and accurate.</w:t>
      </w:r>
      <w:r>
        <w:rPr>
          <w:rFonts w:hint="eastAsia" w:eastAsia="宋体"/>
          <w:lang w:val="en-US" w:eastAsia="zh-CN"/>
        </w:rPr>
        <w:t xml:space="preserve"> </w:t>
      </w:r>
      <w:r>
        <w:rPr>
          <w:rFonts w:hint="eastAsia"/>
        </w:rPr>
        <w:t>The measurement period of DL-PRS measured simultaneously in multiple PFLs should be no smaller or larger than that of DL-PRS measured in one PFL but no larger than or smaller than the sum of measurement period of multiple PFLs</w:t>
      </w:r>
      <w:r>
        <w:rPr>
          <w:rFonts w:hint="eastAsia" w:eastAsia="宋体"/>
          <w:lang w:val="en-US" w:eastAsia="zh-CN"/>
        </w:rPr>
        <w:t xml:space="preserve"> as shown in 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In the following paragraphs, we provide </w:t>
      </w:r>
      <w:r>
        <w:rPr>
          <w:rFonts w:hint="eastAsia" w:eastAsia="宋体"/>
          <w:lang w:val="en-US" w:eastAsia="zh-CN"/>
        </w:rPr>
        <w:t>the</w:t>
      </w:r>
      <w:r>
        <w:rPr>
          <w:rFonts w:hint="eastAsia"/>
        </w:rPr>
        <w:t xml:space="preserve"> solution: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82110" cy="3005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82110" cy="300545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r>
        <w:rPr>
          <w:rFonts w:hint="eastAsia" w:eastAsia="宋体"/>
          <w:lang w:val="en-US" w:eastAsia="zh-CN"/>
        </w:rPr>
        <w:t>Figure 3</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76395" cy="30118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76395" cy="301180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For the period of multiple aggregated frequency layers positioning measurement,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 xml:space="preserve">aggregated PFLs can be regarded as one PFL due to DL-PRS are simultaneously received and measured in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aggregated PFLs. The measurement period requirement of a referent PFL (</w:t>
      </w:r>
      <m:oMath>
        <m:r>
          <m:rPr>
            <m:sty m:val="p"/>
          </m:rPr>
          <w:rPr>
            <w:rFonts w:ascii="Cambria Math" w:hAnsi="Cambria Math"/>
          </w:rPr>
          <m:t>r</m:t>
        </m:r>
      </m:oMath>
      <w:r>
        <w:t xml:space="preserve">) can be used as the reference of other PFLs’ measurement period requirement in the same group. </w:t>
      </w:r>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RSTD,r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PRS−RSRPP,r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UERxTx,r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Where </w:t>
      </w:r>
      <m:oMath>
        <m:r>
          <m:rPr>
            <m:sty m:val="p"/>
          </m:rPr>
          <w:rPr>
            <w:rFonts w:ascii="Cambria Math" w:hAnsi="Cambria Math"/>
          </w:rPr>
          <m:t>L</m:t>
        </m:r>
      </m:oMath>
      <w:r>
        <w:t xml:space="preserve"> is the total number of positioning frequency layers,</w:t>
      </w:r>
      <w:r>
        <w:rPr>
          <w:rFonts w:hint="eastAsia"/>
        </w:rPr>
        <w:t xml:space="preserve"> </w:t>
      </w:r>
      <m:oMath>
        <m:r>
          <m:rPr>
            <m:sty m:val="p"/>
          </m:rPr>
          <w:rPr>
            <w:rFonts w:ascii="Cambria Math" w:hAnsi="Cambria Math"/>
          </w:rPr>
          <m:t>L=</m:t>
        </m:r>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2</m:t>
            </m:r>
            <m:ctrlPr>
              <w:rPr>
                <w:rFonts w:ascii="Cambria Math" w:hAnsi="Cambria Math"/>
              </w:rPr>
            </m:ctrlPr>
          </m:sub>
        </m:sSub>
      </m:oMath>
      <w: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 xml:space="preserve">is the number of positioning frequency layers which used for bandwidth/carrier aggregation.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hint="eastAsia"/>
        </w:rPr>
        <w:t xml:space="preserve"> </w:t>
      </w:r>
      <w:r>
        <w:t>is the total number of PFLs minus the number of PFLs which used for bandwidth/carrier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A scaling factor</w:t>
      </w:r>
      <m:oMath>
        <m:r>
          <m:rPr>
            <m:sty m:val="p"/>
          </m:rPr>
          <w:rPr>
            <w:rFonts w:ascii="Cambria Math" w:hAnsi="Cambria Math"/>
          </w:rPr>
          <m:t xml:space="preserve"> S</m:t>
        </m:r>
      </m:oMath>
      <w:r>
        <w:t xml:space="preserve"> can be introduced since the complexity of UE simultaneously measuring DL-PRS in multiple aggregated PFLs is larger than the complexity of UE measuring DL-PRS in one PFL. </w:t>
      </w:r>
      <m:oMath>
        <m:r>
          <m:rPr>
            <m:sty m:val="p"/>
          </m:rPr>
          <w:rPr>
            <w:rFonts w:ascii="Cambria Math" w:hAnsi="Cambria Math"/>
          </w:rPr>
          <m:t>S≤1</m:t>
        </m:r>
      </m:oMath>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rPr>
          <w:rFonts w:hint="eastAsia"/>
        </w:rPr>
        <w:t>A</w:t>
      </w:r>
      <w:r>
        <w:t xml:space="preserve">lternatively, the scaling factor </w:t>
      </w:r>
      <m:oMath>
        <m:sSub>
          <m:sSubPr>
            <m:ctrlPr>
              <w:rPr>
                <w:rFonts w:ascii="Cambria Math" w:hAnsi="Cambria Math"/>
              </w:rPr>
            </m:ctrlPr>
          </m:sSubPr>
          <m:e>
            <m:r>
              <m:rPr>
                <m:sty m:val="p"/>
              </m:rPr>
              <w:rPr>
                <w:rFonts w:ascii="Cambria Math" w:hAnsi="Cambria Math"/>
              </w:rPr>
              <m:t>S</m:t>
            </m:r>
            <m:ctrlPr>
              <w:rPr>
                <w:rFonts w:ascii="Cambria Math" w:hAnsi="Cambria Math"/>
              </w:rPr>
            </m:ctrlPr>
          </m:e>
          <m:sub>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t xml:space="preserve"> is larger than 1 and associated with the number of positioning frequency layers which used for bandwidth/carrier aggregation.</w:t>
      </w:r>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RSTD,r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PRS−RSRPP,r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UERxTx,r</m:t>
              </m:r>
              <m:ctrlPr>
                <w:rPr>
                  <w:rFonts w:ascii="Cambria Math" w:hAnsi="Cambria Math"/>
                  <w:iCs/>
                  <w:highlight w:val="yellow"/>
                </w:rPr>
              </m:ctrlPr>
            </m:sub>
          </m:sSub>
          <m:r>
            <m:rPr>
              <m:sty m:val="p"/>
            </m:rPr>
            <w:rPr>
              <w:rFonts w:ascii="Cambria Math" w:hAnsi="Cambria Math"/>
            </w:rPr>
            <m:t xml:space="preserve">+ </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L</m:t>
                  </m:r>
                  <m:ctrlPr>
                    <w:rPr>
                      <w:rFonts w:ascii="Cambria Math" w:hAnsi="Cambria Math"/>
                      <w:iCs/>
                    </w:rPr>
                  </m:ctrlPr>
                </m:e>
                <m:sub>
                  <m:r>
                    <m:rPr/>
                    <w:rPr>
                      <w:rFonts w:ascii="Cambria Math" w:hAnsi="Cambria Math"/>
                    </w:rPr>
                    <m:t>2</m:t>
                  </m:r>
                  <m:ctrlPr>
                    <w:rPr>
                      <w:rFonts w:ascii="Cambria Math" w:hAnsi="Cambria Math"/>
                      <w:iCs/>
                    </w:rPr>
                  </m:ctrlPr>
                </m:sub>
              </m:sSub>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ctrlPr>
                    <w:rPr>
                      <w:rFonts w:ascii="Cambria Math" w:hAnsi="Cambria Math"/>
                      <w:bCs/>
                      <w:iCs/>
                    </w:rPr>
                  </m:ctrlP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ctrlPr>
                            <w:rPr>
                              <w:rFonts w:ascii="Cambria Math" w:hAnsi="Cambria Math"/>
                              <w:bCs/>
                              <w:iCs/>
                            </w:rPr>
                          </m:ctrlPr>
                        </m:e>
                        <m:sub>
                          <m:r>
                            <m:rPr>
                              <m:sty m:val="p"/>
                            </m:rPr>
                            <w:rPr>
                              <w:rFonts w:ascii="Cambria Math" w:hAnsi="Cambria Math"/>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rPr>
                <m:t xml:space="preserve"> </m:t>
              </m:r>
              <m:ctrlPr>
                <w:rPr>
                  <w:rFonts w:ascii="Cambria Math" w:hAnsi="Cambria Math"/>
                  <w:iCs/>
                </w:rPr>
              </m:ctrlPr>
            </m:e>
          </m:nary>
        </m:oMath>
      </m:oMathPara>
    </w:p>
    <w:p>
      <w:pPr>
        <w:snapToGrid w:val="0"/>
      </w:pPr>
    </w:p>
    <w:p>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eastAsia="宋体"/>
          <w:b/>
          <w:bCs/>
          <w:lang w:val="en-US" w:eastAsia="zh-CN"/>
        </w:rPr>
      </w:pPr>
      <w:r>
        <w:rPr>
          <w:rFonts w:hint="eastAsia" w:eastAsia="宋体"/>
          <w:b/>
          <w:bCs/>
          <w:lang w:val="en-US" w:eastAsia="zh-CN"/>
        </w:rPr>
        <w:t>Proposal 1: The measurement period requirement of a referent PFL (r) can be used as the reference of other PFLs</w:t>
      </w:r>
      <w:r>
        <w:rPr>
          <w:rFonts w:hint="default" w:eastAsia="宋体"/>
          <w:b/>
          <w:bCs/>
          <w:lang w:val="en-US" w:eastAsia="zh-CN"/>
        </w:rPr>
        <w:t>’</w:t>
      </w:r>
      <w:r>
        <w:rPr>
          <w:rFonts w:hint="eastAsia" w:eastAsia="宋体"/>
          <w:b/>
          <w:bCs/>
          <w:lang w:val="en-US" w:eastAsia="zh-CN"/>
        </w:rPr>
        <w:t xml:space="preserve"> measurement period requirement in the same group. </w:t>
      </w:r>
    </w:p>
    <w:p>
      <w:pPr>
        <w:keepNext w:val="0"/>
        <w:keepLines w:val="0"/>
        <w:pageBreakBefore w:val="0"/>
        <w:widowControl/>
        <w:numPr>
          <w:ilvl w:val="0"/>
          <w:numId w:val="5"/>
        </w:numPr>
        <w:kinsoku/>
        <w:wordWrap/>
        <w:overflowPunct/>
        <w:topLinePunct w:val="0"/>
        <w:autoSpaceDE/>
        <w:autoSpaceDN/>
        <w:bidi w:val="0"/>
        <w:adjustRightInd/>
        <w:snapToGrid w:val="0"/>
        <w:spacing w:line="360" w:lineRule="auto"/>
        <w:ind w:left="420" w:leftChars="0" w:hanging="420" w:firstLineChars="0"/>
        <w:jc w:val="both"/>
        <w:textAlignment w:val="auto"/>
        <w:rPr>
          <w:rFonts w:hint="eastAsia" w:eastAsia="宋体"/>
          <w:b/>
          <w:bCs/>
          <w:lang w:val="en-US" w:eastAsia="zh-CN"/>
        </w:rPr>
      </w:pPr>
    </w:p>
    <w:p>
      <w:pPr>
        <w:snapToGrid w:val="0"/>
        <w:rPr>
          <w:rFonts w:hint="eastAsia" w:eastAsia="宋体"/>
          <w:b/>
          <w:bCs/>
          <w:highlight w:val="none"/>
          <w:lang w:val="en-US" w:eastAsia="zh-CN"/>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Where  is the total number of positioning frequency layers,  </w:t>
      </w:r>
      <m:oMath>
        <m:r>
          <m:rPr>
            <m:sty m:val="b"/>
          </m:rPr>
          <w:rPr>
            <w:rFonts w:hint="default" w:ascii="Cambria Math" w:hAnsi="Cambria Math" w:eastAsia="宋体" w:cs="Times New Roman"/>
            <w:lang w:val="en-US" w:eastAsia="zh-CN" w:bidi="ar-SA"/>
          </w:rPr>
          <m:t>L=</m:t>
        </m:r>
        <m:sSub>
          <m:sSubPr>
            <m:ctrlPr>
              <w:rPr>
                <w:rFonts w:hint="default" w:ascii="Cambria Math" w:hAnsi="Cambria Math" w:eastAsia="宋体" w:cs="Times New Roman"/>
                <w:b/>
                <w:bCs/>
                <w:lang w:val="en-US" w:eastAsia="zh-CN" w:bidi="ar-SA"/>
              </w:rPr>
            </m:ctrlPr>
          </m:sSubPr>
          <m:e>
            <m:r>
              <m:rPr>
                <m:sty m:val="b"/>
              </m:rPr>
              <w:rPr>
                <w:rFonts w:hint="default" w:ascii="Cambria Math" w:hAnsi="Cambria Math" w:eastAsia="宋体" w:cs="Times New Roman"/>
                <w:lang w:val="en-US" w:eastAsia="zh-CN" w:bidi="ar-SA"/>
              </w:rPr>
              <m:t>L</m:t>
            </m:r>
            <m:ctrlPr>
              <w:rPr>
                <w:rFonts w:hint="default" w:ascii="Cambria Math" w:hAnsi="Cambria Math" w:eastAsia="宋体" w:cs="Times New Roman"/>
                <w:b/>
                <w:bCs/>
                <w:lang w:val="en-US" w:eastAsia="zh-CN" w:bidi="ar-SA"/>
              </w:rPr>
            </m:ctrlPr>
          </m:e>
          <m:sub>
            <m:r>
              <m:rPr>
                <m:sty m:val="b"/>
              </m:rPr>
              <w:rPr>
                <w:rFonts w:hint="default" w:ascii="Cambria Math" w:hAnsi="Cambria Math" w:eastAsia="宋体" w:cs="Times New Roman"/>
                <w:lang w:val="en-US" w:eastAsia="zh-CN" w:bidi="ar-SA"/>
              </w:rPr>
              <m:t>1</m:t>
            </m:r>
            <m:ctrlPr>
              <w:rPr>
                <w:rFonts w:hint="default" w:ascii="Cambria Math" w:hAnsi="Cambria Math" w:eastAsia="宋体" w:cs="Times New Roman"/>
                <w:b/>
                <w:bCs/>
                <w:lang w:val="en-US" w:eastAsia="zh-CN" w:bidi="ar-SA"/>
              </w:rPr>
            </m:ctrlPr>
          </m:sub>
        </m:sSub>
        <m:r>
          <m:rPr>
            <m:sty m:val="b"/>
          </m:rPr>
          <w:rPr>
            <w:rFonts w:hint="default" w:ascii="Cambria Math" w:hAnsi="Cambria Math" w:eastAsia="宋体" w:cs="Times New Roman"/>
            <w:lang w:val="en-US" w:eastAsia="zh-CN" w:bidi="ar-SA"/>
          </w:rPr>
          <m:t>+</m:t>
        </m:r>
        <m:sSub>
          <m:sSubPr>
            <m:ctrlPr>
              <w:rPr>
                <w:rFonts w:hint="default" w:ascii="Cambria Math" w:hAnsi="Cambria Math" w:eastAsia="宋体" w:cs="Times New Roman"/>
                <w:b/>
                <w:bCs/>
                <w:lang w:val="en-US" w:eastAsia="zh-CN" w:bidi="ar-SA"/>
              </w:rPr>
            </m:ctrlPr>
          </m:sSubPr>
          <m:e>
            <m:r>
              <m:rPr>
                <m:sty m:val="b"/>
              </m:rPr>
              <w:rPr>
                <w:rFonts w:hint="default" w:ascii="Cambria Math" w:hAnsi="Cambria Math" w:eastAsia="宋体" w:cs="Times New Roman"/>
                <w:lang w:val="en-US" w:eastAsia="zh-CN" w:bidi="ar-SA"/>
              </w:rPr>
              <m:t>L</m:t>
            </m:r>
            <m:ctrlPr>
              <w:rPr>
                <w:rFonts w:hint="default" w:ascii="Cambria Math" w:hAnsi="Cambria Math" w:eastAsia="宋体" w:cs="Times New Roman"/>
                <w:b/>
                <w:bCs/>
                <w:lang w:val="en-US" w:eastAsia="zh-CN" w:bidi="ar-SA"/>
              </w:rPr>
            </m:ctrlPr>
          </m:e>
          <m:sub>
            <m:r>
              <m:rPr>
                <m:sty m:val="b"/>
              </m:rPr>
              <w:rPr>
                <w:rFonts w:hint="default" w:ascii="Cambria Math" w:hAnsi="Cambria Math" w:eastAsia="宋体" w:cs="Times New Roman"/>
                <w:lang w:val="en-US" w:eastAsia="zh-CN" w:bidi="ar-SA"/>
              </w:rPr>
              <m:t>2</m:t>
            </m:r>
            <m:ctrlPr>
              <w:rPr>
                <w:rFonts w:hint="default" w:ascii="Cambria Math" w:hAnsi="Cambria Math" w:eastAsia="宋体" w:cs="Times New Roman"/>
                <w:b/>
                <w:bCs/>
                <w:lang w:val="en-US" w:eastAsia="zh-CN" w:bidi="ar-SA"/>
              </w:rPr>
            </m:ctrlPr>
          </m:sub>
        </m:sSub>
      </m:oMath>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 </w:t>
      </w: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1</m:t>
            </m:r>
            <m:ctrlPr>
              <w:rPr>
                <w:rFonts w:ascii="Cambria Math" w:hAnsi="Cambria Math"/>
                <w:b/>
                <w:bCs/>
                <w:i/>
                <w:lang w:val="en-US"/>
              </w:rPr>
            </m:ctrlPr>
          </m:sub>
        </m:sSub>
        <m:r>
          <m:rPr>
            <m:sty m:val="bi"/>
          </m:rPr>
          <w:rPr>
            <w:rFonts w:hint="default" w:ascii="Cambria Math" w:hAnsi="Cambria Math" w:eastAsia="宋体"/>
            <w:lang w:val="en-US" w:eastAsia="zh-CN"/>
          </w:rPr>
          <m:t xml:space="preserve"> </m:t>
        </m:r>
      </m:oMath>
      <w:r>
        <w:rPr>
          <w:rFonts w:hint="default" w:eastAsia="宋体"/>
          <w:b/>
          <w:bCs/>
          <w:lang w:val="en-US" w:eastAsia="zh-CN"/>
        </w:rPr>
        <w:t xml:space="preserve">is the number of positioning frequency layers which used for bandwidth/carrier aggregation.  </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0" w:firstLineChars="10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 xml:space="preserve">2  </m:t>
            </m:r>
            <m:ctrlPr>
              <w:rPr>
                <w:rFonts w:ascii="Cambria Math" w:hAnsi="Cambria Math"/>
                <w:b/>
                <w:bCs/>
                <w:i/>
                <w:lang w:val="en-US"/>
              </w:rPr>
            </m:ctrlPr>
          </m:sub>
        </m:sSub>
      </m:oMath>
      <w:r>
        <w:rPr>
          <w:rFonts w:hint="default" w:eastAsia="宋体"/>
          <w:b/>
          <w:bCs/>
          <w:lang w:val="en-US" w:eastAsia="zh-CN"/>
        </w:rPr>
        <w:t>is the total number of PFLs minus the number of PFLs which used for bandwidth/carrier aggregation.</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401" w:leftChars="100" w:hanging="201" w:hangingChars="100"/>
        <w:jc w:val="both"/>
        <w:textAlignment w:val="auto"/>
        <w:rPr>
          <w:rFonts w:hint="default" w:eastAsia="宋体"/>
          <w:b/>
          <w:bCs/>
          <w:lang w:val="en-US" w:eastAsia="zh-CN"/>
        </w:rPr>
      </w:pPr>
      <w:r>
        <w:rPr>
          <w:rFonts w:hint="default" w:eastAsia="宋体"/>
          <w:b/>
          <w:bCs/>
          <w:lang w:val="en-US" w:eastAsia="zh-CN"/>
        </w:rPr>
        <w:t xml:space="preserve">A scaling factor </w:t>
      </w:r>
      <w:r>
        <w:rPr>
          <w:rFonts w:hint="eastAsia" w:eastAsia="宋体"/>
          <w:b/>
          <w:bCs/>
          <w:lang w:val="en-US" w:eastAsia="zh-CN"/>
        </w:rPr>
        <w:t xml:space="preserve">S </w:t>
      </w:r>
      <w:r>
        <w:rPr>
          <w:rFonts w:hint="default" w:eastAsia="宋体"/>
          <w:b/>
          <w:bCs/>
          <w:lang w:val="en-US" w:eastAsia="zh-CN"/>
        </w:rPr>
        <w:t xml:space="preserve">can be introduced since the complexity of UE simultaneously measuring DL-PRS in multiple aggregated PFLs is larger than the complexity of UE measuring DL-PRS in one PFL. </w:t>
      </w:r>
    </w:p>
    <w:p>
      <w:pPr>
        <w:keepNext w:val="0"/>
        <w:keepLines w:val="0"/>
        <w:pageBreakBefore w:val="0"/>
        <w:widowControl/>
        <w:numPr>
          <w:ilvl w:val="0"/>
          <w:numId w:val="6"/>
        </w:numPr>
        <w:kinsoku/>
        <w:wordWrap/>
        <w:overflowPunct/>
        <w:topLinePunct w:val="0"/>
        <w:autoSpaceDE/>
        <w:autoSpaceDN/>
        <w:bidi w:val="0"/>
        <w:adjustRightInd/>
        <w:snapToGrid w:val="0"/>
        <w:spacing w:line="360" w:lineRule="auto"/>
        <w:ind w:left="420" w:leftChars="0" w:hanging="420" w:firstLineChars="0"/>
        <w:jc w:val="both"/>
        <w:textAlignment w:val="auto"/>
        <w:rPr>
          <w:rFonts w:hint="default" w:eastAsia="宋体"/>
          <w:b/>
          <w:bCs/>
          <w:lang w:val="en-US" w:eastAsia="zh-CN"/>
        </w:rPr>
      </w:pPr>
      <w:r>
        <w:rPr>
          <w:rFonts w:hint="default" w:eastAsia="宋体"/>
          <w:b/>
          <w:bCs/>
          <w:lang w:val="en-US" w:eastAsia="zh-CN"/>
        </w:rPr>
        <w:t xml:space="preserve">Alternatively, the scaling factor </w:t>
      </w:r>
      <m:oMath>
        <m:sSub>
          <m:sSubPr>
            <m:ctrlPr>
              <w:rPr>
                <w:rFonts w:ascii="Cambria Math" w:hAnsi="Cambria Math"/>
                <w:b/>
                <w:bCs w:val="0"/>
                <w:i/>
                <w:lang w:val="en-US"/>
              </w:rPr>
            </m:ctrlPr>
          </m:sSubPr>
          <m:e>
            <m:r>
              <m:rPr>
                <m:sty m:val="bi"/>
              </m:rPr>
              <w:rPr>
                <w:rFonts w:hint="default" w:ascii="Cambria Math" w:hAnsi="Cambria Math" w:eastAsia="宋体"/>
                <w:lang w:val="en-US" w:eastAsia="zh-CN"/>
              </w:rPr>
              <m:t>S</m:t>
            </m:r>
            <m:ctrlPr>
              <w:rPr>
                <w:rFonts w:ascii="Cambria Math" w:hAnsi="Cambria Math"/>
                <w:b/>
                <w:bCs w:val="0"/>
                <w:i/>
                <w:lang w:val="en-US"/>
              </w:rPr>
            </m:ctrlPr>
          </m:e>
          <m:sub>
            <m:sSub>
              <m:sSubPr>
                <m:ctrlPr>
                  <w:rPr>
                    <w:rFonts w:ascii="Cambria Math" w:hAnsi="Cambria Math"/>
                    <w:b/>
                    <w:bCs w:val="0"/>
                    <w:i/>
                    <w:lang w:val="en-US"/>
                  </w:rPr>
                </m:ctrlPr>
              </m:sSubPr>
              <m:e>
                <m:r>
                  <m:rPr>
                    <m:sty m:val="bi"/>
                  </m:rPr>
                  <w:rPr>
                    <w:rFonts w:hint="default" w:ascii="Cambria Math" w:hAnsi="Cambria Math" w:eastAsia="宋体"/>
                    <w:lang w:val="en-US" w:eastAsia="zh-CN"/>
                  </w:rPr>
                  <m:t>L</m:t>
                </m:r>
                <m:ctrlPr>
                  <w:rPr>
                    <w:rFonts w:ascii="Cambria Math" w:hAnsi="Cambria Math"/>
                    <w:b/>
                    <w:bCs w:val="0"/>
                    <w:i/>
                    <w:lang w:val="en-US"/>
                  </w:rPr>
                </m:ctrlPr>
              </m:e>
              <m:sub>
                <m:r>
                  <m:rPr>
                    <m:sty m:val="bi"/>
                  </m:rPr>
                  <w:rPr>
                    <w:rFonts w:hint="default" w:ascii="Cambria Math" w:hAnsi="Cambria Math" w:eastAsia="宋体"/>
                    <w:lang w:val="en-US" w:eastAsia="zh-CN"/>
                  </w:rPr>
                  <m:t>1</m:t>
                </m:r>
                <m:ctrlPr>
                  <w:rPr>
                    <w:rFonts w:ascii="Cambria Math" w:hAnsi="Cambria Math"/>
                    <w:b/>
                    <w:bCs w:val="0"/>
                    <w:i/>
                    <w:lang w:val="en-US"/>
                  </w:rPr>
                </m:ctrlPr>
              </m:sub>
            </m:sSub>
            <m:ctrlPr>
              <w:rPr>
                <w:rFonts w:ascii="Cambria Math" w:hAnsi="Cambria Math"/>
                <w:b/>
                <w:bCs w:val="0"/>
                <w:i/>
                <w:lang w:val="en-US"/>
              </w:rPr>
            </m:ctrlPr>
          </m:sub>
        </m:sSub>
      </m:oMath>
      <w:r>
        <w:rPr>
          <w:rFonts w:hint="default" w:eastAsia="宋体"/>
          <w:b/>
          <w:bCs/>
          <w:lang w:val="en-US" w:eastAsia="zh-CN"/>
        </w:rPr>
        <w:t xml:space="preserve"> is larger than 1 and associated with the number of positioning frequency layers which used for bandwidth/carrier aggregation.</w:t>
      </w:r>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rFonts w:hAnsi="Cambria Math"/>
          <w:b/>
          <w:bCs/>
          <w:i w:val="0"/>
          <w:i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rFonts w:hint="default" w:hAnsi="Cambria Math"/>
          <w:b/>
          <w:bCs/>
          <w:i w:val="0"/>
          <w:iCs/>
          <w:highlight w:val="none"/>
          <w:lang w:val="en-US" w:eastAsia="zh-CN"/>
        </w:rPr>
      </w:pPr>
    </w:p>
    <w:p>
      <w:pPr>
        <w:pStyle w:val="3"/>
        <w:bidi w:val="0"/>
        <w:ind w:left="0" w:leftChars="0" w:firstLine="0" w:firstLineChars="0"/>
        <w:rPr>
          <w:rFonts w:hint="default"/>
          <w:sz w:val="28"/>
          <w:szCs w:val="18"/>
          <w:lang w:val="en-US" w:eastAsia="zh-CN"/>
        </w:rPr>
      </w:pPr>
      <w:r>
        <w:rPr>
          <w:rFonts w:hint="eastAsia"/>
          <w:sz w:val="28"/>
          <w:szCs w:val="18"/>
          <w:lang w:val="en-US" w:eastAsia="zh-CN"/>
        </w:rPr>
        <w:t>2.2  Low Power High Accuracy Positioning (LPHAP)</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w:t>
      </w:r>
      <w:r>
        <w:rPr>
          <w:rFonts w:hint="eastAsia" w:eastAsia="宋体"/>
          <w:lang w:val="en-US" w:eastAsia="zh-CN"/>
        </w:rPr>
        <w:t>-</w:t>
      </w:r>
      <w:r>
        <w:t xml:space="preserve">controller, and self-discharge of batteries into account. </w:t>
      </w:r>
    </w:p>
    <w:p>
      <w:pPr>
        <w:keepNext w:val="0"/>
        <w:keepLines w:val="0"/>
        <w:pageBreakBefore w:val="0"/>
        <w:widowControl/>
        <w:kinsoku/>
        <w:wordWrap/>
        <w:overflowPunct/>
        <w:topLinePunct w:val="0"/>
        <w:autoSpaceDE/>
        <w:autoSpaceDN/>
        <w:bidi w:val="0"/>
        <w:adjustRightInd/>
        <w:snapToGrid/>
        <w:spacing w:line="360" w:lineRule="auto"/>
        <w:textAlignment w:val="auto"/>
      </w:pPr>
      <w:r>
        <w:t xml:space="preserve">Examples of target applications for low power high accuracy positioning are asset tracking in process automation, tracking of vehicles, and tool tracking. </w:t>
      </w:r>
    </w:p>
    <w:p>
      <w:pPr>
        <w:keepNext w:val="0"/>
        <w:keepLines w:val="0"/>
        <w:pageBreakBefore w:val="0"/>
        <w:widowControl/>
        <w:kinsoku/>
        <w:wordWrap/>
        <w:overflowPunct/>
        <w:topLinePunct w:val="0"/>
        <w:autoSpaceDE/>
        <w:autoSpaceDN/>
        <w:bidi w:val="0"/>
        <w:adjustRightInd/>
        <w:snapToGrid/>
        <w:spacing w:line="360" w:lineRule="auto"/>
        <w:textAlignment w:val="auto"/>
      </w:pPr>
      <w:r>
        <w:t xml:space="preserve">Table </w:t>
      </w:r>
      <w:r>
        <w:rPr>
          <w:rFonts w:hint="eastAsia" w:eastAsia="宋体"/>
          <w:lang w:val="en-US" w:eastAsia="zh-CN"/>
        </w:rPr>
        <w:t>2</w:t>
      </w:r>
      <w:r>
        <w:t xml:space="preserve">.2-1 gives </w:t>
      </w:r>
      <w:r>
        <w:rPr>
          <w:rFonts w:hint="eastAsia"/>
        </w:rPr>
        <w:t xml:space="preserve">an indication of the required operation time of the 5G enabled IoT device and duty cycle </w:t>
      </w:r>
      <w:r>
        <w:t>of</w:t>
      </w:r>
      <w:r>
        <w:rPr>
          <w:rFonts w:hint="eastAsia"/>
        </w:rPr>
        <w:t xml:space="preserve"> the updated position information for </w:t>
      </w:r>
      <w:r>
        <w:t xml:space="preserve">different </w:t>
      </w:r>
      <w:r>
        <w:rPr>
          <w:rFonts w:hint="eastAsia"/>
        </w:rPr>
        <w:t>use cases</w:t>
      </w:r>
      <w:r>
        <w:t>.</w:t>
      </w:r>
    </w:p>
    <w:p>
      <w:pPr>
        <w:pStyle w:val="51"/>
        <w:rPr>
          <w:rFonts w:eastAsia="宋体"/>
        </w:rPr>
      </w:pPr>
      <w:r>
        <w:rPr>
          <w:rFonts w:eastAsia="宋体"/>
        </w:rPr>
        <w:t xml:space="preserve">Table </w:t>
      </w:r>
      <w:r>
        <w:rPr>
          <w:rFonts w:hint="eastAsia" w:eastAsia="宋体"/>
          <w:lang w:val="en-US" w:eastAsia="zh-CN"/>
        </w:rPr>
        <w:t>2</w:t>
      </w:r>
      <w:r>
        <w:rPr>
          <w:rFonts w:eastAsia="宋体"/>
        </w:rPr>
        <w:t xml:space="preserve">.2-1: Low power high </w:t>
      </w:r>
      <w:r>
        <w:t>accuracy</w:t>
      </w:r>
      <w:r>
        <w:rPr>
          <w:rFonts w:hint="eastAsia"/>
        </w:rPr>
        <w:t xml:space="preserve"> </w:t>
      </w:r>
      <w:r>
        <w:rPr>
          <w:rFonts w:eastAsia="宋体"/>
        </w:rPr>
        <w:t>positioning use cases</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lang w:val="en-US" w:eastAsia="zh-CN"/>
              </w:rPr>
            </w:pPr>
            <w: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1</w:t>
            </w:r>
          </w:p>
        </w:tc>
        <w:tc>
          <w:tcPr>
            <w:tcW w:w="1228" w:type="dxa"/>
            <w:noWrap w:val="0"/>
            <w:vAlign w:val="top"/>
          </w:tcPr>
          <w:p>
            <w:pPr>
              <w:spacing w:after="0"/>
              <w:rPr>
                <w:rFonts w:ascii="Arial" w:hAnsi="Arial" w:eastAsia="宋体"/>
                <w:sz w:val="18"/>
              </w:rPr>
            </w:pPr>
            <w:r>
              <w:rPr>
                <w:rFonts w:ascii="Arial" w:hAnsi="Arial" w:eastAsia="宋体"/>
                <w:sz w:val="18"/>
              </w:rPr>
              <w:t>10 m</w:t>
            </w:r>
          </w:p>
        </w:tc>
        <w:tc>
          <w:tcPr>
            <w:tcW w:w="1497" w:type="dxa"/>
            <w:noWrap w:val="0"/>
            <w:vAlign w:val="top"/>
          </w:tcPr>
          <w:p>
            <w:pPr>
              <w:spacing w:after="0"/>
              <w:rPr>
                <w:rFonts w:ascii="Arial" w:hAnsi="Arial" w:eastAsia="宋体"/>
                <w:sz w:val="18"/>
              </w:rPr>
            </w:pPr>
            <w:r>
              <w:rPr>
                <w:rFonts w:ascii="Arial" w:hAnsi="Arial" w:eastAsia="宋体"/>
                <w:sz w:val="18"/>
              </w:rPr>
              <w:t>Service Level 1</w:t>
            </w:r>
          </w:p>
        </w:tc>
        <w:tc>
          <w:tcPr>
            <w:tcW w:w="2058" w:type="dxa"/>
            <w:noWrap w:val="0"/>
            <w:vAlign w:val="top"/>
          </w:tcPr>
          <w:p>
            <w:pPr>
              <w:spacing w:after="0"/>
              <w:rPr>
                <w:rFonts w:ascii="Arial" w:hAnsi="Arial" w:eastAsia="宋体"/>
                <w:sz w:val="18"/>
              </w:rPr>
            </w:pPr>
            <w:r>
              <w:rPr>
                <w:rFonts w:ascii="Arial" w:hAnsi="Arial" w:eastAsia="宋体"/>
                <w:sz w:val="18"/>
              </w:rPr>
              <w:t>on request</w:t>
            </w:r>
          </w:p>
        </w:tc>
        <w:tc>
          <w:tcPr>
            <w:tcW w:w="3187" w:type="dxa"/>
            <w:noWrap w:val="0"/>
            <w:vAlign w:val="top"/>
          </w:tcPr>
          <w:p>
            <w:pPr>
              <w:spacing w:after="0"/>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2</w:t>
            </w:r>
          </w:p>
        </w:tc>
        <w:tc>
          <w:tcPr>
            <w:tcW w:w="1228" w:type="dxa"/>
            <w:noWrap w:val="0"/>
            <w:vAlign w:val="top"/>
          </w:tcPr>
          <w:p>
            <w:pPr>
              <w:spacing w:after="0"/>
              <w:rPr>
                <w:rFonts w:ascii="Arial" w:hAnsi="Arial" w:eastAsia="宋体"/>
                <w:sz w:val="18"/>
              </w:rPr>
            </w:pPr>
            <w:r>
              <w:rPr>
                <w:rFonts w:ascii="Arial" w:hAnsi="Arial" w:eastAsia="宋体"/>
                <w:sz w:val="18"/>
              </w:rPr>
              <w:t>2 m to 3 m</w:t>
            </w:r>
          </w:p>
        </w:tc>
        <w:tc>
          <w:tcPr>
            <w:tcW w:w="1497" w:type="dxa"/>
            <w:noWrap w:val="0"/>
            <w:vAlign w:val="top"/>
          </w:tcPr>
          <w:p>
            <w:pPr>
              <w:spacing w:after="0"/>
              <w:rPr>
                <w:rFonts w:ascii="Arial" w:hAnsi="Arial" w:eastAsia="宋体"/>
                <w:sz w:val="18"/>
              </w:rPr>
            </w:pPr>
            <w:r>
              <w:rPr>
                <w:rFonts w:ascii="Arial" w:hAnsi="Arial" w:eastAsia="宋体"/>
                <w:sz w:val="18"/>
              </w:rPr>
              <w:t>Service Level 2</w:t>
            </w:r>
          </w:p>
        </w:tc>
        <w:tc>
          <w:tcPr>
            <w:tcW w:w="2058" w:type="dxa"/>
            <w:noWrap w:val="0"/>
            <w:vAlign w:val="top"/>
          </w:tcPr>
          <w:p>
            <w:pPr>
              <w:spacing w:after="0"/>
              <w:rPr>
                <w:rFonts w:ascii="Arial" w:hAnsi="Arial" w:eastAsia="宋体"/>
                <w:sz w:val="18"/>
              </w:rPr>
            </w:pPr>
            <w:r>
              <w:rPr>
                <w:rFonts w:ascii="Arial" w:hAnsi="Arial" w:eastAsia="宋体"/>
                <w:sz w:val="18"/>
              </w:rPr>
              <w:t>&lt; 4 seconds</w:t>
            </w:r>
          </w:p>
        </w:tc>
        <w:tc>
          <w:tcPr>
            <w:tcW w:w="3187" w:type="dxa"/>
            <w:noWrap w:val="0"/>
            <w:vAlign w:val="top"/>
          </w:tcPr>
          <w:p>
            <w:pPr>
              <w:spacing w:after="0"/>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3</w:t>
            </w:r>
          </w:p>
        </w:tc>
        <w:tc>
          <w:tcPr>
            <w:tcW w:w="1228" w:type="dxa"/>
            <w:noWrap w:val="0"/>
            <w:vAlign w:val="top"/>
          </w:tcPr>
          <w:p>
            <w:pPr>
              <w:spacing w:after="0"/>
              <w:rPr>
                <w:rFonts w:ascii="Arial" w:hAnsi="Arial" w:eastAsia="宋体"/>
                <w:sz w:val="18"/>
              </w:rPr>
            </w:pPr>
            <w:r>
              <w:rPr>
                <w:rFonts w:ascii="Arial" w:hAnsi="Arial" w:eastAsia="宋体"/>
                <w:sz w:val="18"/>
              </w:rPr>
              <w:t>&lt; 1 m</w:t>
            </w:r>
          </w:p>
        </w:tc>
        <w:tc>
          <w:tcPr>
            <w:tcW w:w="1497" w:type="dxa"/>
            <w:noWrap w:val="0"/>
            <w:vAlign w:val="top"/>
          </w:tcPr>
          <w:p>
            <w:pPr>
              <w:spacing w:after="0"/>
              <w:rPr>
                <w:rFonts w:ascii="Arial" w:hAnsi="Arial" w:eastAsia="宋体"/>
                <w:sz w:val="18"/>
              </w:rPr>
            </w:pPr>
            <w:r>
              <w:rPr>
                <w:rFonts w:ascii="Arial" w:hAnsi="Arial" w:eastAsia="宋体"/>
                <w:sz w:val="18"/>
              </w:rPr>
              <w:t>Service Level 3</w:t>
            </w:r>
          </w:p>
        </w:tc>
        <w:tc>
          <w:tcPr>
            <w:tcW w:w="2058" w:type="dxa"/>
            <w:noWrap w:val="0"/>
            <w:vAlign w:val="top"/>
          </w:tcPr>
          <w:p>
            <w:pPr>
              <w:spacing w:after="0"/>
              <w:rPr>
                <w:rFonts w:ascii="Arial" w:hAnsi="Arial" w:eastAsia="宋体"/>
                <w:sz w:val="18"/>
              </w:rPr>
            </w:pPr>
            <w:r>
              <w:rPr>
                <w:rFonts w:ascii="Arial" w:hAnsi="Arial" w:eastAsia="宋体"/>
                <w:sz w:val="18"/>
              </w:rPr>
              <w:t>no indication</w:t>
            </w:r>
          </w:p>
        </w:tc>
        <w:tc>
          <w:tcPr>
            <w:tcW w:w="3187" w:type="dxa"/>
            <w:noWrap w:val="0"/>
            <w:vAlign w:val="top"/>
          </w:tcPr>
          <w:p>
            <w:pPr>
              <w:spacing w:after="0"/>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4</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5</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5 seconds - 15 minutes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color w:val="0000FF"/>
              </w:rPr>
            </w:pPr>
            <w:r>
              <w:rPr>
                <w:rFonts w:eastAsia="宋体"/>
                <w:color w:val="0000FF"/>
              </w:rPr>
              <w:t>6</w:t>
            </w:r>
          </w:p>
        </w:tc>
        <w:tc>
          <w:tcPr>
            <w:tcW w:w="1228" w:type="dxa"/>
            <w:noWrap w:val="0"/>
            <w:vAlign w:val="top"/>
          </w:tcPr>
          <w:p>
            <w:pPr>
              <w:pStyle w:val="43"/>
              <w:jc w:val="left"/>
              <w:rPr>
                <w:rFonts w:eastAsia="宋体"/>
                <w:color w:val="0000FF"/>
              </w:rPr>
            </w:pPr>
            <w:r>
              <w:rPr>
                <w:rFonts w:eastAsia="宋体"/>
                <w:color w:val="0000FF"/>
              </w:rPr>
              <w:t>&lt; 1 m</w:t>
            </w:r>
          </w:p>
        </w:tc>
        <w:tc>
          <w:tcPr>
            <w:tcW w:w="1497" w:type="dxa"/>
            <w:noWrap w:val="0"/>
            <w:vAlign w:val="top"/>
          </w:tcPr>
          <w:p>
            <w:pPr>
              <w:pStyle w:val="43"/>
              <w:jc w:val="left"/>
              <w:rPr>
                <w:rFonts w:eastAsia="宋体"/>
                <w:color w:val="0000FF"/>
              </w:rPr>
            </w:pPr>
            <w:r>
              <w:rPr>
                <w:rFonts w:eastAsia="宋体"/>
                <w:color w:val="0000FF"/>
              </w:rPr>
              <w:t>Service Level 3</w:t>
            </w:r>
          </w:p>
        </w:tc>
        <w:tc>
          <w:tcPr>
            <w:tcW w:w="2058" w:type="dxa"/>
            <w:noWrap w:val="0"/>
            <w:vAlign w:val="top"/>
          </w:tcPr>
          <w:p>
            <w:pPr>
              <w:pStyle w:val="43"/>
              <w:jc w:val="left"/>
              <w:rPr>
                <w:rFonts w:eastAsia="宋体"/>
                <w:color w:val="0000FF"/>
              </w:rPr>
            </w:pPr>
            <w:r>
              <w:rPr>
                <w:rFonts w:eastAsia="宋体"/>
                <w:color w:val="0000FF"/>
              </w:rPr>
              <w:t>15 s to 30 s</w:t>
            </w:r>
          </w:p>
        </w:tc>
        <w:tc>
          <w:tcPr>
            <w:tcW w:w="3187" w:type="dxa"/>
            <w:noWrap w:val="0"/>
            <w:vAlign w:val="top"/>
          </w:tcPr>
          <w:p>
            <w:pPr>
              <w:pStyle w:val="43"/>
              <w:jc w:val="left"/>
              <w:rPr>
                <w:rFonts w:eastAsia="宋体"/>
                <w:color w:val="0000FF"/>
              </w:rPr>
            </w:pPr>
            <w:r>
              <w:rPr>
                <w:rFonts w:eastAsia="宋体"/>
                <w:color w:val="0000FF"/>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7</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250 ms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8</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9</w:t>
            </w:r>
          </w:p>
        </w:tc>
        <w:tc>
          <w:tcPr>
            <w:tcW w:w="1228" w:type="dxa"/>
            <w:noWrap w:val="0"/>
            <w:vAlign w:val="top"/>
          </w:tcPr>
          <w:p>
            <w:pPr>
              <w:pStyle w:val="43"/>
              <w:jc w:val="left"/>
              <w:rPr>
                <w:rFonts w:eastAsia="宋体"/>
              </w:rPr>
            </w:pPr>
            <w:r>
              <w:rPr>
                <w:rFonts w:eastAsia="宋体"/>
              </w:rPr>
              <w:t>10 m</w:t>
            </w:r>
          </w:p>
        </w:tc>
        <w:tc>
          <w:tcPr>
            <w:tcW w:w="1497" w:type="dxa"/>
            <w:noWrap w:val="0"/>
            <w:vAlign w:val="top"/>
          </w:tcPr>
          <w:p>
            <w:pPr>
              <w:pStyle w:val="43"/>
              <w:jc w:val="left"/>
              <w:rPr>
                <w:rFonts w:eastAsia="宋体"/>
              </w:rPr>
            </w:pPr>
            <w:r>
              <w:rPr>
                <w:rFonts w:eastAsia="宋体"/>
              </w:rPr>
              <w:t>Service Level 1</w:t>
            </w:r>
          </w:p>
        </w:tc>
        <w:tc>
          <w:tcPr>
            <w:tcW w:w="2058" w:type="dxa"/>
            <w:noWrap w:val="0"/>
            <w:vAlign w:val="top"/>
          </w:tcPr>
          <w:p>
            <w:pPr>
              <w:pStyle w:val="43"/>
              <w:jc w:val="left"/>
              <w:rPr>
                <w:rFonts w:eastAsia="宋体"/>
              </w:rPr>
            </w:pPr>
            <w:r>
              <w:rPr>
                <w:rFonts w:eastAsia="宋体"/>
              </w:rPr>
              <w:t>20 minutes</w:t>
            </w:r>
          </w:p>
        </w:tc>
        <w:tc>
          <w:tcPr>
            <w:tcW w:w="3187" w:type="dxa"/>
            <w:noWrap w:val="0"/>
            <w:vAlign w:val="top"/>
          </w:tcPr>
          <w:p>
            <w:pPr>
              <w:pStyle w:val="43"/>
              <w:jc w:val="left"/>
              <w:rPr>
                <w:rFonts w:eastAsia="宋体"/>
              </w:rPr>
            </w:pPr>
            <w:r>
              <w:rPr>
                <w:rFonts w:eastAsia="宋体"/>
              </w:rPr>
              <w:t>12 years (@20mJ/position fix)</w:t>
            </w:r>
          </w:p>
        </w:tc>
      </w:tr>
    </w:tbl>
    <w:p>
      <w:pPr>
        <w:keepNext/>
        <w:rPr>
          <w:color w:val="0000FF"/>
          <w:lang w:eastAsia="zh-CN"/>
        </w:rPr>
      </w:pPr>
      <w:r>
        <w:rPr>
          <w:i/>
          <w:color w:val="0000FF"/>
        </w:rPr>
        <w:t>Use case six</w:t>
      </w:r>
      <w:r>
        <w:rPr>
          <w:rFonts w:hint="eastAsia" w:eastAsia="宋体"/>
          <w:i/>
          <w:color w:val="0000FF"/>
          <w:lang w:eastAsia="zh-CN"/>
        </w:rPr>
        <w:t>：</w:t>
      </w:r>
      <w:r>
        <w:rPr>
          <w:color w:val="0000FF"/>
          <w:lang w:eastAsia="zh-CN"/>
        </w:rPr>
        <w:t>Flexible modulare assembly area: Tracking of workpiece (in- and outdoor) in assembly area and warehouse.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From RAN4 perspective, we focus on the requirements on LPHAP especially the measurement period in Inactive state, and based on the RAN1outcome as below, we deem that we shall take a kind of scaling factor of the eDRX into account in the new measurement period.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b/>
          <w:bCs/>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0"/>
                    <a:stretch>
                      <a:fillRect/>
                    </a:stretch>
                  </pic:blipFill>
                  <pic:spPr>
                    <a:xfrm>
                      <a:off x="0" y="0"/>
                      <a:ext cx="5107940" cy="2058670"/>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3  eDRX cycle and PTW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eastAsia="宋体"/>
          <w:lang w:val="en-US" w:eastAsia="zh-CN"/>
        </w:rPr>
        <w:t xml:space="preserve">In figure 3, UE mainly receives the PRS, paging message and do the paging syn during the eDRX cycle. The total transition time of micro sleep(0-6ms), light sleep(6-20ms) and deep sleep(&gt;20ms) are different from each other. We call this PTW. </w:t>
      </w:r>
      <w:r>
        <w:rPr>
          <w:rFonts w:hint="eastAsia"/>
          <w:lang w:val="en-US" w:eastAsia="zh-CN"/>
        </w:rPr>
        <w:t>The existing protocol has been supported in LPHAP for 10.24 seconds towards the eDRX cycle. In RAN1, the evaluation results also proved that the battery life will increase and the power compensation can be reduced when the eDRX cycle is larger than 10.24s, and the latest WID is enhanced on the basis of the existing cycle. So maybe the eDRX cycle which is large than 10.24s shall be considered when we study the new measurement period on LPHAP in Inactive mode.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val="0"/>
              </w:rPr>
            </w:pPr>
            <w:r>
              <w:rPr>
                <w:iCs/>
              </w:rPr>
              <w:tab/>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w:p>
          <w:p>
            <w:pPr>
              <w:rPr>
                <w:i/>
                <w:iCs/>
                <w:u w:val="single"/>
                <w:lang w:eastAsia="zh-CN"/>
              </w:rPr>
            </w:pPr>
            <w:r>
              <w:rPr>
                <w:i/>
                <w:iCs/>
                <w:u w:val="single"/>
                <w:lang w:eastAsia="zh-CN"/>
              </w:rPr>
              <w:t>Where:</w:t>
            </w:r>
          </w:p>
          <w:p>
            <w:pPr>
              <w:pStyle w:val="49"/>
              <w:rPr>
                <w:i/>
                <w:iCs/>
                <w:u w:val="single"/>
                <w:lang w:eastAsia="zh-CN"/>
              </w:rPr>
            </w:pPr>
            <w:r>
              <w:rPr>
                <w:i/>
                <w:iCs/>
                <w:u w:val="single"/>
                <w:lang w:eastAsia="zh-CN"/>
              </w:rPr>
              <w:t>-</w:t>
            </w:r>
            <w:r>
              <w:rPr>
                <w:i/>
                <w:iCs/>
                <w:u w:val="single"/>
                <w:lang w:eastAsia="zh-CN"/>
              </w:rPr>
              <w:tab/>
            </w:r>
            <m:oMath>
              <m:r>
                <m:rPr/>
                <w:rPr>
                  <w:rFonts w:ascii="Cambria Math" w:hAnsi="Cambria Math"/>
                  <w:u w:val="single"/>
                  <w:lang w:eastAsia="zh-CN"/>
                </w:rPr>
                <m:t>i</m:t>
              </m:r>
            </m:oMath>
            <w:r>
              <w:rPr>
                <w:i/>
                <w:iCs/>
                <w:u w:val="single"/>
                <w:lang w:eastAsia="zh-CN"/>
              </w:rPr>
              <w:t xml:space="preserve"> is the index of positioning frequency layer,</w:t>
            </w:r>
          </w:p>
          <w:p>
            <w:pPr>
              <w:pStyle w:val="49"/>
              <w:rPr>
                <w:i/>
                <w:iCs/>
                <w:u w:val="single"/>
                <w:lang w:eastAsia="zh-CN"/>
              </w:rPr>
            </w:pPr>
            <w:r>
              <w:rPr>
                <w:i/>
                <w:iCs/>
                <w:u w:val="single"/>
              </w:rPr>
              <w:t>-</w:t>
            </w:r>
            <w:r>
              <w:rPr>
                <w:i/>
                <w:iCs/>
                <w:u w:val="single"/>
              </w:rPr>
              <w:tab/>
            </w:r>
            <m:oMath>
              <m:r>
                <m:rPr/>
                <w:rPr>
                  <w:rFonts w:ascii="Cambria Math" w:hAnsi="Cambria Math"/>
                  <w:u w:val="single"/>
                </w:rPr>
                <m:t>L</m:t>
              </m:r>
            </m:oMath>
            <w:r>
              <w:rPr>
                <w:i/>
                <w:iCs/>
                <w:u w:val="single"/>
              </w:rPr>
              <w:t xml:space="preserve"> is total number of </w:t>
            </w:r>
            <w:r>
              <w:rPr>
                <w:i/>
                <w:iCs/>
                <w:u w:val="single"/>
                <w:lang w:eastAsia="zh-CN"/>
              </w:rPr>
              <w:t xml:space="preserve">positioning </w:t>
            </w:r>
            <w:r>
              <w:rPr>
                <w:i/>
                <w:iCs/>
                <w:u w:val="single"/>
              </w:rPr>
              <w:t>frequency layers, and</w:t>
            </w:r>
          </w:p>
          <w:p>
            <w:pPr>
              <w:pStyle w:val="49"/>
              <w:rPr>
                <w:i/>
                <w:iCs/>
                <w:sz w:val="18"/>
                <w:szCs w:val="18"/>
                <w:u w:val="single"/>
                <w:lang w:eastAsia="zh-CN"/>
              </w:rPr>
            </w:pPr>
            <w:r>
              <w:rPr>
                <w:i/>
                <w:iCs/>
                <w:u w:val="single"/>
              </w:rPr>
              <w:t>-</w:t>
            </w:r>
            <w:r>
              <w:rPr>
                <w:i/>
                <w:iCs/>
                <w:u w:val="single"/>
              </w:rPr>
              <w:tab/>
            </w:r>
            <m:oMath>
              <m:sSub>
                <m:sSubPr>
                  <m:ctrlPr>
                    <w:rPr>
                      <w:rFonts w:ascii="Cambria Math" w:hAnsi="Cambria Math"/>
                      <w:bCs/>
                      <w:i/>
                      <w:iCs/>
                      <w:u w:val="single"/>
                    </w:rPr>
                  </m:ctrlPr>
                </m:sSubPr>
                <m:e>
                  <m:r>
                    <m:rPr/>
                    <w:rPr>
                      <w:rFonts w:hint="default" w:ascii="Cambria Math" w:hAnsi="Cambria Math"/>
                      <w:u w:val="single"/>
                      <w:lang w:eastAsia="zh-CN"/>
                    </w:rPr>
                    <m:t>T</m:t>
                  </m:r>
                  <m:ctrlPr>
                    <w:rPr>
                      <w:rFonts w:ascii="Cambria Math" w:hAnsi="Cambria Math"/>
                      <w:bCs/>
                      <w:i/>
                      <w:iCs/>
                      <w:u w:val="single"/>
                    </w:rPr>
                  </m:ctrlPr>
                </m:e>
                <m:sub>
                  <m:r>
                    <m:rPr/>
                    <w:rPr>
                      <w:rFonts w:hint="default" w:ascii="Cambria Math" w:hAnsi="Cambria Math"/>
                      <w:u w:val="single"/>
                      <w:lang w:eastAsia="zh-CN"/>
                    </w:rPr>
                    <m:t>effect,</m:t>
                  </m:r>
                  <m:r>
                    <m:rPr/>
                    <w:rPr>
                      <w:rFonts w:ascii="Cambria Math" w:hAnsi="Cambria Math"/>
                      <w:u w:val="single"/>
                      <w:lang w:eastAsia="zh-CN"/>
                    </w:rPr>
                    <m:t>i</m:t>
                  </m:r>
                  <m:ctrlPr>
                    <w:rPr>
                      <w:rFonts w:ascii="Cambria Math" w:hAnsi="Cambria Math"/>
                      <w:bCs/>
                      <w:i/>
                      <w:iCs/>
                      <w:u w:val="single"/>
                    </w:rPr>
                  </m:ctrlPr>
                </m:sub>
              </m:sSub>
            </m:oMath>
            <w:r>
              <w:rPr>
                <w:bCs/>
                <w:i/>
                <w:iCs/>
                <w:u w:val="single"/>
                <w:lang w:eastAsia="zh-CN"/>
              </w:rPr>
              <w:t xml:space="preserve"> </w:t>
            </w:r>
            <w:r>
              <w:rPr>
                <w:i/>
                <w:iCs/>
                <w:u w:val="single"/>
              </w:rPr>
              <w:t xml:space="preserve">is the periodicity of the </w:t>
            </w:r>
            <w:r>
              <w:rPr>
                <w:i/>
                <w:iCs/>
                <w:u w:val="single"/>
                <w:lang w:eastAsia="zh-CN"/>
              </w:rPr>
              <w:t>PRS RSTD</w:t>
            </w:r>
            <w:r>
              <w:rPr>
                <w:i/>
                <w:iCs/>
                <w:u w:val="single"/>
              </w:rPr>
              <w:t xml:space="preserve"> measurement in </w:t>
            </w:r>
            <w:r>
              <w:rPr>
                <w:i/>
                <w:iCs/>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pPr>
            <w:r>
              <w:tab/>
            </w: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r>
                <m:rPr/>
                <w:rPr>
                  <w:rFonts w:ascii="Cambria Math" w:hAnsi="Cambria Math"/>
                  <w:lang w:eastAsia="zh-CN"/>
                </w:rPr>
                <m:t xml:space="preserve">= </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r>
                                <m:rPr/>
                                <w:rPr>
                                  <w:rFonts w:ascii="Cambria Math" w:hAnsi="Cambria Math"/>
                                  <w:lang w:eastAsia="zh-CN"/>
                                </w:rPr>
                                <m:t>K</m:t>
                              </m:r>
                              <m:ctrlPr>
                                <w:rPr>
                                  <w:rFonts w:ascii="Cambria Math" w:hAnsi="Cambria Math"/>
                                  <w:i/>
                                  <w:iCs/>
                                </w:rPr>
                              </m:ctrlPr>
                            </m:e>
                            <m:sub>
                              <m:r>
                                <m:rPr/>
                                <w:rPr>
                                  <w:rFonts w:hint="default" w:ascii="Cambria Math" w:hAnsi="Cambria Math"/>
                                  <w:lang w:eastAsia="zh-CN"/>
                                </w:rPr>
                                <m:t>carrier_PRS</m:t>
                              </m:r>
                              <m:ctrlPr>
                                <w:rPr>
                                  <w:rFonts w:ascii="Cambria Math" w:hAnsi="Cambria Math"/>
                                  <w:i/>
                                  <w:iCs/>
                                </w:rPr>
                              </m:ctrlPr>
                            </m:sub>
                          </m:sSub>
                          <m:r>
                            <m:rPr/>
                            <w:rPr>
                              <w:rFonts w:ascii="Cambria Math" w:hAnsi="Cambria Math"/>
                            </w:rPr>
                            <m:t xml:space="preserve">∗ </m:t>
                          </m:r>
                          <m:sSub>
                            <m:sSubPr>
                              <m:ctrlPr>
                                <w:rPr>
                                  <w:rFonts w:ascii="Cambria Math" w:hAnsi="Cambria Math" w:eastAsia="MS Mincho"/>
                                  <w:i/>
                                  <w:iCs/>
                                </w:rPr>
                              </m:ctrlPr>
                            </m:sSubPr>
                            <m:e>
                              <m:r>
                                <m:rPr/>
                                <w:rPr>
                                  <w:rFonts w:ascii="Cambria Math" w:hAnsi="Cambria Math" w:eastAsia="MS Mincho"/>
                                </w:rPr>
                                <m:t>N</m:t>
                              </m:r>
                              <m:ctrlPr>
                                <w:rPr>
                                  <w:rFonts w:ascii="Cambria Math" w:hAnsi="Cambria Math" w:eastAsia="MS Mincho"/>
                                  <w:i/>
                                  <w:iCs/>
                                </w:rPr>
                              </m:ctrlPr>
                            </m:e>
                            <m:sub>
                              <m:r>
                                <m:rPr/>
                                <w:rPr>
                                  <w:rFonts w:ascii="Cambria Math" w:hAnsi="Cambria Math" w:eastAsia="MS Mincho"/>
                                </w:rPr>
                                <m:t>Rx,TEG,i</m:t>
                              </m:r>
                              <m:ctrlPr>
                                <w:rPr>
                                  <w:rFonts w:ascii="Cambria Math" w:hAnsi="Cambria Math" w:eastAsia="MS Mincho"/>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w:rPr>
                                      <w:rFonts w:hint="default" w:ascii="Cambria Math" w:hAnsi="Cambria Math"/>
                                      <w:lang w:eastAsia="zh-CN"/>
                                    </w:rPr>
                                    <m:t>,i</m:t>
                                  </m:r>
                                  <m:ctrlPr>
                                    <w:rPr>
                                      <w:rFonts w:ascii="Cambria Math" w:hAnsi="Cambria Math"/>
                                      <w:i/>
                                      <w:iCs/>
                                      <w:lang w:eastAsia="zh-CN"/>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w:r>
              <w:rPr>
                <w:i/>
                <w:iCs/>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As for the formulation of the legacy measurement period , we did the illustration as below: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drawing>
          <wp:inline distT="0" distB="0" distL="114300" distR="114300">
            <wp:extent cx="6116955" cy="2830195"/>
            <wp:effectExtent l="0" t="0" r="0" b="0"/>
            <wp:docPr id="2" name="图片 2" descr="绘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4"/>
                    <pic:cNvPicPr>
                      <a:picLocks noChangeAspect="1"/>
                    </pic:cNvPicPr>
                  </pic:nvPicPr>
                  <pic:blipFill>
                    <a:blip r:embed="rId11"/>
                    <a:stretch>
                      <a:fillRect/>
                    </a:stretch>
                  </pic:blipFill>
                  <pic:spPr>
                    <a:xfrm>
                      <a:off x="0" y="0"/>
                      <a:ext cx="6116955" cy="2830195"/>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4  Measurement period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iCs/>
          <w:lang w:val="en-US" w:eastAsia="zh-CN"/>
        </w:rPr>
      </w:pPr>
      <w:r>
        <w:rPr>
          <w:rFonts w:hint="eastAsia"/>
          <w:lang w:val="en-US" w:eastAsia="zh-CN"/>
        </w:rPr>
        <w:t xml:space="preserve">In figure 4, we know that the </w:t>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r>
              <m:rPr/>
              <w:rPr>
                <w:rFonts w:hint="default" w:ascii="Cambria Math" w:hAnsi="Cambria Math" w:eastAsia="宋体"/>
                <w:lang w:val="en-US" w:eastAsia="zh-CN"/>
              </w:rPr>
              <m:t xml:space="preserve"> </m:t>
            </m:r>
            <m:ctrlPr>
              <w:rPr>
                <w:rFonts w:ascii="Cambria Math" w:hAnsi="Cambria Math"/>
                <w:i/>
                <w:iCs w:val="0"/>
              </w:rPr>
            </m:ctrlPr>
          </m:sub>
        </m:sSub>
      </m:oMath>
      <w:r>
        <w:rPr>
          <w:rFonts w:hint="eastAsia" w:hAnsi="Cambria Math" w:eastAsia="宋体"/>
          <w:i w:val="0"/>
          <w:iCs w:val="0"/>
          <w:lang w:val="en-US" w:eastAsia="zh-CN"/>
        </w:rPr>
        <w:t xml:space="preserve">and </w:t>
      </w: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oMath>
      <w:r>
        <w:rPr>
          <w:rFonts w:hint="eastAsia" w:hAnsi="Cambria Math" w:eastAsia="宋体"/>
          <w:i w:val="0"/>
          <w:iCs/>
          <w:lang w:val="en-US" w:eastAsia="zh-CN"/>
        </w:rPr>
        <w:t xml:space="preserve"> and the number of positioning frequency layers is less than 4. As for the measurement period of LPHAP in Inactive state, the legacy measurement period can be used as baseline and we can define a scaling factor  related to eDRX  beyond 10.24s in the period requirement calculation.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2: The legacy measurement period can be used as baseline and define a scaling factor  related to eDRX in the period requirement calculation.</w:t>
      </w:r>
    </w:p>
    <w:p>
      <w:pPr>
        <w:pStyle w:val="74"/>
        <w:rPr>
          <w:lang w:val="en-US"/>
        </w:rPr>
      </w:pPr>
      <w:r>
        <w:rPr>
          <w:lang w:val="en-US"/>
        </w:rPr>
        <w:t>Conclusion</w:t>
      </w:r>
    </w:p>
    <w:p>
      <w:pPr>
        <w:rPr>
          <w:lang w:val="en-GB"/>
        </w:rPr>
      </w:pPr>
      <w:r>
        <w:rPr>
          <w:lang w:val="en-GB"/>
        </w:rPr>
        <w:t>The following proposals are made.</w:t>
      </w:r>
    </w:p>
    <w:p>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eastAsia="宋体"/>
          <w:b/>
          <w:bCs/>
          <w:lang w:val="en-US" w:eastAsia="zh-CN"/>
        </w:rPr>
      </w:pPr>
      <w:r>
        <w:rPr>
          <w:rFonts w:hint="eastAsia" w:eastAsia="宋体"/>
          <w:b/>
          <w:bCs/>
          <w:lang w:val="en-US" w:eastAsia="zh-CN"/>
        </w:rPr>
        <w:t>Proposal 1: The measurement period requirement of a referent PFL (r) can be used as the reference of other PFLs</w:t>
      </w:r>
      <w:r>
        <w:rPr>
          <w:rFonts w:hint="default" w:eastAsia="宋体"/>
          <w:b/>
          <w:bCs/>
          <w:lang w:val="en-US" w:eastAsia="zh-CN"/>
        </w:rPr>
        <w:t>’</w:t>
      </w:r>
      <w:r>
        <w:rPr>
          <w:rFonts w:hint="eastAsia" w:eastAsia="宋体"/>
          <w:b/>
          <w:bCs/>
          <w:lang w:val="en-US" w:eastAsia="zh-CN"/>
        </w:rPr>
        <w:t xml:space="preserve"> measurement period requirement in the same group. </w:t>
      </w:r>
    </w:p>
    <w:p>
      <w:pPr>
        <w:keepNext w:val="0"/>
        <w:keepLines w:val="0"/>
        <w:pageBreakBefore w:val="0"/>
        <w:widowControl/>
        <w:numPr>
          <w:ilvl w:val="0"/>
          <w:numId w:val="5"/>
        </w:numPr>
        <w:kinsoku/>
        <w:wordWrap/>
        <w:overflowPunct/>
        <w:topLinePunct w:val="0"/>
        <w:autoSpaceDE/>
        <w:autoSpaceDN/>
        <w:bidi w:val="0"/>
        <w:adjustRightInd/>
        <w:snapToGrid w:val="0"/>
        <w:spacing w:line="360" w:lineRule="auto"/>
        <w:ind w:left="420" w:leftChars="0" w:hanging="420" w:firstLineChars="0"/>
        <w:jc w:val="both"/>
        <w:textAlignment w:val="auto"/>
        <w:rPr>
          <w:rFonts w:hint="eastAsia" w:eastAsia="宋体"/>
          <w:b/>
          <w:bCs/>
          <w:lang w:val="en-US" w:eastAsia="zh-CN"/>
        </w:rPr>
      </w:pPr>
    </w:p>
    <w:p>
      <w:pPr>
        <w:snapToGrid w:val="0"/>
        <w:rPr>
          <w:rFonts w:hint="eastAsia" w:eastAsia="宋体"/>
          <w:b/>
          <w:bCs/>
          <w:highlight w:val="none"/>
          <w:lang w:val="en-US" w:eastAsia="zh-CN"/>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Where  is the total number of positioning frequency layers,  </w:t>
      </w:r>
      <m:oMath>
        <m:r>
          <m:rPr>
            <m:sty m:val="b"/>
          </m:rPr>
          <w:rPr>
            <w:rFonts w:hint="default" w:ascii="Cambria Math" w:hAnsi="Cambria Math" w:eastAsia="宋体" w:cs="Times New Roman"/>
            <w:lang w:val="en-US" w:eastAsia="zh-CN" w:bidi="ar-SA"/>
          </w:rPr>
          <m:t>L=</m:t>
        </m:r>
        <m:sSub>
          <m:sSubPr>
            <m:ctrlPr>
              <w:rPr>
                <w:rFonts w:hint="default" w:ascii="Cambria Math" w:hAnsi="Cambria Math" w:eastAsia="宋体" w:cs="Times New Roman"/>
                <w:b/>
                <w:bCs/>
                <w:lang w:val="en-US" w:eastAsia="zh-CN" w:bidi="ar-SA"/>
              </w:rPr>
            </m:ctrlPr>
          </m:sSubPr>
          <m:e>
            <m:r>
              <m:rPr>
                <m:sty m:val="b"/>
              </m:rPr>
              <w:rPr>
                <w:rFonts w:hint="default" w:ascii="Cambria Math" w:hAnsi="Cambria Math" w:eastAsia="宋体" w:cs="Times New Roman"/>
                <w:lang w:val="en-US" w:eastAsia="zh-CN" w:bidi="ar-SA"/>
              </w:rPr>
              <m:t>L</m:t>
            </m:r>
            <m:ctrlPr>
              <w:rPr>
                <w:rFonts w:hint="default" w:ascii="Cambria Math" w:hAnsi="Cambria Math" w:eastAsia="宋体" w:cs="Times New Roman"/>
                <w:b/>
                <w:bCs/>
                <w:lang w:val="en-US" w:eastAsia="zh-CN" w:bidi="ar-SA"/>
              </w:rPr>
            </m:ctrlPr>
          </m:e>
          <m:sub>
            <m:r>
              <m:rPr>
                <m:sty m:val="b"/>
              </m:rPr>
              <w:rPr>
                <w:rFonts w:hint="default" w:ascii="Cambria Math" w:hAnsi="Cambria Math" w:eastAsia="宋体" w:cs="Times New Roman"/>
                <w:lang w:val="en-US" w:eastAsia="zh-CN" w:bidi="ar-SA"/>
              </w:rPr>
              <m:t>1</m:t>
            </m:r>
            <m:ctrlPr>
              <w:rPr>
                <w:rFonts w:hint="default" w:ascii="Cambria Math" w:hAnsi="Cambria Math" w:eastAsia="宋体" w:cs="Times New Roman"/>
                <w:b/>
                <w:bCs/>
                <w:lang w:val="en-US" w:eastAsia="zh-CN" w:bidi="ar-SA"/>
              </w:rPr>
            </m:ctrlPr>
          </m:sub>
        </m:sSub>
        <m:r>
          <m:rPr>
            <m:sty m:val="b"/>
          </m:rPr>
          <w:rPr>
            <w:rFonts w:hint="default" w:ascii="Cambria Math" w:hAnsi="Cambria Math" w:eastAsia="宋体" w:cs="Times New Roman"/>
            <w:lang w:val="en-US" w:eastAsia="zh-CN" w:bidi="ar-SA"/>
          </w:rPr>
          <m:t>+</m:t>
        </m:r>
        <m:sSub>
          <m:sSubPr>
            <m:ctrlPr>
              <w:rPr>
                <w:rFonts w:hint="default" w:ascii="Cambria Math" w:hAnsi="Cambria Math" w:eastAsia="宋体" w:cs="Times New Roman"/>
                <w:b/>
                <w:bCs/>
                <w:lang w:val="en-US" w:eastAsia="zh-CN" w:bidi="ar-SA"/>
              </w:rPr>
            </m:ctrlPr>
          </m:sSubPr>
          <m:e>
            <m:r>
              <m:rPr>
                <m:sty m:val="b"/>
              </m:rPr>
              <w:rPr>
                <w:rFonts w:hint="default" w:ascii="Cambria Math" w:hAnsi="Cambria Math" w:eastAsia="宋体" w:cs="Times New Roman"/>
                <w:lang w:val="en-US" w:eastAsia="zh-CN" w:bidi="ar-SA"/>
              </w:rPr>
              <m:t>L</m:t>
            </m:r>
            <m:ctrlPr>
              <w:rPr>
                <w:rFonts w:hint="default" w:ascii="Cambria Math" w:hAnsi="Cambria Math" w:eastAsia="宋体" w:cs="Times New Roman"/>
                <w:b/>
                <w:bCs/>
                <w:lang w:val="en-US" w:eastAsia="zh-CN" w:bidi="ar-SA"/>
              </w:rPr>
            </m:ctrlPr>
          </m:e>
          <m:sub>
            <m:r>
              <m:rPr>
                <m:sty m:val="b"/>
              </m:rPr>
              <w:rPr>
                <w:rFonts w:hint="default" w:ascii="Cambria Math" w:hAnsi="Cambria Math" w:eastAsia="宋体" w:cs="Times New Roman"/>
                <w:lang w:val="en-US" w:eastAsia="zh-CN" w:bidi="ar-SA"/>
              </w:rPr>
              <m:t>2</m:t>
            </m:r>
            <m:ctrlPr>
              <w:rPr>
                <w:rFonts w:hint="default" w:ascii="Cambria Math" w:hAnsi="Cambria Math" w:eastAsia="宋体" w:cs="Times New Roman"/>
                <w:b/>
                <w:bCs/>
                <w:lang w:val="en-US" w:eastAsia="zh-CN" w:bidi="ar-SA"/>
              </w:rPr>
            </m:ctrlPr>
          </m:sub>
        </m:sSub>
      </m:oMath>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 </w:t>
      </w: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1</m:t>
            </m:r>
            <m:ctrlPr>
              <w:rPr>
                <w:rFonts w:ascii="Cambria Math" w:hAnsi="Cambria Math"/>
                <w:b/>
                <w:bCs/>
                <w:i/>
                <w:lang w:val="en-US"/>
              </w:rPr>
            </m:ctrlPr>
          </m:sub>
        </m:sSub>
        <m:r>
          <m:rPr>
            <m:sty m:val="bi"/>
          </m:rPr>
          <w:rPr>
            <w:rFonts w:hint="default" w:ascii="Cambria Math" w:hAnsi="Cambria Math" w:eastAsia="宋体"/>
            <w:lang w:val="en-US" w:eastAsia="zh-CN"/>
          </w:rPr>
          <m:t xml:space="preserve"> </m:t>
        </m:r>
      </m:oMath>
      <w:r>
        <w:rPr>
          <w:rFonts w:hint="default" w:eastAsia="宋体"/>
          <w:b/>
          <w:bCs/>
          <w:lang w:val="en-US" w:eastAsia="zh-CN"/>
        </w:rPr>
        <w:t xml:space="preserve">is the number of positioning frequency layers which used for bandwidth/carrier aggregation.  </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0" w:firstLineChars="10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 xml:space="preserve">2  </m:t>
            </m:r>
            <m:ctrlPr>
              <w:rPr>
                <w:rFonts w:ascii="Cambria Math" w:hAnsi="Cambria Math"/>
                <w:b/>
                <w:bCs/>
                <w:i/>
                <w:lang w:val="en-US"/>
              </w:rPr>
            </m:ctrlPr>
          </m:sub>
        </m:sSub>
      </m:oMath>
      <w:r>
        <w:rPr>
          <w:rFonts w:hint="default" w:eastAsia="宋体"/>
          <w:b/>
          <w:bCs/>
          <w:lang w:val="en-US" w:eastAsia="zh-CN"/>
        </w:rPr>
        <w:t>is the total number of PFLs minus the number of PFLs which used for bandwidth/carrier aggregation.</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401" w:leftChars="100" w:hanging="201" w:hangingChars="100"/>
        <w:jc w:val="both"/>
        <w:textAlignment w:val="auto"/>
        <w:rPr>
          <w:rFonts w:hint="default" w:eastAsia="宋体"/>
          <w:b/>
          <w:bCs/>
          <w:lang w:val="en-US" w:eastAsia="zh-CN"/>
        </w:rPr>
      </w:pPr>
      <w:r>
        <w:rPr>
          <w:rFonts w:hint="default" w:eastAsia="宋体"/>
          <w:b/>
          <w:bCs/>
          <w:lang w:val="en-US" w:eastAsia="zh-CN"/>
        </w:rPr>
        <w:t xml:space="preserve">A scaling factor </w:t>
      </w:r>
      <w:r>
        <w:rPr>
          <w:rFonts w:hint="eastAsia" w:eastAsia="宋体"/>
          <w:b/>
          <w:bCs/>
          <w:lang w:val="en-US" w:eastAsia="zh-CN"/>
        </w:rPr>
        <w:t xml:space="preserve">S </w:t>
      </w:r>
      <w:r>
        <w:rPr>
          <w:rFonts w:hint="default" w:eastAsia="宋体"/>
          <w:b/>
          <w:bCs/>
          <w:lang w:val="en-US" w:eastAsia="zh-CN"/>
        </w:rPr>
        <w:t xml:space="preserve">can be introduced since the complexity of UE simultaneously measuring DL-PRS in multiple aggregated PFLs is larger than the complexity of UE measuring DL-PRS in one PFL. </w:t>
      </w:r>
    </w:p>
    <w:p>
      <w:pPr>
        <w:keepNext w:val="0"/>
        <w:keepLines w:val="0"/>
        <w:pageBreakBefore w:val="0"/>
        <w:widowControl/>
        <w:numPr>
          <w:ilvl w:val="0"/>
          <w:numId w:val="6"/>
        </w:numPr>
        <w:kinsoku/>
        <w:wordWrap/>
        <w:overflowPunct/>
        <w:topLinePunct w:val="0"/>
        <w:autoSpaceDE/>
        <w:autoSpaceDN/>
        <w:bidi w:val="0"/>
        <w:adjustRightInd/>
        <w:snapToGrid w:val="0"/>
        <w:spacing w:line="360" w:lineRule="auto"/>
        <w:ind w:left="420" w:leftChars="0" w:hanging="420" w:firstLineChars="0"/>
        <w:jc w:val="both"/>
        <w:textAlignment w:val="auto"/>
        <w:rPr>
          <w:rFonts w:hint="default" w:eastAsia="宋体"/>
          <w:b/>
          <w:bCs/>
          <w:lang w:val="en-US" w:eastAsia="zh-CN"/>
        </w:rPr>
      </w:pPr>
      <w:r>
        <w:rPr>
          <w:rFonts w:hint="default" w:eastAsia="宋体"/>
          <w:b/>
          <w:bCs/>
          <w:lang w:val="en-US" w:eastAsia="zh-CN"/>
        </w:rPr>
        <w:t xml:space="preserve">Alternatively, the scaling factor </w:t>
      </w:r>
      <m:oMath>
        <m:sSub>
          <m:sSubPr>
            <m:ctrlPr>
              <w:rPr>
                <w:rFonts w:ascii="Cambria Math" w:hAnsi="Cambria Math"/>
                <w:b/>
                <w:bCs w:val="0"/>
                <w:i/>
                <w:lang w:val="en-US"/>
              </w:rPr>
            </m:ctrlPr>
          </m:sSubPr>
          <m:e>
            <m:r>
              <m:rPr>
                <m:sty m:val="bi"/>
              </m:rPr>
              <w:rPr>
                <w:rFonts w:hint="default" w:ascii="Cambria Math" w:hAnsi="Cambria Math" w:eastAsia="宋体"/>
                <w:lang w:val="en-US" w:eastAsia="zh-CN"/>
              </w:rPr>
              <m:t>S</m:t>
            </m:r>
            <m:ctrlPr>
              <w:rPr>
                <w:rFonts w:ascii="Cambria Math" w:hAnsi="Cambria Math"/>
                <w:b/>
                <w:bCs w:val="0"/>
                <w:i/>
                <w:lang w:val="en-US"/>
              </w:rPr>
            </m:ctrlPr>
          </m:e>
          <m:sub>
            <m:sSub>
              <m:sSubPr>
                <m:ctrlPr>
                  <w:rPr>
                    <w:rFonts w:ascii="Cambria Math" w:hAnsi="Cambria Math"/>
                    <w:b/>
                    <w:bCs w:val="0"/>
                    <w:i/>
                    <w:lang w:val="en-US"/>
                  </w:rPr>
                </m:ctrlPr>
              </m:sSubPr>
              <m:e>
                <m:r>
                  <m:rPr>
                    <m:sty m:val="bi"/>
                  </m:rPr>
                  <w:rPr>
                    <w:rFonts w:hint="default" w:ascii="Cambria Math" w:hAnsi="Cambria Math" w:eastAsia="宋体"/>
                    <w:lang w:val="en-US" w:eastAsia="zh-CN"/>
                  </w:rPr>
                  <m:t>L</m:t>
                </m:r>
                <m:ctrlPr>
                  <w:rPr>
                    <w:rFonts w:ascii="Cambria Math" w:hAnsi="Cambria Math"/>
                    <w:b/>
                    <w:bCs w:val="0"/>
                    <w:i/>
                    <w:lang w:val="en-US"/>
                  </w:rPr>
                </m:ctrlPr>
              </m:e>
              <m:sub>
                <m:r>
                  <m:rPr>
                    <m:sty m:val="bi"/>
                  </m:rPr>
                  <w:rPr>
                    <w:rFonts w:hint="default" w:ascii="Cambria Math" w:hAnsi="Cambria Math" w:eastAsia="宋体"/>
                    <w:lang w:val="en-US" w:eastAsia="zh-CN"/>
                  </w:rPr>
                  <m:t>1</m:t>
                </m:r>
                <m:ctrlPr>
                  <w:rPr>
                    <w:rFonts w:ascii="Cambria Math" w:hAnsi="Cambria Math"/>
                    <w:b/>
                    <w:bCs w:val="0"/>
                    <w:i/>
                    <w:lang w:val="en-US"/>
                  </w:rPr>
                </m:ctrlPr>
              </m:sub>
            </m:sSub>
            <m:ctrlPr>
              <w:rPr>
                <w:rFonts w:ascii="Cambria Math" w:hAnsi="Cambria Math"/>
                <w:b/>
                <w:bCs w:val="0"/>
                <w:i/>
                <w:lang w:val="en-US"/>
              </w:rPr>
            </m:ctrlPr>
          </m:sub>
        </m:sSub>
      </m:oMath>
      <w:r>
        <w:rPr>
          <w:rFonts w:hint="default" w:eastAsia="宋体"/>
          <w:b/>
          <w:bCs/>
          <w:lang w:val="en-US" w:eastAsia="zh-CN"/>
        </w:rPr>
        <w:t xml:space="preserve"> is larger than 1 and associated with the number of positioning frequency layers which used for bandwidth/carrier aggregation.</w:t>
      </w:r>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snapToGrid w:val="0"/>
        <w:rPr>
          <w:lang w:val="en-GB"/>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r>
            <m:rPr>
              <m:sty m:val="b"/>
            </m:rPr>
            <w:rPr>
              <w:rFonts w:ascii="Cambria Math" w:hAnsi="Cambria Math"/>
              <w:highlight w:val="none"/>
            </w:rPr>
            <m:t xml:space="preserve">+ </m:t>
          </m:r>
          <m:nary>
            <m:naryPr>
              <m:chr m:val="∑"/>
              <m:limLoc m:val="undOvr"/>
              <m:ctrlPr>
                <w:rPr>
                  <w:rFonts w:ascii="Cambria Math" w:hAnsi="Cambria Math"/>
                  <w:b/>
                  <w:bCs/>
                  <w:iCs/>
                  <w:highlight w:val="none"/>
                </w:rPr>
              </m:ctrlPr>
            </m:naryPr>
            <m:sub>
              <m:r>
                <m:rPr>
                  <m:sty m:val="b"/>
                </m:rPr>
                <w:rPr>
                  <w:rFonts w:hint="default" w:ascii="Cambria Math" w:hAnsi="Cambria Math"/>
                  <w:highlight w:val="none"/>
                </w:rPr>
                <m:t>i=1</m:t>
              </m:r>
              <m:ctrlPr>
                <w:rPr>
                  <w:rFonts w:ascii="Cambria Math" w:hAnsi="Cambria Math"/>
                  <w:b/>
                  <w:bCs/>
                  <w:iCs/>
                  <w:highlight w:val="none"/>
                </w:rPr>
              </m:ctrlPr>
            </m:sub>
            <m:sup>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2</m:t>
                  </m:r>
                  <m:ctrlPr>
                    <w:rPr>
                      <w:rFonts w:ascii="Cambria Math" w:hAnsi="Cambria Math"/>
                      <w:b/>
                      <w:bCs/>
                      <w:iCs/>
                      <w:highlight w:val="none"/>
                    </w:rPr>
                  </m:ctrlPr>
                </m:sub>
              </m:sSub>
              <m:ctrlPr>
                <w:rPr>
                  <w:rFonts w:ascii="Cambria Math" w:hAnsi="Cambria Math"/>
                  <w:b/>
                  <w:bCs/>
                  <w:iCs/>
                  <w:highlight w:val="none"/>
                </w:rPr>
              </m:ctrlPr>
            </m:sup>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UERxTx,i</m:t>
                  </m:r>
                  <m:ctrlPr>
                    <w:rPr>
                      <w:rFonts w:ascii="Cambria Math" w:hAnsi="Cambria Math"/>
                      <w:b/>
                      <w:bCs/>
                      <w:iCs/>
                      <w:highlight w:val="none"/>
                    </w:rPr>
                  </m:ctrlPr>
                </m:sub>
              </m:sSub>
              <m:r>
                <m:rPr>
                  <m:sty m:val="b"/>
                </m:rPr>
                <w:rPr>
                  <w:rFonts w:ascii="Cambria Math" w:hAnsi="Cambria Math"/>
                  <w:highlight w:val="none"/>
                </w:rPr>
                <m:t xml:space="preserve">+ </m:t>
              </m:r>
              <m:d>
                <m:dPr>
                  <m:ctrlPr>
                    <w:rPr>
                      <w:rFonts w:ascii="Cambria Math" w:hAnsi="Cambria Math"/>
                      <w:b/>
                      <w:bCs/>
                      <w:iCs/>
                      <w:highlight w:val="none"/>
                    </w:rPr>
                  </m:ctrlPr>
                </m:dPr>
                <m:e>
                  <m:r>
                    <m:rPr>
                      <m:sty m:val="b"/>
                    </m:rPr>
                    <w:rPr>
                      <w:rFonts w:hint="default" w:ascii="Cambria Math" w:hAnsi="Cambria Math"/>
                      <w:highlight w:val="none"/>
                    </w:rPr>
                    <m:t>L−1</m:t>
                  </m:r>
                  <m:ctrlPr>
                    <w:rPr>
                      <w:rFonts w:ascii="Cambria Math" w:hAnsi="Cambria Math"/>
                      <w:b/>
                      <w:bCs/>
                      <w:iCs/>
                      <w:highlight w:val="none"/>
                    </w:rPr>
                  </m:ctrlPr>
                </m:e>
              </m:d>
              <m:r>
                <m:rPr>
                  <m:sty m:val="b"/>
                </m:rPr>
                <w:rPr>
                  <w:rFonts w:ascii="Cambria Math" w:hAnsi="Cambria Math"/>
                  <w:highlight w:val="none"/>
                </w:rPr>
                <m:t>∗</m:t>
              </m:r>
              <m:func>
                <m:funcPr>
                  <m:ctrlPr>
                    <w:rPr>
                      <w:rFonts w:ascii="Cambria Math" w:hAnsi="Cambria Math"/>
                      <w:b/>
                      <w:bCs/>
                      <w:iCs/>
                      <w:highlight w:val="none"/>
                    </w:rPr>
                  </m:ctrlPr>
                </m:funcPr>
                <m:fName>
                  <m:r>
                    <m:rPr>
                      <m:sty m:val="b"/>
                    </m:rPr>
                    <w:rPr>
                      <w:rFonts w:hint="default" w:ascii="Cambria Math" w:hAnsi="Cambria Math"/>
                      <w:highlight w:val="none"/>
                    </w:rPr>
                    <m:t>max</m:t>
                  </m:r>
                  <m:ctrlPr>
                    <w:rPr>
                      <w:rFonts w:ascii="Cambria Math" w:hAnsi="Cambria Math"/>
                      <w:b/>
                      <w:bCs/>
                      <w:iCs/>
                      <w:highlight w:val="none"/>
                    </w:rPr>
                  </m:ctrlPr>
                </m:fName>
                <m:e>
                  <m:d>
                    <m:dPr>
                      <m:ctrlPr>
                        <w:rPr>
                          <w:rFonts w:ascii="Cambria Math" w:hAnsi="Cambria Math"/>
                          <w:b/>
                          <w:bCs/>
                          <w:iCs/>
                          <w:highlight w:val="none"/>
                        </w:rPr>
                      </m:ctrlPr>
                    </m:dPr>
                    <m:e>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effect,i</m:t>
                          </m:r>
                          <m:ctrlPr>
                            <w:rPr>
                              <w:rFonts w:ascii="Cambria Math" w:hAnsi="Cambria Math"/>
                              <w:b/>
                              <w:bCs/>
                              <w:iCs/>
                              <w:highlight w:val="none"/>
                            </w:rPr>
                          </m:ctrlPr>
                        </m:sub>
                      </m:sSub>
                      <m:ctrlPr>
                        <w:rPr>
                          <w:rFonts w:ascii="Cambria Math" w:hAnsi="Cambria Math"/>
                          <w:b/>
                          <w:bCs/>
                          <w:iCs/>
                          <w:highlight w:val="none"/>
                        </w:rPr>
                      </m:ctrlPr>
                    </m:e>
                  </m:d>
                  <m:ctrlPr>
                    <w:rPr>
                      <w:rFonts w:ascii="Cambria Math" w:hAnsi="Cambria Math"/>
                      <w:b/>
                      <w:bCs/>
                      <w:iCs/>
                      <w:highlight w:val="none"/>
                    </w:rPr>
                  </m:ctrlPr>
                </m:e>
              </m:func>
              <m:r>
                <m:rPr>
                  <m:sty m:val="b"/>
                </m:rPr>
                <w:rPr>
                  <w:rFonts w:ascii="Cambria Math" w:hAnsi="Cambria Math"/>
                  <w:color w:val="0070C0"/>
                  <w:highlight w:val="none"/>
                </w:rPr>
                <m:t xml:space="preserve"> </m:t>
              </m:r>
              <m:ctrlPr>
                <w:rPr>
                  <w:rFonts w:ascii="Cambria Math" w:hAnsi="Cambria Math"/>
                  <w:b/>
                  <w:bCs/>
                  <w:iCs/>
                  <w:highlight w:val="none"/>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2: The legacy measurement period can be used as baseline and define a scaling factor  related to eDRX in the period requirement calculation.</w:t>
      </w:r>
    </w:p>
    <w:p>
      <w:pPr>
        <w:pStyle w:val="74"/>
        <w:numPr>
          <w:ilvl w:val="0"/>
          <w:numId w:val="0"/>
        </w:numPr>
        <w:ind w:left="360" w:hanging="360"/>
        <w:rPr>
          <w:lang w:val="en-US"/>
        </w:rPr>
      </w:pPr>
      <w:r>
        <w:rPr>
          <w:lang w:val="en-US"/>
        </w:rPr>
        <w:t>References</w:t>
      </w:r>
    </w:p>
    <w:p>
      <w:pPr>
        <w:pStyle w:val="70"/>
        <w:numPr>
          <w:ilvl w:val="0"/>
          <w:numId w:val="7"/>
        </w:numPr>
        <w:ind w:right="-22"/>
      </w:pPr>
      <w:bookmarkStart w:id="3" w:name="_Ref114500673"/>
      <w:bookmarkEnd w:id="3"/>
      <w:r>
        <w:t>RP-213588, “Study on expanded and improved NR positioning”, Intel Corporation, RAN#94-e</w:t>
      </w:r>
    </w:p>
    <w:p>
      <w:pPr>
        <w:pStyle w:val="70"/>
        <w:numPr>
          <w:ilvl w:val="0"/>
          <w:numId w:val="7"/>
        </w:numPr>
        <w:ind w:right="-22"/>
      </w:pPr>
      <w:r>
        <w:t>R4-22</w:t>
      </w:r>
      <w:r>
        <w:rPr>
          <w:rFonts w:hint="eastAsia" w:eastAsia="宋体"/>
          <w:lang w:val="en-US" w:eastAsia="zh-CN"/>
        </w:rPr>
        <w:t>20438</w:t>
      </w:r>
      <w:r>
        <w:t xml:space="preserve">, “WF on expanded and improved NR positioning study”, </w:t>
      </w:r>
      <w:r>
        <w:rPr>
          <w:rFonts w:hint="eastAsia" w:eastAsia="宋体"/>
          <w:lang w:val="en-US" w:eastAsia="zh-CN"/>
        </w:rPr>
        <w:t>Ericsson</w:t>
      </w:r>
    </w:p>
    <w:p>
      <w:pPr>
        <w:pStyle w:val="70"/>
        <w:numPr>
          <w:ilvl w:val="0"/>
          <w:numId w:val="7"/>
        </w:numPr>
        <w:ind w:right="-22"/>
      </w:pPr>
      <w:r>
        <w:t>3GPP TR 38.859 V0.1.0, “Study on Expanded and Improved NR Positioning (Release 18)”</w:t>
      </w:r>
    </w:p>
    <w:p>
      <w:pPr>
        <w:pStyle w:val="70"/>
        <w:numPr>
          <w:ilvl w:val="0"/>
          <w:numId w:val="7"/>
        </w:numPr>
        <w:ind w:right="-22"/>
      </w:pPr>
      <w:r>
        <w:rPr>
          <w:rFonts w:hint="eastAsia" w:eastAsia="宋体"/>
          <w:lang w:val="en-US" w:eastAsia="zh-CN"/>
        </w:rPr>
        <w:t xml:space="preserve">R4-2216541, </w:t>
      </w:r>
      <w:r>
        <w:rPr>
          <w:rFonts w:hint="default" w:eastAsia="宋体"/>
          <w:lang w:val="en-US" w:eastAsia="zh-CN"/>
        </w:rPr>
        <w:t>“Further discussion on CA based positioning enhancement ”</w:t>
      </w:r>
      <w:r>
        <w:rPr>
          <w:rFonts w:hint="eastAsia" w:eastAsia="宋体"/>
          <w:lang w:val="en-US" w:eastAsia="zh-CN"/>
        </w:rPr>
        <w:t>, ZTE Corporation.</w:t>
      </w:r>
    </w:p>
    <w:p>
      <w:pPr>
        <w:pStyle w:val="70"/>
        <w:numPr>
          <w:ilvl w:val="0"/>
          <w:numId w:val="7"/>
        </w:numPr>
        <w:ind w:right="-22"/>
      </w:pPr>
      <w:r>
        <w:rPr>
          <w:rFonts w:hint="eastAsia"/>
        </w:rPr>
        <w:t>R1-2211504</w:t>
      </w:r>
      <w:r>
        <w:rPr>
          <w:rFonts w:hint="eastAsia" w:eastAsia="宋体"/>
          <w:lang w:val="en-US" w:eastAsia="zh-CN"/>
        </w:rPr>
        <w:t xml:space="preserve">, </w:t>
      </w:r>
      <w:r>
        <w:rPr>
          <w:rFonts w:hint="default" w:eastAsia="宋体"/>
          <w:lang w:val="en-US" w:eastAsia="zh-CN"/>
        </w:rPr>
        <w:t>“</w:t>
      </w:r>
      <w:r>
        <w:rPr>
          <w:rFonts w:hint="eastAsia"/>
        </w:rPr>
        <w:t>Discussion on low power high accuracy positioning</w:t>
      </w:r>
      <w:r>
        <w:rPr>
          <w:rFonts w:hint="default" w:eastAsia="宋体"/>
          <w:lang w:val="en-US" w:eastAsia="zh-CN"/>
        </w:rPr>
        <w:t>”</w:t>
      </w:r>
      <w:r>
        <w:rPr>
          <w:rFonts w:hint="eastAsia" w:eastAsia="宋体"/>
          <w:lang w:val="en-US" w:eastAsia="zh-CN"/>
        </w:rPr>
        <w:t>, ZTE Corporation.</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C84BC"/>
    <w:multiLevelType w:val="singleLevel"/>
    <w:tmpl w:val="C60C84BC"/>
    <w:lvl w:ilvl="0" w:tentative="0">
      <w:start w:val="1"/>
      <w:numFmt w:val="bullet"/>
      <w:lvlText w:val=""/>
      <w:lvlJc w:val="left"/>
      <w:pPr>
        <w:ind w:left="420" w:hanging="420"/>
      </w:pPr>
      <w:rPr>
        <w:rFonts w:hint="default" w:ascii="Wingdings" w:hAnsi="Wingdings"/>
      </w:rPr>
    </w:lvl>
  </w:abstractNum>
  <w:abstractNum w:abstractNumId="1">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E5B860D"/>
    <w:multiLevelType w:val="singleLevel"/>
    <w:tmpl w:val="5E5B860D"/>
    <w:lvl w:ilvl="0" w:tentative="0">
      <w:start w:val="1"/>
      <w:numFmt w:val="bullet"/>
      <w:lvlText w:val=""/>
      <w:lvlJc w:val="left"/>
      <w:pPr>
        <w:ind w:left="420" w:hanging="420"/>
      </w:pPr>
      <w:rPr>
        <w:rFonts w:hint="default" w:ascii="Wingdings" w:hAnsi="Wingdings"/>
      </w:rPr>
    </w:lvl>
  </w:abstractNum>
  <w:abstractNum w:abstractNumId="5">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907C39"/>
    <w:rsid w:val="027313F4"/>
    <w:rsid w:val="02B51BBB"/>
    <w:rsid w:val="02F606FB"/>
    <w:rsid w:val="046301A2"/>
    <w:rsid w:val="04E13F4A"/>
    <w:rsid w:val="05945A70"/>
    <w:rsid w:val="05DB67C3"/>
    <w:rsid w:val="06A745C7"/>
    <w:rsid w:val="07150A56"/>
    <w:rsid w:val="075560E1"/>
    <w:rsid w:val="076170B1"/>
    <w:rsid w:val="0771776A"/>
    <w:rsid w:val="0788005C"/>
    <w:rsid w:val="079F65E1"/>
    <w:rsid w:val="07EC1E65"/>
    <w:rsid w:val="07F66AC5"/>
    <w:rsid w:val="080843A7"/>
    <w:rsid w:val="081420BA"/>
    <w:rsid w:val="081732C0"/>
    <w:rsid w:val="08230CD1"/>
    <w:rsid w:val="084C657D"/>
    <w:rsid w:val="08D850A7"/>
    <w:rsid w:val="09606948"/>
    <w:rsid w:val="096E0D4F"/>
    <w:rsid w:val="09851B6E"/>
    <w:rsid w:val="09D57D44"/>
    <w:rsid w:val="0A6C3BCC"/>
    <w:rsid w:val="0ABC02E8"/>
    <w:rsid w:val="0B1B3502"/>
    <w:rsid w:val="0B3F6621"/>
    <w:rsid w:val="0B4D684B"/>
    <w:rsid w:val="0B6A4840"/>
    <w:rsid w:val="0B707256"/>
    <w:rsid w:val="0C0D74EA"/>
    <w:rsid w:val="0CC050E4"/>
    <w:rsid w:val="0D377674"/>
    <w:rsid w:val="0D8972A3"/>
    <w:rsid w:val="0E777792"/>
    <w:rsid w:val="0E830A04"/>
    <w:rsid w:val="0F025E2E"/>
    <w:rsid w:val="0F503AEA"/>
    <w:rsid w:val="0F511411"/>
    <w:rsid w:val="0FB63F96"/>
    <w:rsid w:val="0FDB4972"/>
    <w:rsid w:val="0FDE4688"/>
    <w:rsid w:val="10347810"/>
    <w:rsid w:val="10BB3068"/>
    <w:rsid w:val="10C531CC"/>
    <w:rsid w:val="11846297"/>
    <w:rsid w:val="11EE75FC"/>
    <w:rsid w:val="12C003F7"/>
    <w:rsid w:val="12D01E4D"/>
    <w:rsid w:val="13C23A1B"/>
    <w:rsid w:val="142A2204"/>
    <w:rsid w:val="14785DC8"/>
    <w:rsid w:val="14A63B80"/>
    <w:rsid w:val="14AA405D"/>
    <w:rsid w:val="155326B6"/>
    <w:rsid w:val="15950B53"/>
    <w:rsid w:val="1646133C"/>
    <w:rsid w:val="169A4ADB"/>
    <w:rsid w:val="16CD4CA5"/>
    <w:rsid w:val="16E84E9D"/>
    <w:rsid w:val="170716B6"/>
    <w:rsid w:val="17104EF2"/>
    <w:rsid w:val="1743780F"/>
    <w:rsid w:val="176F3F08"/>
    <w:rsid w:val="17D01F3A"/>
    <w:rsid w:val="17FF14ED"/>
    <w:rsid w:val="185A42FA"/>
    <w:rsid w:val="18E96032"/>
    <w:rsid w:val="18EE62E8"/>
    <w:rsid w:val="1950368A"/>
    <w:rsid w:val="19551A74"/>
    <w:rsid w:val="195C2D9C"/>
    <w:rsid w:val="197C2433"/>
    <w:rsid w:val="1A2553BA"/>
    <w:rsid w:val="1AC56317"/>
    <w:rsid w:val="1AED3950"/>
    <w:rsid w:val="1B481120"/>
    <w:rsid w:val="1B777BC9"/>
    <w:rsid w:val="1B953EDB"/>
    <w:rsid w:val="1B990279"/>
    <w:rsid w:val="1B9B4E1C"/>
    <w:rsid w:val="1B9C50E9"/>
    <w:rsid w:val="1BA81597"/>
    <w:rsid w:val="1BAD4429"/>
    <w:rsid w:val="1BB80557"/>
    <w:rsid w:val="1C0C6E69"/>
    <w:rsid w:val="1DB553DF"/>
    <w:rsid w:val="1E194EC7"/>
    <w:rsid w:val="1EAD4127"/>
    <w:rsid w:val="1EB8797A"/>
    <w:rsid w:val="1ED004D7"/>
    <w:rsid w:val="1EEF3FAB"/>
    <w:rsid w:val="1F25251D"/>
    <w:rsid w:val="1F2F4901"/>
    <w:rsid w:val="1F3F1CC1"/>
    <w:rsid w:val="1F430FAA"/>
    <w:rsid w:val="1F7E201D"/>
    <w:rsid w:val="1FBB5482"/>
    <w:rsid w:val="1FF9177B"/>
    <w:rsid w:val="200D64BE"/>
    <w:rsid w:val="202D06F1"/>
    <w:rsid w:val="20584BED"/>
    <w:rsid w:val="21361FB5"/>
    <w:rsid w:val="214B3D89"/>
    <w:rsid w:val="21575426"/>
    <w:rsid w:val="2177769E"/>
    <w:rsid w:val="230D3451"/>
    <w:rsid w:val="238C0530"/>
    <w:rsid w:val="247C113F"/>
    <w:rsid w:val="25425A19"/>
    <w:rsid w:val="25AB3D1C"/>
    <w:rsid w:val="25FA44CF"/>
    <w:rsid w:val="26274BB6"/>
    <w:rsid w:val="262F0D25"/>
    <w:rsid w:val="26AA20D3"/>
    <w:rsid w:val="26F81EB4"/>
    <w:rsid w:val="271F0AE2"/>
    <w:rsid w:val="27310B9A"/>
    <w:rsid w:val="273E1C11"/>
    <w:rsid w:val="27446B14"/>
    <w:rsid w:val="27D65541"/>
    <w:rsid w:val="27EC5FCE"/>
    <w:rsid w:val="28417461"/>
    <w:rsid w:val="284A4107"/>
    <w:rsid w:val="28671C46"/>
    <w:rsid w:val="2869013D"/>
    <w:rsid w:val="28825243"/>
    <w:rsid w:val="288D20D6"/>
    <w:rsid w:val="28F045AC"/>
    <w:rsid w:val="29111799"/>
    <w:rsid w:val="29572CC9"/>
    <w:rsid w:val="29D60A95"/>
    <w:rsid w:val="2A2D73EC"/>
    <w:rsid w:val="2AA369DD"/>
    <w:rsid w:val="2ACD3A4B"/>
    <w:rsid w:val="2BD376AF"/>
    <w:rsid w:val="2C2466CA"/>
    <w:rsid w:val="2CF06E1D"/>
    <w:rsid w:val="2E106E4C"/>
    <w:rsid w:val="2E5E508C"/>
    <w:rsid w:val="2E7F52E5"/>
    <w:rsid w:val="2EC16714"/>
    <w:rsid w:val="2F2B12A9"/>
    <w:rsid w:val="2F6E6454"/>
    <w:rsid w:val="2FC73BC7"/>
    <w:rsid w:val="2FE5590A"/>
    <w:rsid w:val="30160ACC"/>
    <w:rsid w:val="30944718"/>
    <w:rsid w:val="317812C7"/>
    <w:rsid w:val="31B9498A"/>
    <w:rsid w:val="320C562E"/>
    <w:rsid w:val="327A1E1C"/>
    <w:rsid w:val="33106E3B"/>
    <w:rsid w:val="34B464B0"/>
    <w:rsid w:val="34E212A0"/>
    <w:rsid w:val="35175003"/>
    <w:rsid w:val="35290A77"/>
    <w:rsid w:val="356A601B"/>
    <w:rsid w:val="36225127"/>
    <w:rsid w:val="36237E20"/>
    <w:rsid w:val="376C5D00"/>
    <w:rsid w:val="377F4E51"/>
    <w:rsid w:val="382523BD"/>
    <w:rsid w:val="38BF28AA"/>
    <w:rsid w:val="38D33EE0"/>
    <w:rsid w:val="39D3500A"/>
    <w:rsid w:val="39E55169"/>
    <w:rsid w:val="3AA02CE4"/>
    <w:rsid w:val="3AB8281F"/>
    <w:rsid w:val="3AD1508C"/>
    <w:rsid w:val="3AD31906"/>
    <w:rsid w:val="3AE55A2B"/>
    <w:rsid w:val="3B61770F"/>
    <w:rsid w:val="3C2657B0"/>
    <w:rsid w:val="3C8A7DDC"/>
    <w:rsid w:val="3CBD75BF"/>
    <w:rsid w:val="3D011447"/>
    <w:rsid w:val="3D555673"/>
    <w:rsid w:val="3D876DDA"/>
    <w:rsid w:val="3DC272D3"/>
    <w:rsid w:val="3DF55B8D"/>
    <w:rsid w:val="3E2818E7"/>
    <w:rsid w:val="3E320B89"/>
    <w:rsid w:val="3EF13BC7"/>
    <w:rsid w:val="3FB137E9"/>
    <w:rsid w:val="40AF0485"/>
    <w:rsid w:val="40D34024"/>
    <w:rsid w:val="41366B89"/>
    <w:rsid w:val="41771599"/>
    <w:rsid w:val="41851C58"/>
    <w:rsid w:val="420558C2"/>
    <w:rsid w:val="42FF71DC"/>
    <w:rsid w:val="43BD5DE5"/>
    <w:rsid w:val="444D54BA"/>
    <w:rsid w:val="44A7496E"/>
    <w:rsid w:val="44B36E39"/>
    <w:rsid w:val="44EC7013"/>
    <w:rsid w:val="45427AA4"/>
    <w:rsid w:val="455B6233"/>
    <w:rsid w:val="46A9603F"/>
    <w:rsid w:val="48153BEB"/>
    <w:rsid w:val="48537C3E"/>
    <w:rsid w:val="48954080"/>
    <w:rsid w:val="48CB1CC0"/>
    <w:rsid w:val="49363170"/>
    <w:rsid w:val="49582843"/>
    <w:rsid w:val="499305D6"/>
    <w:rsid w:val="499975A6"/>
    <w:rsid w:val="49C8100A"/>
    <w:rsid w:val="4A2B1E2F"/>
    <w:rsid w:val="4A7758D0"/>
    <w:rsid w:val="4A885CE1"/>
    <w:rsid w:val="4B206934"/>
    <w:rsid w:val="4B571928"/>
    <w:rsid w:val="4C232A36"/>
    <w:rsid w:val="4C315980"/>
    <w:rsid w:val="4C6F66E5"/>
    <w:rsid w:val="4CB8134C"/>
    <w:rsid w:val="4CBB3980"/>
    <w:rsid w:val="4CD362B7"/>
    <w:rsid w:val="4DF22D6C"/>
    <w:rsid w:val="4DFA799E"/>
    <w:rsid w:val="4E3E6F9A"/>
    <w:rsid w:val="4E993495"/>
    <w:rsid w:val="4EB2058C"/>
    <w:rsid w:val="4EE52BDF"/>
    <w:rsid w:val="4F077813"/>
    <w:rsid w:val="4F1B2096"/>
    <w:rsid w:val="4F1D369F"/>
    <w:rsid w:val="4F290247"/>
    <w:rsid w:val="4F433DC8"/>
    <w:rsid w:val="4FA14EEC"/>
    <w:rsid w:val="4FF77B7C"/>
    <w:rsid w:val="508364E6"/>
    <w:rsid w:val="50D77D3F"/>
    <w:rsid w:val="51286AE9"/>
    <w:rsid w:val="5173229A"/>
    <w:rsid w:val="51B463DB"/>
    <w:rsid w:val="51BD3871"/>
    <w:rsid w:val="520F3488"/>
    <w:rsid w:val="52853336"/>
    <w:rsid w:val="52881D50"/>
    <w:rsid w:val="52B368E2"/>
    <w:rsid w:val="534257EE"/>
    <w:rsid w:val="53463941"/>
    <w:rsid w:val="53707DDE"/>
    <w:rsid w:val="53D41A3B"/>
    <w:rsid w:val="53EE67E9"/>
    <w:rsid w:val="541411EB"/>
    <w:rsid w:val="54591CDE"/>
    <w:rsid w:val="545D1AE0"/>
    <w:rsid w:val="55274423"/>
    <w:rsid w:val="5589190F"/>
    <w:rsid w:val="5652511E"/>
    <w:rsid w:val="56832D98"/>
    <w:rsid w:val="56BB6658"/>
    <w:rsid w:val="56FB2168"/>
    <w:rsid w:val="5739320B"/>
    <w:rsid w:val="57C568C3"/>
    <w:rsid w:val="58510290"/>
    <w:rsid w:val="585572BE"/>
    <w:rsid w:val="58C64CF3"/>
    <w:rsid w:val="58CB3B78"/>
    <w:rsid w:val="592375BD"/>
    <w:rsid w:val="5A046FEE"/>
    <w:rsid w:val="5A4A6B8D"/>
    <w:rsid w:val="5A723A0D"/>
    <w:rsid w:val="5A762255"/>
    <w:rsid w:val="5A9D621A"/>
    <w:rsid w:val="5ACF40CD"/>
    <w:rsid w:val="5AEE34FF"/>
    <w:rsid w:val="5B760457"/>
    <w:rsid w:val="5BD637EC"/>
    <w:rsid w:val="5BDE5A43"/>
    <w:rsid w:val="5C34166A"/>
    <w:rsid w:val="5C7A69B1"/>
    <w:rsid w:val="5CA756EA"/>
    <w:rsid w:val="5D230368"/>
    <w:rsid w:val="5D4123BC"/>
    <w:rsid w:val="5E1463C6"/>
    <w:rsid w:val="5F892553"/>
    <w:rsid w:val="5FF07432"/>
    <w:rsid w:val="5FF36B68"/>
    <w:rsid w:val="5FF94643"/>
    <w:rsid w:val="607A4BA9"/>
    <w:rsid w:val="60A859A2"/>
    <w:rsid w:val="60D94311"/>
    <w:rsid w:val="60F83A81"/>
    <w:rsid w:val="612B6AD8"/>
    <w:rsid w:val="62106F71"/>
    <w:rsid w:val="622E1F65"/>
    <w:rsid w:val="62F67597"/>
    <w:rsid w:val="62FB1D23"/>
    <w:rsid w:val="630C34D0"/>
    <w:rsid w:val="63EA5541"/>
    <w:rsid w:val="63F75B8A"/>
    <w:rsid w:val="64312F66"/>
    <w:rsid w:val="647F6D16"/>
    <w:rsid w:val="64EB1866"/>
    <w:rsid w:val="65A240BE"/>
    <w:rsid w:val="65A273A9"/>
    <w:rsid w:val="6682104F"/>
    <w:rsid w:val="66C42438"/>
    <w:rsid w:val="671943EE"/>
    <w:rsid w:val="673E3C3E"/>
    <w:rsid w:val="674E06A1"/>
    <w:rsid w:val="679D7D9D"/>
    <w:rsid w:val="67B84A87"/>
    <w:rsid w:val="67E824D2"/>
    <w:rsid w:val="685A52F7"/>
    <w:rsid w:val="68A54006"/>
    <w:rsid w:val="68D42FFF"/>
    <w:rsid w:val="68E84B74"/>
    <w:rsid w:val="6914516D"/>
    <w:rsid w:val="69D9569F"/>
    <w:rsid w:val="6A3001E9"/>
    <w:rsid w:val="6A744564"/>
    <w:rsid w:val="6B0D2C77"/>
    <w:rsid w:val="6B8E2CC8"/>
    <w:rsid w:val="6BA6445F"/>
    <w:rsid w:val="6BB554FE"/>
    <w:rsid w:val="6BF65521"/>
    <w:rsid w:val="6C1363EA"/>
    <w:rsid w:val="6C9803A4"/>
    <w:rsid w:val="6CD84C1C"/>
    <w:rsid w:val="6D243939"/>
    <w:rsid w:val="6D377DBC"/>
    <w:rsid w:val="6D447778"/>
    <w:rsid w:val="6D470009"/>
    <w:rsid w:val="6D84645E"/>
    <w:rsid w:val="6DF362B1"/>
    <w:rsid w:val="6E2607E4"/>
    <w:rsid w:val="6E295EDD"/>
    <w:rsid w:val="6E5261F1"/>
    <w:rsid w:val="6E7D48F4"/>
    <w:rsid w:val="6EE10B05"/>
    <w:rsid w:val="6F0472BB"/>
    <w:rsid w:val="6F5B3B07"/>
    <w:rsid w:val="6F6C74CA"/>
    <w:rsid w:val="6F7A7501"/>
    <w:rsid w:val="6FAD5E72"/>
    <w:rsid w:val="6FCC50AE"/>
    <w:rsid w:val="6FE54985"/>
    <w:rsid w:val="70C410F0"/>
    <w:rsid w:val="71B752EE"/>
    <w:rsid w:val="724062B5"/>
    <w:rsid w:val="724128A7"/>
    <w:rsid w:val="72700C83"/>
    <w:rsid w:val="72E54624"/>
    <w:rsid w:val="74044161"/>
    <w:rsid w:val="744446C4"/>
    <w:rsid w:val="744E6EF3"/>
    <w:rsid w:val="74EE31EA"/>
    <w:rsid w:val="751D12C7"/>
    <w:rsid w:val="75810DBF"/>
    <w:rsid w:val="75842DFC"/>
    <w:rsid w:val="75BE0722"/>
    <w:rsid w:val="75E206DF"/>
    <w:rsid w:val="75F520B4"/>
    <w:rsid w:val="762441D9"/>
    <w:rsid w:val="77247924"/>
    <w:rsid w:val="7726248F"/>
    <w:rsid w:val="77D62A56"/>
    <w:rsid w:val="77E62733"/>
    <w:rsid w:val="77F84B71"/>
    <w:rsid w:val="78293DC3"/>
    <w:rsid w:val="785D218D"/>
    <w:rsid w:val="78CB0936"/>
    <w:rsid w:val="78EF19AD"/>
    <w:rsid w:val="79307089"/>
    <w:rsid w:val="79A56DCA"/>
    <w:rsid w:val="79A86542"/>
    <w:rsid w:val="7A3A078E"/>
    <w:rsid w:val="7A817A12"/>
    <w:rsid w:val="7A850292"/>
    <w:rsid w:val="7AC528C4"/>
    <w:rsid w:val="7B0320BB"/>
    <w:rsid w:val="7B5622D1"/>
    <w:rsid w:val="7BCD7043"/>
    <w:rsid w:val="7BD77C15"/>
    <w:rsid w:val="7C120FB7"/>
    <w:rsid w:val="7C1C7594"/>
    <w:rsid w:val="7CEC648C"/>
    <w:rsid w:val="7DAA16F6"/>
    <w:rsid w:val="7E183EEA"/>
    <w:rsid w:val="7E855AE7"/>
    <w:rsid w:val="7E9D718F"/>
    <w:rsid w:val="7EC80D2A"/>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4</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2023-02-17T09:19:36Z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