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9173F" w14:textId="21652304"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9457D3" w:rsidRPr="00FC7807">
        <w:rPr>
          <w:rFonts w:ascii="Arial" w:eastAsia="Calibri" w:hAnsi="Arial" w:cs="Arial"/>
          <w:b/>
          <w:bCs/>
          <w:sz w:val="24"/>
        </w:rPr>
        <w:t>R4-2300522</w:t>
      </w:r>
    </w:p>
    <w:p w14:paraId="022DB158" w14:textId="77777777" w:rsidR="00841BCD" w:rsidRPr="00EF698B"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2DF92E3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B6E1AF8"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5A0D6EAA" w14:textId="38B17935"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BB068F">
        <w:rPr>
          <w:rFonts w:ascii="Arial" w:eastAsia="Calibri" w:hAnsi="Arial" w:cs="Arial"/>
          <w:b/>
          <w:bCs/>
          <w:sz w:val="24"/>
        </w:rPr>
        <w:t>General</w:t>
      </w:r>
      <w:r w:rsidR="004C6230">
        <w:rPr>
          <w:rFonts w:ascii="Arial" w:eastAsia="Calibri" w:hAnsi="Arial" w:cs="Arial"/>
          <w:b/>
          <w:bCs/>
          <w:sz w:val="24"/>
        </w:rPr>
        <w:t xml:space="preserve"> Aspects </w:t>
      </w:r>
    </w:p>
    <w:p w14:paraId="505B500A" w14:textId="0DDBA1B1" w:rsidR="00841BCD" w:rsidRPr="006F0E8F" w:rsidRDefault="00841BCD" w:rsidP="00841BCD">
      <w:pPr>
        <w:tabs>
          <w:tab w:val="left" w:pos="1985"/>
        </w:tabs>
        <w:spacing w:after="120" w:line="240" w:lineRule="auto"/>
        <w:rPr>
          <w:rFonts w:ascii="Arial" w:eastAsia="MS Mincho" w:hAnsi="Arial" w:cs="Arial"/>
          <w:b/>
          <w:sz w:val="24"/>
          <w:szCs w:val="24"/>
          <w:highlight w:val="yellow"/>
          <w:lang w:val="pt-BR"/>
        </w:rPr>
      </w:pPr>
      <w:r w:rsidRPr="39D709DA">
        <w:rPr>
          <w:rFonts w:ascii="Arial" w:eastAsia="MS Mincho" w:hAnsi="Arial" w:cs="Arial"/>
          <w:b/>
          <w:sz w:val="24"/>
          <w:szCs w:val="24"/>
          <w:lang w:val="pt-BR"/>
        </w:rPr>
        <w:t>Agenda item:</w:t>
      </w:r>
      <w:r>
        <w:tab/>
      </w:r>
      <w:r w:rsidR="2CA17FED" w:rsidRPr="39D709DA">
        <w:rPr>
          <w:rFonts w:ascii="Arial" w:eastAsia="MS Mincho" w:hAnsi="Arial" w:cs="Arial"/>
          <w:b/>
          <w:bCs/>
          <w:sz w:val="24"/>
          <w:szCs w:val="24"/>
          <w:lang w:val="pt-BR"/>
        </w:rPr>
        <w:t>9.8.3.1</w:t>
      </w:r>
    </w:p>
    <w:p w14:paraId="5A1A7921" w14:textId="77777777" w:rsidR="00D66188" w:rsidRPr="006F0E8F" w:rsidRDefault="00841BCD" w:rsidP="00841BCD">
      <w:pPr>
        <w:tabs>
          <w:tab w:val="left" w:pos="1985"/>
        </w:tabs>
        <w:rPr>
          <w:rFonts w:ascii="Arial" w:eastAsia="Calibri" w:hAnsi="Arial" w:cs="Arial"/>
          <w:b/>
          <w:sz w:val="24"/>
          <w:lang w:val="pt-BR"/>
        </w:rPr>
      </w:pPr>
      <w:r w:rsidRPr="006F0E8F">
        <w:rPr>
          <w:rFonts w:ascii="Arial" w:eastAsia="Calibri" w:hAnsi="Arial" w:cs="Arial"/>
          <w:b/>
          <w:sz w:val="24"/>
          <w:lang w:val="pt-BR"/>
        </w:rPr>
        <w:t>Document for:</w:t>
      </w:r>
      <w:r w:rsidRPr="006F0E8F">
        <w:rPr>
          <w:rFonts w:ascii="Arial" w:eastAsia="Calibri" w:hAnsi="Arial" w:cs="Arial"/>
          <w:b/>
          <w:sz w:val="24"/>
          <w:lang w:val="pt-BR"/>
        </w:rPr>
        <w:tab/>
      </w:r>
      <w:r w:rsidR="00AE6D09" w:rsidRPr="006F0E8F">
        <w:rPr>
          <w:rFonts w:ascii="Arial" w:eastAsia="Calibri" w:hAnsi="Arial" w:cs="Arial"/>
          <w:b/>
          <w:sz w:val="24"/>
          <w:lang w:val="pt-BR"/>
        </w:rPr>
        <w:t>Discussion</w:t>
      </w:r>
    </w:p>
    <w:p w14:paraId="44A5DD9A" w14:textId="77777777" w:rsidR="00E323E9" w:rsidRPr="006F0E8F" w:rsidRDefault="00E323E9" w:rsidP="00841BCD">
      <w:pPr>
        <w:tabs>
          <w:tab w:val="left" w:pos="1985"/>
        </w:tabs>
        <w:rPr>
          <w:rFonts w:ascii="Arial" w:eastAsia="Calibri" w:hAnsi="Arial" w:cs="Arial"/>
          <w:b/>
          <w:sz w:val="24"/>
          <w:lang w:val="pt-BR"/>
        </w:rPr>
      </w:pPr>
    </w:p>
    <w:p w14:paraId="2A332507"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69F50BE2" w14:textId="79110125" w:rsidR="00434DBF" w:rsidRPr="00434DBF" w:rsidRDefault="00434DBF" w:rsidP="00275BD1">
      <w:pPr>
        <w:jc w:val="both"/>
        <w:rPr>
          <w:lang w:val="en-GB"/>
        </w:rPr>
      </w:pPr>
      <w:r w:rsidRPr="00434DBF">
        <w:t>In this paper we discuss RRM aspects related to the multi-Rx chain reception in FR2 for Rel-18. In RAN4</w:t>
      </w:r>
      <w:r w:rsidR="00060739">
        <w:t>#105</w:t>
      </w:r>
      <w:r w:rsidRPr="00434DBF">
        <w:t xml:space="preserve"> meeting we had </w:t>
      </w:r>
      <w:r w:rsidR="00297C1B">
        <w:t>further</w:t>
      </w:r>
      <w:r w:rsidRPr="00434DBF">
        <w:t xml:space="preserve"> discussions</w:t>
      </w:r>
      <w:r w:rsidR="00297C1B">
        <w:t xml:space="preserve"> and agreements</w:t>
      </w:r>
      <w:r w:rsidRPr="00434DBF">
        <w:t xml:space="preserve"> related to </w:t>
      </w:r>
      <w:r w:rsidR="00297C1B">
        <w:t>simultaneous DL reception in a multi-R</w:t>
      </w:r>
      <w:r w:rsidR="00B721DA">
        <w:t>x</w:t>
      </w:r>
      <w:r w:rsidR="00297C1B">
        <w:t xml:space="preserve"> UE</w:t>
      </w:r>
      <w:r w:rsidR="004E6834">
        <w:t>.</w:t>
      </w:r>
      <w:r w:rsidR="00297C1B">
        <w:t xml:space="preserve"> </w:t>
      </w:r>
      <w:r w:rsidR="004E6834">
        <w:t>In continuation,</w:t>
      </w:r>
      <w:r w:rsidRPr="00434DBF">
        <w:t xml:space="preserve"> </w:t>
      </w:r>
      <w:r w:rsidR="004E6834">
        <w:t>w</w:t>
      </w:r>
      <w:r w:rsidRPr="00434DBF">
        <w:t xml:space="preserve">e address </w:t>
      </w:r>
      <w:r w:rsidR="00486A03">
        <w:t>open issues</w:t>
      </w:r>
      <w:r w:rsidR="00C21926">
        <w:t xml:space="preserve"> from those discussions. </w:t>
      </w:r>
      <w:r w:rsidR="00D96F83">
        <w:t>We derive o</w:t>
      </w:r>
      <w:r w:rsidRPr="00434DBF">
        <w:t xml:space="preserve">bservations and proposals concerning </w:t>
      </w:r>
      <w:r w:rsidR="004B1E6E">
        <w:t>UE architecture a</w:t>
      </w:r>
      <w:r w:rsidR="00A71424">
        <w:t xml:space="preserve">ssumptions to support Independent Beam Management, </w:t>
      </w:r>
      <w:r w:rsidR="008D0BA8">
        <w:t>simultaneous measurement modes</w:t>
      </w:r>
      <w:r w:rsidR="003F78E0">
        <w:t xml:space="preserve">, </w:t>
      </w:r>
      <w:r w:rsidR="00E01573">
        <w:t>group-based</w:t>
      </w:r>
      <w:r w:rsidR="003F78E0">
        <w:t xml:space="preserve"> beam reporting</w:t>
      </w:r>
      <w:r w:rsidR="007652FD">
        <w:t xml:space="preserve"> for multi-TRP</w:t>
      </w:r>
      <w:r w:rsidR="003F78E0">
        <w:t xml:space="preserve">, and UE capabilities to support </w:t>
      </w:r>
      <w:r w:rsidRPr="00434DBF">
        <w:t>RRM enhancements</w:t>
      </w:r>
      <w:r w:rsidR="003F78E0">
        <w:t xml:space="preserve"> in a </w:t>
      </w:r>
      <w:r w:rsidR="007652FD">
        <w:t>multi-Rx UE.</w:t>
      </w:r>
    </w:p>
    <w:p w14:paraId="21E7856C" w14:textId="77777777" w:rsidR="0060543D" w:rsidRPr="00EF698B" w:rsidRDefault="0060543D" w:rsidP="005C23A4"/>
    <w:p w14:paraId="49F63821" w14:textId="1B151547" w:rsidR="003B659E" w:rsidRPr="00EF698B" w:rsidRDefault="003B659E" w:rsidP="00AE56B1">
      <w:pPr>
        <w:pStyle w:val="RAN4H1"/>
        <w:rPr>
          <w:lang w:val="en-US"/>
        </w:rPr>
      </w:pPr>
      <w:bookmarkStart w:id="4" w:name="_Toc116995842"/>
      <w:r w:rsidRPr="00EF698B">
        <w:rPr>
          <w:lang w:val="en-US"/>
        </w:rPr>
        <w:t>Discussion</w:t>
      </w:r>
      <w:bookmarkEnd w:id="4"/>
    </w:p>
    <w:p w14:paraId="05D4372A" w14:textId="058C2916" w:rsidR="00300956" w:rsidRDefault="006352C3" w:rsidP="00300956">
      <w:r>
        <w:t xml:space="preserve">Based on the outcome of the last RAN4 meeting, the following agreements were made with respect to </w:t>
      </w:r>
      <w:r w:rsidR="00907F4A">
        <w:t>simultaneous DL reception</w:t>
      </w:r>
      <w:r w:rsidR="00DD5439">
        <w:t xml:space="preserve"> in a multi-TRP scenario</w:t>
      </w:r>
      <w:r w:rsidR="00534426">
        <w:t xml:space="preserve"> </w:t>
      </w:r>
      <w:r w:rsidR="005B4801">
        <w:fldChar w:fldCharType="begin"/>
      </w:r>
      <w:r w:rsidR="005B4801">
        <w:instrText xml:space="preserve"> REF _Ref114500673 \r \h </w:instrText>
      </w:r>
      <w:r w:rsidR="005B4801">
        <w:fldChar w:fldCharType="separate"/>
      </w:r>
      <w:r w:rsidR="009E569F">
        <w:t>[1]</w:t>
      </w:r>
      <w:r w:rsidR="005B4801">
        <w:fldChar w:fldCharType="end"/>
      </w:r>
      <w:r w:rsidR="005B4801">
        <w:t xml:space="preserve">. </w:t>
      </w:r>
    </w:p>
    <w:p w14:paraId="39A8BA9C" w14:textId="779F7314" w:rsidR="009B5707" w:rsidRDefault="009B5707" w:rsidP="00300956">
      <w:r>
        <w:rPr>
          <w:noProof/>
        </w:rPr>
        <mc:AlternateContent>
          <mc:Choice Requires="wps">
            <w:drawing>
              <wp:anchor distT="0" distB="0" distL="114300" distR="114300" simplePos="0" relativeHeight="251658241" behindDoc="0" locked="0" layoutInCell="1" allowOverlap="1" wp14:anchorId="3B0ECA5D" wp14:editId="4DE3291C">
                <wp:simplePos x="0" y="0"/>
                <wp:positionH relativeFrom="column">
                  <wp:posOffset>16077</wp:posOffset>
                </wp:positionH>
                <wp:positionV relativeFrom="paragraph">
                  <wp:posOffset>43414</wp:posOffset>
                </wp:positionV>
                <wp:extent cx="5840532" cy="1649091"/>
                <wp:effectExtent l="0" t="0" r="27305" b="27940"/>
                <wp:wrapNone/>
                <wp:docPr id="3" name="Rectangle 3"/>
                <wp:cNvGraphicFramePr/>
                <a:graphic xmlns:a="http://schemas.openxmlformats.org/drawingml/2006/main">
                  <a:graphicData uri="http://schemas.microsoft.com/office/word/2010/wordprocessingShape">
                    <wps:wsp>
                      <wps:cNvSpPr/>
                      <wps:spPr>
                        <a:xfrm>
                          <a:off x="0" y="0"/>
                          <a:ext cx="5840532" cy="1649091"/>
                        </a:xfrm>
                        <a:prstGeom prst="rect">
                          <a:avLst/>
                        </a:prstGeom>
                      </wps:spPr>
                      <wps:style>
                        <a:lnRef idx="2">
                          <a:schemeClr val="dk1"/>
                        </a:lnRef>
                        <a:fillRef idx="1">
                          <a:schemeClr val="lt1"/>
                        </a:fillRef>
                        <a:effectRef idx="0">
                          <a:schemeClr val="dk1"/>
                        </a:effectRef>
                        <a:fontRef idx="minor">
                          <a:schemeClr val="dk1"/>
                        </a:fontRef>
                      </wps:style>
                      <wps:txbx>
                        <w:txbxContent>
                          <w:p w14:paraId="64DE6214" w14:textId="77777777" w:rsidR="0047394B" w:rsidRDefault="0047394B" w:rsidP="0047394B">
                            <w:pPr>
                              <w:pStyle w:val="paragraph"/>
                              <w:spacing w:before="0" w:beforeAutospacing="0" w:after="0" w:afterAutospacing="0"/>
                              <w:textAlignment w:val="baseline"/>
                              <w:rPr>
                                <w:rFonts w:ascii="Segoe UI" w:hAnsi="Segoe UI" w:cs="Segoe UI"/>
                                <w:sz w:val="18"/>
                                <w:szCs w:val="18"/>
                              </w:rPr>
                            </w:pPr>
                            <w:r>
                              <w:rPr>
                                <w:rStyle w:val="normaltextrun"/>
                                <w:b/>
                                <w:bCs/>
                                <w:color w:val="0070C0"/>
                                <w:sz w:val="20"/>
                                <w:szCs w:val="20"/>
                                <w:lang w:val="en-GB"/>
                              </w:rPr>
                              <w:t>&lt;Agreement &gt;:</w:t>
                            </w:r>
                            <w:r>
                              <w:rPr>
                                <w:rStyle w:val="eop"/>
                                <w:color w:val="0070C0"/>
                                <w:sz w:val="20"/>
                                <w:szCs w:val="20"/>
                              </w:rPr>
                              <w:t> </w:t>
                            </w:r>
                          </w:p>
                          <w:p w14:paraId="4265884F" w14:textId="77777777" w:rsidR="0047394B" w:rsidRDefault="0047394B" w:rsidP="0047394B">
                            <w:pPr>
                              <w:pStyle w:val="paragraph"/>
                              <w:spacing w:before="0" w:beforeAutospacing="0" w:after="0" w:afterAutospacing="0"/>
                              <w:textAlignment w:val="baseline"/>
                              <w:rPr>
                                <w:rFonts w:ascii="Segoe UI" w:hAnsi="Segoe UI" w:cs="Segoe UI"/>
                                <w:sz w:val="18"/>
                                <w:szCs w:val="18"/>
                              </w:rPr>
                            </w:pPr>
                            <w:r>
                              <w:rPr>
                                <w:rStyle w:val="normaltextrun"/>
                                <w:b/>
                                <w:bCs/>
                                <w:color w:val="000000"/>
                                <w:sz w:val="20"/>
                                <w:szCs w:val="20"/>
                                <w:u w:val="single"/>
                                <w:lang w:val="en-GB"/>
                              </w:rPr>
                              <w:t>Issue 1-1-7: Assumption on supporting 4-layer MIMO with simultaneous DL reception with two different QCL TypeD RSs</w:t>
                            </w:r>
                            <w:r>
                              <w:rPr>
                                <w:rStyle w:val="eop"/>
                                <w:color w:val="000000"/>
                                <w:sz w:val="20"/>
                                <w:szCs w:val="20"/>
                              </w:rPr>
                              <w:t> </w:t>
                            </w:r>
                          </w:p>
                          <w:p w14:paraId="4C2B1FE1" w14:textId="77777777" w:rsidR="0047394B" w:rsidRDefault="0047394B" w:rsidP="0047394B">
                            <w:pPr>
                              <w:pStyle w:val="paragraph"/>
                              <w:numPr>
                                <w:ilvl w:val="0"/>
                                <w:numId w:val="27"/>
                              </w:numPr>
                              <w:spacing w:before="0" w:beforeAutospacing="0" w:after="0" w:afterAutospacing="0"/>
                              <w:ind w:left="1080" w:firstLine="0"/>
                              <w:textAlignment w:val="baseline"/>
                              <w:rPr>
                                <w:sz w:val="22"/>
                                <w:szCs w:val="22"/>
                              </w:rPr>
                            </w:pPr>
                            <w:r>
                              <w:rPr>
                                <w:rStyle w:val="normaltextrun"/>
                                <w:sz w:val="20"/>
                                <w:szCs w:val="20"/>
                                <w:lang w:val="en-GB"/>
                              </w:rPr>
                              <w:t>group based reporting is one of the means to enable simultaneous reception</w:t>
                            </w:r>
                            <w:r>
                              <w:rPr>
                                <w:rStyle w:val="eop"/>
                                <w:sz w:val="20"/>
                                <w:szCs w:val="20"/>
                              </w:rPr>
                              <w:t> </w:t>
                            </w:r>
                          </w:p>
                          <w:p w14:paraId="2D72EB22" w14:textId="77777777" w:rsidR="0047394B" w:rsidRDefault="0047394B" w:rsidP="0047394B">
                            <w:pPr>
                              <w:pStyle w:val="paragraph"/>
                              <w:numPr>
                                <w:ilvl w:val="0"/>
                                <w:numId w:val="28"/>
                              </w:numPr>
                              <w:spacing w:before="0" w:beforeAutospacing="0" w:after="0" w:afterAutospacing="0"/>
                              <w:ind w:left="1080" w:firstLine="0"/>
                              <w:textAlignment w:val="baseline"/>
                              <w:rPr>
                                <w:sz w:val="22"/>
                                <w:szCs w:val="22"/>
                              </w:rPr>
                            </w:pPr>
                            <w:r>
                              <w:rPr>
                                <w:rStyle w:val="normaltextrun"/>
                                <w:sz w:val="20"/>
                                <w:szCs w:val="20"/>
                                <w:lang w:val="en-GB"/>
                              </w:rPr>
                              <w:t>companies proposing to enable simultaneous reception should bring more analysis on how this can be done</w:t>
                            </w:r>
                            <w:r>
                              <w:rPr>
                                <w:rStyle w:val="eop"/>
                                <w:sz w:val="20"/>
                                <w:szCs w:val="20"/>
                              </w:rPr>
                              <w:t> </w:t>
                            </w:r>
                          </w:p>
                          <w:p w14:paraId="2CB33C83" w14:textId="77777777" w:rsidR="0047394B" w:rsidRDefault="0047394B" w:rsidP="0047394B">
                            <w:pPr>
                              <w:pStyle w:val="paragraph"/>
                              <w:spacing w:before="0" w:beforeAutospacing="0" w:after="0" w:afterAutospacing="0"/>
                              <w:textAlignment w:val="baseline"/>
                              <w:rPr>
                                <w:rFonts w:ascii="Segoe UI" w:hAnsi="Segoe UI" w:cs="Segoe UI"/>
                                <w:sz w:val="18"/>
                                <w:szCs w:val="18"/>
                              </w:rPr>
                            </w:pPr>
                            <w:r>
                              <w:rPr>
                                <w:rStyle w:val="eop"/>
                                <w:color w:val="0070C0"/>
                                <w:sz w:val="20"/>
                                <w:szCs w:val="20"/>
                              </w:rPr>
                              <w:t> </w:t>
                            </w:r>
                          </w:p>
                          <w:p w14:paraId="73253A2A" w14:textId="77777777" w:rsidR="0047394B" w:rsidRDefault="0047394B" w:rsidP="0047394B">
                            <w:pPr>
                              <w:pStyle w:val="paragraph"/>
                              <w:spacing w:before="0" w:beforeAutospacing="0" w:after="0" w:afterAutospacing="0"/>
                              <w:textAlignment w:val="baseline"/>
                              <w:rPr>
                                <w:rFonts w:ascii="Segoe UI" w:hAnsi="Segoe UI" w:cs="Segoe UI"/>
                                <w:sz w:val="18"/>
                                <w:szCs w:val="18"/>
                              </w:rPr>
                            </w:pPr>
                            <w:r>
                              <w:rPr>
                                <w:rStyle w:val="normaltextrun"/>
                                <w:b/>
                                <w:bCs/>
                                <w:color w:val="0070C0"/>
                                <w:sz w:val="20"/>
                                <w:szCs w:val="20"/>
                                <w:lang w:val="en-GB"/>
                              </w:rPr>
                              <w:t>&lt;Agreement &gt;:</w:t>
                            </w:r>
                            <w:r>
                              <w:rPr>
                                <w:rStyle w:val="eop"/>
                                <w:color w:val="0070C0"/>
                                <w:sz w:val="20"/>
                                <w:szCs w:val="20"/>
                              </w:rPr>
                              <w:t> </w:t>
                            </w:r>
                          </w:p>
                          <w:p w14:paraId="76354F85" w14:textId="77777777" w:rsidR="0047394B" w:rsidRDefault="0047394B" w:rsidP="0047394B">
                            <w:pPr>
                              <w:pStyle w:val="paragraph"/>
                              <w:spacing w:before="0" w:beforeAutospacing="0" w:after="0" w:afterAutospacing="0"/>
                              <w:textAlignment w:val="baseline"/>
                              <w:rPr>
                                <w:rFonts w:ascii="Segoe UI" w:hAnsi="Segoe UI" w:cs="Segoe UI"/>
                                <w:sz w:val="18"/>
                                <w:szCs w:val="18"/>
                              </w:rPr>
                            </w:pPr>
                            <w:r>
                              <w:rPr>
                                <w:rStyle w:val="normaltextrun"/>
                                <w:b/>
                                <w:bCs/>
                                <w:color w:val="000000"/>
                                <w:sz w:val="20"/>
                                <w:szCs w:val="20"/>
                                <w:u w:val="single"/>
                                <w:lang w:val="en-GB"/>
                              </w:rPr>
                              <w:t>Issue 1-1-4: Support of single-DCI and/or multi-DCI multi-TRP operation</w:t>
                            </w:r>
                            <w:r>
                              <w:rPr>
                                <w:rStyle w:val="eop"/>
                                <w:color w:val="000000"/>
                                <w:sz w:val="20"/>
                                <w:szCs w:val="20"/>
                              </w:rPr>
                              <w:t> </w:t>
                            </w:r>
                          </w:p>
                          <w:p w14:paraId="7638A1AA" w14:textId="77777777" w:rsidR="0047394B" w:rsidRDefault="0047394B" w:rsidP="0047394B">
                            <w:pPr>
                              <w:pStyle w:val="paragraph"/>
                              <w:numPr>
                                <w:ilvl w:val="0"/>
                                <w:numId w:val="29"/>
                              </w:numPr>
                              <w:spacing w:before="0" w:beforeAutospacing="0" w:after="0" w:afterAutospacing="0"/>
                              <w:ind w:left="1080" w:firstLine="0"/>
                              <w:textAlignment w:val="baseline"/>
                              <w:rPr>
                                <w:sz w:val="22"/>
                                <w:szCs w:val="22"/>
                              </w:rPr>
                            </w:pPr>
                            <w:r>
                              <w:rPr>
                                <w:rStyle w:val="normaltextrun"/>
                                <w:sz w:val="20"/>
                                <w:szCs w:val="20"/>
                                <w:lang w:val="en-GB"/>
                              </w:rPr>
                              <w:t>Consider both sDCI and mDCI</w:t>
                            </w:r>
                            <w:r>
                              <w:rPr>
                                <w:rStyle w:val="eop"/>
                                <w:sz w:val="20"/>
                                <w:szCs w:val="20"/>
                              </w:rPr>
                              <w:t> </w:t>
                            </w:r>
                          </w:p>
                          <w:p w14:paraId="7CC32078" w14:textId="77777777" w:rsidR="009B5707" w:rsidRDefault="009B5707" w:rsidP="009B570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B0ECA5D" id="Rectangle 3" o:spid="_x0000_s1026" style="position:absolute;margin-left:1.25pt;margin-top:3.4pt;width:459.9pt;height:129.8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" fillcolor="white [3201]" strokecolor="black [3200]" strokeweight="1pt">
                <v:textbox>
                  <w:txbxContent>
                    <w:p w14:paraId="64DE6214" w14:textId="77777777" w:rsidR="0047394B" w:rsidRDefault="0047394B" w:rsidP="0047394B">
                      <w:pPr>
                        <w:pStyle w:val="paragraph"/>
                        <w:spacing w:before="0" w:beforeAutospacing="0" w:after="0" w:afterAutospacing="0"/>
                        <w:textAlignment w:val="baseline"/>
                        <w:rPr>
                          <w:rFonts w:ascii="Segoe UI" w:hAnsi="Segoe UI" w:cs="Segoe UI"/>
                          <w:sz w:val="18"/>
                          <w:szCs w:val="18"/>
                        </w:rPr>
                      </w:pPr>
                      <w:r>
                        <w:rPr>
                          <w:rStyle w:val="normaltextrun"/>
                          <w:b/>
                          <w:bCs/>
                          <w:color w:val="0070C0"/>
                          <w:sz w:val="20"/>
                          <w:szCs w:val="20"/>
                          <w:lang w:val="en-GB"/>
                        </w:rPr>
                        <w:t>&lt;Agreement &gt;:</w:t>
                      </w:r>
                      <w:r>
                        <w:rPr>
                          <w:rStyle w:val="eop"/>
                          <w:color w:val="0070C0"/>
                          <w:sz w:val="20"/>
                          <w:szCs w:val="20"/>
                        </w:rPr>
                        <w:t> </w:t>
                      </w:r>
                    </w:p>
                    <w:p w14:paraId="4265884F" w14:textId="77777777" w:rsidR="0047394B" w:rsidRDefault="0047394B" w:rsidP="0047394B">
                      <w:pPr>
                        <w:pStyle w:val="paragraph"/>
                        <w:spacing w:before="0" w:beforeAutospacing="0" w:after="0" w:afterAutospacing="0"/>
                        <w:textAlignment w:val="baseline"/>
                        <w:rPr>
                          <w:rFonts w:ascii="Segoe UI" w:hAnsi="Segoe UI" w:cs="Segoe UI"/>
                          <w:sz w:val="18"/>
                          <w:szCs w:val="18"/>
                        </w:rPr>
                      </w:pPr>
                      <w:r>
                        <w:rPr>
                          <w:rStyle w:val="normaltextrun"/>
                          <w:b/>
                          <w:bCs/>
                          <w:color w:val="000000"/>
                          <w:sz w:val="20"/>
                          <w:szCs w:val="20"/>
                          <w:u w:val="single"/>
                          <w:lang w:val="en-GB"/>
                        </w:rPr>
                        <w:t>Issue 1-1-7: Assumption on supporting 4-layer MIMO with simultaneous DL reception with two different QCL TypeD RSs</w:t>
                      </w:r>
                      <w:r>
                        <w:rPr>
                          <w:rStyle w:val="eop"/>
                          <w:color w:val="000000"/>
                          <w:sz w:val="20"/>
                          <w:szCs w:val="20"/>
                        </w:rPr>
                        <w:t> </w:t>
                      </w:r>
                    </w:p>
                    <w:p w14:paraId="4C2B1FE1" w14:textId="77777777" w:rsidR="0047394B" w:rsidRDefault="0047394B" w:rsidP="0047394B">
                      <w:pPr>
                        <w:pStyle w:val="paragraph"/>
                        <w:numPr>
                          <w:ilvl w:val="0"/>
                          <w:numId w:val="27"/>
                        </w:numPr>
                        <w:spacing w:before="0" w:beforeAutospacing="0" w:after="0" w:afterAutospacing="0"/>
                        <w:ind w:left="1080" w:firstLine="0"/>
                        <w:textAlignment w:val="baseline"/>
                        <w:rPr>
                          <w:sz w:val="22"/>
                          <w:szCs w:val="22"/>
                        </w:rPr>
                      </w:pPr>
                      <w:r>
                        <w:rPr>
                          <w:rStyle w:val="normaltextrun"/>
                          <w:sz w:val="20"/>
                          <w:szCs w:val="20"/>
                          <w:lang w:val="en-GB"/>
                        </w:rPr>
                        <w:t>group based reporting is one of the means to enable simultaneous reception</w:t>
                      </w:r>
                      <w:r>
                        <w:rPr>
                          <w:rStyle w:val="eop"/>
                          <w:sz w:val="20"/>
                          <w:szCs w:val="20"/>
                        </w:rPr>
                        <w:t> </w:t>
                      </w:r>
                    </w:p>
                    <w:p w14:paraId="2D72EB22" w14:textId="77777777" w:rsidR="0047394B" w:rsidRDefault="0047394B" w:rsidP="0047394B">
                      <w:pPr>
                        <w:pStyle w:val="paragraph"/>
                        <w:numPr>
                          <w:ilvl w:val="0"/>
                          <w:numId w:val="28"/>
                        </w:numPr>
                        <w:spacing w:before="0" w:beforeAutospacing="0" w:after="0" w:afterAutospacing="0"/>
                        <w:ind w:left="1080" w:firstLine="0"/>
                        <w:textAlignment w:val="baseline"/>
                        <w:rPr>
                          <w:sz w:val="22"/>
                          <w:szCs w:val="22"/>
                        </w:rPr>
                      </w:pPr>
                      <w:r>
                        <w:rPr>
                          <w:rStyle w:val="normaltextrun"/>
                          <w:sz w:val="20"/>
                          <w:szCs w:val="20"/>
                          <w:lang w:val="en-GB"/>
                        </w:rPr>
                        <w:t>companies proposing to enable simultaneous reception should bring more analysis on how this can be done</w:t>
                      </w:r>
                      <w:r>
                        <w:rPr>
                          <w:rStyle w:val="eop"/>
                          <w:sz w:val="20"/>
                          <w:szCs w:val="20"/>
                        </w:rPr>
                        <w:t> </w:t>
                      </w:r>
                    </w:p>
                    <w:p w14:paraId="2CB33C83" w14:textId="77777777" w:rsidR="0047394B" w:rsidRDefault="0047394B" w:rsidP="0047394B">
                      <w:pPr>
                        <w:pStyle w:val="paragraph"/>
                        <w:spacing w:before="0" w:beforeAutospacing="0" w:after="0" w:afterAutospacing="0"/>
                        <w:textAlignment w:val="baseline"/>
                        <w:rPr>
                          <w:rFonts w:ascii="Segoe UI" w:hAnsi="Segoe UI" w:cs="Segoe UI"/>
                          <w:sz w:val="18"/>
                          <w:szCs w:val="18"/>
                        </w:rPr>
                      </w:pPr>
                      <w:r>
                        <w:rPr>
                          <w:rStyle w:val="eop"/>
                          <w:color w:val="0070C0"/>
                          <w:sz w:val="20"/>
                          <w:szCs w:val="20"/>
                        </w:rPr>
                        <w:t> </w:t>
                      </w:r>
                    </w:p>
                    <w:p w14:paraId="73253A2A" w14:textId="77777777" w:rsidR="0047394B" w:rsidRDefault="0047394B" w:rsidP="0047394B">
                      <w:pPr>
                        <w:pStyle w:val="paragraph"/>
                        <w:spacing w:before="0" w:beforeAutospacing="0" w:after="0" w:afterAutospacing="0"/>
                        <w:textAlignment w:val="baseline"/>
                        <w:rPr>
                          <w:rFonts w:ascii="Segoe UI" w:hAnsi="Segoe UI" w:cs="Segoe UI"/>
                          <w:sz w:val="18"/>
                          <w:szCs w:val="18"/>
                        </w:rPr>
                      </w:pPr>
                      <w:r>
                        <w:rPr>
                          <w:rStyle w:val="normaltextrun"/>
                          <w:b/>
                          <w:bCs/>
                          <w:color w:val="0070C0"/>
                          <w:sz w:val="20"/>
                          <w:szCs w:val="20"/>
                          <w:lang w:val="en-GB"/>
                        </w:rPr>
                        <w:t>&lt;Agreement &gt;:</w:t>
                      </w:r>
                      <w:r>
                        <w:rPr>
                          <w:rStyle w:val="eop"/>
                          <w:color w:val="0070C0"/>
                          <w:sz w:val="20"/>
                          <w:szCs w:val="20"/>
                        </w:rPr>
                        <w:t> </w:t>
                      </w:r>
                    </w:p>
                    <w:p w14:paraId="76354F85" w14:textId="77777777" w:rsidR="0047394B" w:rsidRDefault="0047394B" w:rsidP="0047394B">
                      <w:pPr>
                        <w:pStyle w:val="paragraph"/>
                        <w:spacing w:before="0" w:beforeAutospacing="0" w:after="0" w:afterAutospacing="0"/>
                        <w:textAlignment w:val="baseline"/>
                        <w:rPr>
                          <w:rFonts w:ascii="Segoe UI" w:hAnsi="Segoe UI" w:cs="Segoe UI"/>
                          <w:sz w:val="18"/>
                          <w:szCs w:val="18"/>
                        </w:rPr>
                      </w:pPr>
                      <w:r>
                        <w:rPr>
                          <w:rStyle w:val="normaltextrun"/>
                          <w:b/>
                          <w:bCs/>
                          <w:color w:val="000000"/>
                          <w:sz w:val="20"/>
                          <w:szCs w:val="20"/>
                          <w:u w:val="single"/>
                          <w:lang w:val="en-GB"/>
                        </w:rPr>
                        <w:t>Issue 1-1-4: Support of single-DCI and/or multi-DCI multi-TRP operation</w:t>
                      </w:r>
                      <w:r>
                        <w:rPr>
                          <w:rStyle w:val="eop"/>
                          <w:color w:val="000000"/>
                          <w:sz w:val="20"/>
                          <w:szCs w:val="20"/>
                        </w:rPr>
                        <w:t> </w:t>
                      </w:r>
                    </w:p>
                    <w:p w14:paraId="7638A1AA" w14:textId="77777777" w:rsidR="0047394B" w:rsidRDefault="0047394B" w:rsidP="0047394B">
                      <w:pPr>
                        <w:pStyle w:val="paragraph"/>
                        <w:numPr>
                          <w:ilvl w:val="0"/>
                          <w:numId w:val="29"/>
                        </w:numPr>
                        <w:spacing w:before="0" w:beforeAutospacing="0" w:after="0" w:afterAutospacing="0"/>
                        <w:ind w:left="1080" w:firstLine="0"/>
                        <w:textAlignment w:val="baseline"/>
                        <w:rPr>
                          <w:sz w:val="22"/>
                          <w:szCs w:val="22"/>
                        </w:rPr>
                      </w:pPr>
                      <w:r>
                        <w:rPr>
                          <w:rStyle w:val="normaltextrun"/>
                          <w:sz w:val="20"/>
                          <w:szCs w:val="20"/>
                          <w:lang w:val="en-GB"/>
                        </w:rPr>
                        <w:t>Consider both sDCI and mDCI</w:t>
                      </w:r>
                      <w:r>
                        <w:rPr>
                          <w:rStyle w:val="eop"/>
                          <w:sz w:val="20"/>
                          <w:szCs w:val="20"/>
                        </w:rPr>
                        <w:t> </w:t>
                      </w:r>
                    </w:p>
                    <w:p w14:paraId="7CC32078" w14:textId="77777777" w:rsidR="009B5707" w:rsidRDefault="009B5707" w:rsidP="009B5707">
                      <w:pPr>
                        <w:jc w:val="center"/>
                      </w:pPr>
                    </w:p>
                  </w:txbxContent>
                </v:textbox>
              </v:rect>
            </w:pict>
          </mc:Fallback>
        </mc:AlternateContent>
      </w:r>
    </w:p>
    <w:p w14:paraId="76273E72" w14:textId="77777777" w:rsidR="009B5707" w:rsidRDefault="009B5707" w:rsidP="00300956"/>
    <w:p w14:paraId="6BE84C97" w14:textId="77777777" w:rsidR="009B5707" w:rsidRDefault="009B5707" w:rsidP="00300956"/>
    <w:p w14:paraId="2DB6E229" w14:textId="77777777" w:rsidR="009B5707" w:rsidRDefault="009B5707" w:rsidP="00300956"/>
    <w:p w14:paraId="49A7DC4E" w14:textId="77777777" w:rsidR="009B5707" w:rsidRDefault="009B5707" w:rsidP="00300956"/>
    <w:p w14:paraId="7F243D55" w14:textId="77777777" w:rsidR="009B5707" w:rsidRDefault="009B5707" w:rsidP="00300956"/>
    <w:p w14:paraId="5DB51CC9" w14:textId="77777777" w:rsidR="009B5707" w:rsidRDefault="009B5707" w:rsidP="00300956"/>
    <w:p w14:paraId="417093EA" w14:textId="4A43FCFF" w:rsidR="004D725B" w:rsidRDefault="004D725B" w:rsidP="00300956">
      <w:pPr>
        <w:rPr>
          <w:rStyle w:val="normaltextrun"/>
          <w:color w:val="000000"/>
          <w:szCs w:val="20"/>
          <w:shd w:val="clear" w:color="auto" w:fill="FFFFFF"/>
        </w:rPr>
      </w:pPr>
    </w:p>
    <w:p w14:paraId="1470A859" w14:textId="77777777" w:rsidR="004D725B" w:rsidRDefault="004D725B">
      <w:pPr>
        <w:rPr>
          <w:rStyle w:val="normaltextrun"/>
          <w:color w:val="000000"/>
          <w:szCs w:val="20"/>
          <w:shd w:val="clear" w:color="auto" w:fill="FFFFFF"/>
        </w:rPr>
      </w:pPr>
      <w:r>
        <w:rPr>
          <w:rStyle w:val="normaltextrun"/>
          <w:color w:val="000000"/>
          <w:szCs w:val="20"/>
          <w:shd w:val="clear" w:color="auto" w:fill="FFFFFF"/>
        </w:rPr>
        <w:br w:type="page"/>
      </w:r>
    </w:p>
    <w:p w14:paraId="09FAEA1F" w14:textId="6E67FCD0" w:rsidR="00CB22B2" w:rsidRDefault="004F1B00" w:rsidP="00C46CA7">
      <w:pPr>
        <w:pStyle w:val="RAN4H2"/>
        <w:ind w:left="0" w:firstLine="0"/>
      </w:pPr>
      <w:r>
        <w:lastRenderedPageBreak/>
        <w:t>Scope and Scenarios</w:t>
      </w:r>
    </w:p>
    <w:p w14:paraId="47CBF8F7" w14:textId="77777777" w:rsidR="00B6407B" w:rsidRDefault="00B6407B" w:rsidP="00B6407B">
      <w:pPr>
        <w:pStyle w:val="RAN4H3"/>
      </w:pPr>
      <w:r>
        <w:t>Architecture</w:t>
      </w:r>
    </w:p>
    <w:p w14:paraId="5D1E2B17" w14:textId="68AB9CBB" w:rsidR="00C679A1" w:rsidRDefault="00C679A1" w:rsidP="00C679A1">
      <w:pPr>
        <w:jc w:val="both"/>
      </w:pPr>
      <w:r w:rsidRPr="00373AC1">
        <w:t xml:space="preserve">The </w:t>
      </w:r>
      <w:r>
        <w:t>s</w:t>
      </w:r>
      <w:r w:rsidRPr="00373AC1">
        <w:t xml:space="preserve">cope of </w:t>
      </w:r>
      <w:r>
        <w:t xml:space="preserve">this work depends on the assumptions related to the </w:t>
      </w:r>
      <w:r w:rsidRPr="00373AC1">
        <w:t xml:space="preserve">UE </w:t>
      </w:r>
      <w:r>
        <w:t>measurement</w:t>
      </w:r>
      <w:r w:rsidRPr="00373AC1">
        <w:t xml:space="preserve"> capability with multiple RX chains. Th</w:t>
      </w:r>
      <w:r>
        <w:t>is will</w:t>
      </w:r>
      <w:r w:rsidRPr="00373AC1">
        <w:t xml:space="preserve"> </w:t>
      </w:r>
      <w:r>
        <w:t xml:space="preserve">impact the requirements for </w:t>
      </w:r>
      <w:r w:rsidRPr="00373AC1">
        <w:t>RRM measurements, TCI switching</w:t>
      </w:r>
      <w:r>
        <w:t>, etc.</w:t>
      </w:r>
      <w:r w:rsidRPr="00373AC1">
        <w:t xml:space="preserve"> The WID</w:t>
      </w:r>
      <w:r w:rsidR="00F348F0">
        <w:t xml:space="preserve"> </w:t>
      </w:r>
      <w:r w:rsidR="00F348F0">
        <w:fldChar w:fldCharType="begin"/>
      </w:r>
      <w:r w:rsidR="00F348F0">
        <w:instrText xml:space="preserve"> REF _Ref127451933 \r \h </w:instrText>
      </w:r>
      <w:r w:rsidR="00F348F0">
        <w:fldChar w:fldCharType="separate"/>
      </w:r>
      <w:r w:rsidR="00F348F0">
        <w:t>[3]</w:t>
      </w:r>
      <w:r w:rsidR="00F348F0">
        <w:fldChar w:fldCharType="end"/>
      </w:r>
      <w:r w:rsidRPr="00373AC1">
        <w:t xml:space="preserve"> </w:t>
      </w:r>
      <w:r>
        <w:t>ha</w:t>
      </w:r>
      <w:r w:rsidRPr="00373AC1">
        <w:t xml:space="preserve">s defined </w:t>
      </w:r>
      <w:r>
        <w:t xml:space="preserve">the </w:t>
      </w:r>
      <w:r w:rsidRPr="00373AC1">
        <w:t xml:space="preserve">terms ‘multiple RX chains’, that does not </w:t>
      </w:r>
      <w:r>
        <w:t>simply</w:t>
      </w:r>
      <w:r w:rsidRPr="00373AC1">
        <w:t xml:space="preserve"> mean multiple antenna panels. It is possible that multi-RX chains assumes </w:t>
      </w:r>
      <w:r>
        <w:t xml:space="preserve">multiple </w:t>
      </w:r>
      <w:r w:rsidRPr="00373AC1">
        <w:t xml:space="preserve">UE implementations </w:t>
      </w:r>
      <w:r>
        <w:t xml:space="preserve">options </w:t>
      </w:r>
      <w:r w:rsidRPr="00373AC1">
        <w:t xml:space="preserve">including </w:t>
      </w:r>
      <w:r>
        <w:t xml:space="preserve">simultaneous operation on </w:t>
      </w:r>
      <w:r w:rsidRPr="00373AC1">
        <w:t xml:space="preserve">multiple antenna panels, </w:t>
      </w:r>
      <w:r>
        <w:t>fron</w:t>
      </w:r>
      <w:r w:rsidR="400444DF">
        <w:t>t</w:t>
      </w:r>
      <w:r w:rsidRPr="00373AC1">
        <w:t>-end</w:t>
      </w:r>
      <w:r>
        <w:t>,</w:t>
      </w:r>
      <w:r w:rsidRPr="00373AC1">
        <w:t xml:space="preserve"> demod</w:t>
      </w:r>
      <w:r>
        <w:t>ulation and RRM. There can be various UE implementation options, and the WI scope include</w:t>
      </w:r>
      <w:r w:rsidR="4FB061BE">
        <w:t>s</w:t>
      </w:r>
      <w:r>
        <w:t xml:space="preserve"> them for requirement study.</w:t>
      </w:r>
    </w:p>
    <w:p w14:paraId="6967EE57" w14:textId="77777777" w:rsidR="00C679A1" w:rsidRDefault="00C679A1" w:rsidP="00C679A1">
      <w:pPr>
        <w:jc w:val="both"/>
      </w:pPr>
      <w:r>
        <w:t xml:space="preserve">Independent timing and frequency tracking assumption impacts the possible deployment, i.e., if UE does not support independent tracking, the inter-TRP distance, deployment scenarios and WI scope will be limited. </w:t>
      </w:r>
    </w:p>
    <w:p w14:paraId="532F6967" w14:textId="77777777" w:rsidR="00C679A1" w:rsidRPr="00FF7A27" w:rsidRDefault="00C679A1" w:rsidP="00C679A1">
      <w:pPr>
        <w:pStyle w:val="RAN4Observation"/>
        <w:ind w:left="0" w:firstLine="0"/>
        <w:rPr>
          <w:bCs/>
        </w:rPr>
      </w:pPr>
      <w:r>
        <w:t>Supporting</w:t>
      </w:r>
      <w:r w:rsidRPr="00FF7A27">
        <w:rPr>
          <w:bCs/>
        </w:rPr>
        <w:t xml:space="preserve"> separate baseband processing per Rx chain, </w:t>
      </w:r>
      <w:r>
        <w:rPr>
          <w:bCs/>
        </w:rPr>
        <w:t>enables</w:t>
      </w:r>
      <w:r w:rsidRPr="00FF7A27">
        <w:rPr>
          <w:bCs/>
        </w:rPr>
        <w:t xml:space="preserve"> simultaneous measurements and data path processing while receiving from distributed TRPs.</w:t>
      </w:r>
    </w:p>
    <w:p w14:paraId="5CEB808A" w14:textId="77777777" w:rsidR="00C679A1" w:rsidRDefault="00C679A1" w:rsidP="00C679A1">
      <w:pPr>
        <w:keepNext/>
      </w:pPr>
    </w:p>
    <w:p w14:paraId="51AF0C18" w14:textId="14DBD9D0" w:rsidR="00C679A1" w:rsidRDefault="00C679A1" w:rsidP="00C679A1">
      <w:pPr>
        <w:keepNext/>
      </w:pPr>
    </w:p>
    <w:p w14:paraId="4679C273" w14:textId="4E4BBEE0" w:rsidR="007739FC" w:rsidRDefault="007739FC" w:rsidP="00B33350">
      <w:pPr>
        <w:keepNext/>
        <w:jc w:val="center"/>
      </w:pPr>
    </w:p>
    <w:p w14:paraId="3F0CA33D" w14:textId="7681028C" w:rsidR="005D68A0" w:rsidRDefault="00B8093C" w:rsidP="00B33350">
      <w:pPr>
        <w:keepNext/>
        <w:jc w:val="center"/>
      </w:pPr>
      <w:r w:rsidRPr="00B8093C">
        <w:rPr>
          <w:noProof/>
        </w:rPr>
        <w:drawing>
          <wp:inline distT="0" distB="0" distL="0" distR="0" wp14:anchorId="12BA8975" wp14:editId="0E97F43A">
            <wp:extent cx="5353050" cy="3648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53050" cy="3648075"/>
                    </a:xfrm>
                    <a:prstGeom prst="rect">
                      <a:avLst/>
                    </a:prstGeom>
                    <a:noFill/>
                    <a:ln>
                      <a:noFill/>
                    </a:ln>
                  </pic:spPr>
                </pic:pic>
              </a:graphicData>
            </a:graphic>
          </wp:inline>
        </w:drawing>
      </w:r>
    </w:p>
    <w:p w14:paraId="436FC604" w14:textId="497D1A66" w:rsidR="00C679A1" w:rsidRPr="00D20A73" w:rsidRDefault="006C6044" w:rsidP="00BA52F3">
      <w:pPr>
        <w:pStyle w:val="Caption"/>
      </w:pPr>
      <w:r>
        <w:t xml:space="preserve">Figure </w:t>
      </w:r>
      <w:r w:rsidR="00326378">
        <w:fldChar w:fldCharType="begin"/>
      </w:r>
      <w:r w:rsidR="00326378">
        <w:instrText xml:space="preserve"> SEQ Figure \* ARABIC </w:instrText>
      </w:r>
      <w:r w:rsidR="00326378">
        <w:fldChar w:fldCharType="separate"/>
      </w:r>
      <w:r>
        <w:rPr>
          <w:noProof/>
        </w:rPr>
        <w:t>1</w:t>
      </w:r>
      <w:r w:rsidR="00326378">
        <w:rPr>
          <w:noProof/>
        </w:rPr>
        <w:fldChar w:fldCharType="end"/>
      </w:r>
      <w:r w:rsidR="00C679A1">
        <w:rPr>
          <w:b/>
          <w:bCs/>
        </w:rPr>
        <w:t>:</w:t>
      </w:r>
      <w:r w:rsidR="00C679A1" w:rsidRPr="001D3AAF">
        <w:t xml:space="preserve"> </w:t>
      </w:r>
      <w:r w:rsidR="00C679A1" w:rsidRPr="00302269">
        <w:rPr>
          <w:i w:val="0"/>
        </w:rPr>
        <w:t xml:space="preserve">Architectural overview of </w:t>
      </w:r>
      <w:r w:rsidR="00C679A1">
        <w:rPr>
          <w:i w:val="0"/>
          <w:iCs w:val="0"/>
        </w:rPr>
        <w:t xml:space="preserve">BB/RF </w:t>
      </w:r>
      <w:r w:rsidR="00C679A1" w:rsidRPr="00302269">
        <w:rPr>
          <w:i w:val="0"/>
        </w:rPr>
        <w:t>blocks involved in multiple RX chain capabilities</w:t>
      </w:r>
    </w:p>
    <w:p w14:paraId="320C645E" w14:textId="77777777" w:rsidR="00C679A1" w:rsidRDefault="00C679A1" w:rsidP="00C679A1">
      <w:pPr>
        <w:jc w:val="both"/>
      </w:pPr>
      <w:r>
        <w:t xml:space="preserve">In the above figure both RF chains will need independent timing control due to distributed TRPs. </w:t>
      </w:r>
    </w:p>
    <w:p w14:paraId="2073269E" w14:textId="5B10F209" w:rsidR="00C679A1" w:rsidRDefault="00C679A1" w:rsidP="00C679A1">
      <w:pPr>
        <w:pStyle w:val="RAN4proposal"/>
      </w:pPr>
      <w:bookmarkStart w:id="5" w:name="_Toc118729458"/>
      <w:bookmarkStart w:id="6" w:name="_Toc126533080"/>
      <w:bookmarkStart w:id="7" w:name="_Toc127525197"/>
      <w:r>
        <w:t>Multi Rx architecture to assume that each Rx chain can process at an independent FFT window</w:t>
      </w:r>
      <w:r w:rsidR="00AA29F3">
        <w:t xml:space="preserve">, and independent </w:t>
      </w:r>
      <w:r w:rsidR="0043603E">
        <w:t>time tracking per Rx chain</w:t>
      </w:r>
      <w:r>
        <w:t>.</w:t>
      </w:r>
      <w:bookmarkEnd w:id="5"/>
      <w:bookmarkEnd w:id="6"/>
      <w:bookmarkEnd w:id="7"/>
      <w:r>
        <w:t xml:space="preserve">  </w:t>
      </w:r>
    </w:p>
    <w:p w14:paraId="38779261" w14:textId="0ACD0FCC" w:rsidR="00C679A1" w:rsidRDefault="00C679A1" w:rsidP="00C679A1">
      <w:pPr>
        <w:pStyle w:val="RAN4proposal"/>
      </w:pPr>
      <w:bookmarkStart w:id="8" w:name="_Toc118729460"/>
      <w:bookmarkStart w:id="9" w:name="_Toc126533082"/>
      <w:bookmarkStart w:id="10" w:name="_Toc127525198"/>
      <w:r>
        <w:t xml:space="preserve">Multi Rx architecture to assume that each Rx chain can perform independent </w:t>
      </w:r>
      <w:r w:rsidR="00527765">
        <w:t xml:space="preserve">demodulation and independent </w:t>
      </w:r>
      <w:r>
        <w:t>RRM measurements.</w:t>
      </w:r>
      <w:bookmarkEnd w:id="8"/>
      <w:bookmarkEnd w:id="9"/>
      <w:bookmarkEnd w:id="10"/>
    </w:p>
    <w:p w14:paraId="1C40E858" w14:textId="702C0BDF" w:rsidR="00974C1A" w:rsidRDefault="003861E1" w:rsidP="00974C1A">
      <w:pPr>
        <w:spacing w:after="0"/>
      </w:pPr>
      <w:r>
        <w:rPr>
          <w:rStyle w:val="normaltextrun"/>
          <w:color w:val="000000"/>
          <w:szCs w:val="20"/>
          <w:shd w:val="clear" w:color="auto" w:fill="FFFFFF"/>
        </w:rPr>
        <w:t xml:space="preserve">IBM </w:t>
      </w:r>
      <w:r w:rsidR="00E650FE">
        <w:rPr>
          <w:rStyle w:val="normaltextrun"/>
          <w:color w:val="000000"/>
          <w:szCs w:val="20"/>
          <w:shd w:val="clear" w:color="auto" w:fill="FFFFFF"/>
        </w:rPr>
        <w:t>(Independent Beam Management)</w:t>
      </w:r>
      <w:r>
        <w:rPr>
          <w:rStyle w:val="normaltextrun"/>
          <w:color w:val="000000"/>
          <w:szCs w:val="20"/>
          <w:shd w:val="clear" w:color="auto" w:fill="FFFFFF"/>
        </w:rPr>
        <w:t xml:space="preserve"> framework in Rel-17 is defined for the support </w:t>
      </w:r>
      <w:r w:rsidR="00F633DF">
        <w:rPr>
          <w:rStyle w:val="normaltextrun"/>
          <w:color w:val="000000"/>
          <w:szCs w:val="20"/>
          <w:shd w:val="clear" w:color="auto" w:fill="FFFFFF"/>
        </w:rPr>
        <w:t xml:space="preserve">of </w:t>
      </w:r>
      <w:r>
        <w:rPr>
          <w:rStyle w:val="normaltextrun"/>
          <w:color w:val="000000"/>
          <w:szCs w:val="20"/>
          <w:shd w:val="clear" w:color="auto" w:fill="FFFFFF"/>
        </w:rPr>
        <w:t xml:space="preserve">intra/inter-cell mobility on 2 Rx chains and different </w:t>
      </w:r>
      <w:r w:rsidR="00D87F32">
        <w:rPr>
          <w:rStyle w:val="normaltextrun"/>
          <w:color w:val="000000"/>
          <w:szCs w:val="20"/>
          <w:shd w:val="clear" w:color="auto" w:fill="FFFFFF"/>
        </w:rPr>
        <w:t xml:space="preserve">frequency </w:t>
      </w:r>
      <w:r>
        <w:rPr>
          <w:rStyle w:val="normaltextrun"/>
          <w:color w:val="000000"/>
          <w:szCs w:val="20"/>
          <w:shd w:val="clear" w:color="auto" w:fill="FFFFFF"/>
        </w:rPr>
        <w:t>bands</w:t>
      </w:r>
      <w:r w:rsidR="0029499E">
        <w:rPr>
          <w:rStyle w:val="normaltextrun"/>
          <w:color w:val="000000"/>
          <w:szCs w:val="20"/>
          <w:shd w:val="clear" w:color="auto" w:fill="FFFFFF"/>
        </w:rPr>
        <w:t>.</w:t>
      </w:r>
      <w:r w:rsidR="00974C1A" w:rsidRPr="00974C1A">
        <w:t xml:space="preserve"> </w:t>
      </w:r>
      <w:r w:rsidR="00974C1A">
        <w:t xml:space="preserve">RAN4 has defined IBM and CBM </w:t>
      </w:r>
      <w:r w:rsidR="004D5306">
        <w:t xml:space="preserve">(Common Beam Management) </w:t>
      </w:r>
      <w:r w:rsidR="00974C1A">
        <w:t xml:space="preserve">operation for CA cases where the IBM and CBM definitions are illustrated in </w:t>
      </w:r>
      <w:r w:rsidR="00974C1A">
        <w:fldChar w:fldCharType="begin"/>
      </w:r>
      <w:r w:rsidR="00974C1A">
        <w:instrText xml:space="preserve"> REF _Ref126697162 \h </w:instrText>
      </w:r>
      <w:r w:rsidR="00974C1A">
        <w:fldChar w:fldCharType="separate"/>
      </w:r>
      <w:r w:rsidR="00ED6D9A">
        <w:t xml:space="preserve">Figure </w:t>
      </w:r>
      <w:r w:rsidR="00ED6D9A">
        <w:rPr>
          <w:noProof/>
        </w:rPr>
        <w:t>2</w:t>
      </w:r>
      <w:r w:rsidR="00974C1A">
        <w:fldChar w:fldCharType="end"/>
      </w:r>
      <w:r w:rsidR="00974C1A">
        <w:t xml:space="preserve">. The use cases for IBM </w:t>
      </w:r>
      <w:r w:rsidR="00974C1A">
        <w:lastRenderedPageBreak/>
        <w:t xml:space="preserve">and for CBM are shown in </w:t>
      </w:r>
      <w:r w:rsidR="00974C1A">
        <w:fldChar w:fldCharType="begin"/>
      </w:r>
      <w:r w:rsidR="00974C1A">
        <w:instrText xml:space="preserve"> REF _Ref126697197 \h </w:instrText>
      </w:r>
      <w:r w:rsidR="00974C1A">
        <w:fldChar w:fldCharType="separate"/>
      </w:r>
      <w:r w:rsidR="00ED6D9A">
        <w:t xml:space="preserve">Figure </w:t>
      </w:r>
      <w:r w:rsidR="00ED6D9A">
        <w:rPr>
          <w:noProof/>
        </w:rPr>
        <w:t>3</w:t>
      </w:r>
      <w:r w:rsidR="00974C1A">
        <w:fldChar w:fldCharType="end"/>
      </w:r>
      <w:r w:rsidR="00974C1A">
        <w:t>, where CBM is only defined for intra-band CA operation and IBM is addressing inter-band CA operation.</w:t>
      </w:r>
    </w:p>
    <w:p w14:paraId="011E3351" w14:textId="77777777" w:rsidR="00974C1A" w:rsidRDefault="00974C1A" w:rsidP="00974C1A">
      <w:pPr>
        <w:keepNext/>
        <w:spacing w:after="0"/>
        <w:jc w:val="center"/>
      </w:pPr>
      <w:r>
        <w:rPr>
          <w:noProof/>
        </w:rPr>
        <w:drawing>
          <wp:inline distT="0" distB="0" distL="0" distR="0" wp14:anchorId="5E8E3B4A" wp14:editId="118567E4">
            <wp:extent cx="2845559" cy="133366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70201" cy="1345211"/>
                    </a:xfrm>
                    <a:prstGeom prst="rect">
                      <a:avLst/>
                    </a:prstGeom>
                  </pic:spPr>
                </pic:pic>
              </a:graphicData>
            </a:graphic>
          </wp:inline>
        </w:drawing>
      </w:r>
    </w:p>
    <w:p w14:paraId="7EA35881" w14:textId="061655CA" w:rsidR="00974C1A" w:rsidRDefault="00974C1A" w:rsidP="00974C1A">
      <w:pPr>
        <w:pStyle w:val="Caption"/>
      </w:pPr>
      <w:bookmarkStart w:id="11" w:name="_Ref126697162"/>
      <w:r>
        <w:t xml:space="preserve">Figure </w:t>
      </w:r>
      <w:r>
        <w:fldChar w:fldCharType="begin"/>
      </w:r>
      <w:r>
        <w:instrText>SEQ Figure \* ARABIC</w:instrText>
      </w:r>
      <w:r>
        <w:fldChar w:fldCharType="separate"/>
      </w:r>
      <w:r w:rsidR="006C6044">
        <w:rPr>
          <w:noProof/>
        </w:rPr>
        <w:t>2</w:t>
      </w:r>
      <w:r>
        <w:fldChar w:fldCharType="end"/>
      </w:r>
      <w:bookmarkEnd w:id="11"/>
      <w:r>
        <w:t xml:space="preserve"> Illustrations of IBM and CBM definitions.</w:t>
      </w:r>
    </w:p>
    <w:p w14:paraId="5B8741E7" w14:textId="77777777" w:rsidR="00974C1A" w:rsidRDefault="00974C1A" w:rsidP="00974C1A">
      <w:pPr>
        <w:spacing w:after="0"/>
        <w:jc w:val="center"/>
      </w:pPr>
      <w:r>
        <w:rPr>
          <w:noProof/>
        </w:rPr>
        <w:drawing>
          <wp:inline distT="0" distB="0" distL="0" distR="0" wp14:anchorId="45EF5FC8" wp14:editId="0B3A6037">
            <wp:extent cx="3637129" cy="2532804"/>
            <wp:effectExtent l="0" t="0" r="1905"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87090" cy="2567596"/>
                    </a:xfrm>
                    <a:prstGeom prst="rect">
                      <a:avLst/>
                    </a:prstGeom>
                  </pic:spPr>
                </pic:pic>
              </a:graphicData>
            </a:graphic>
          </wp:inline>
        </w:drawing>
      </w:r>
    </w:p>
    <w:p w14:paraId="6EF815A7" w14:textId="1A3B1E94" w:rsidR="00974C1A" w:rsidRDefault="00974C1A" w:rsidP="00974C1A">
      <w:pPr>
        <w:pStyle w:val="Caption"/>
      </w:pPr>
      <w:bookmarkStart w:id="12" w:name="_Ref126697197"/>
      <w:r>
        <w:t xml:space="preserve">Figure </w:t>
      </w:r>
      <w:r>
        <w:fldChar w:fldCharType="begin"/>
      </w:r>
      <w:r>
        <w:instrText>SEQ Figure \* ARABIC</w:instrText>
      </w:r>
      <w:r>
        <w:fldChar w:fldCharType="separate"/>
      </w:r>
      <w:r w:rsidR="006C6044">
        <w:rPr>
          <w:noProof/>
        </w:rPr>
        <w:t>3</w:t>
      </w:r>
      <w:r>
        <w:fldChar w:fldCharType="end"/>
      </w:r>
      <w:bookmarkEnd w:id="12"/>
      <w:r>
        <w:t xml:space="preserve"> Illustration of intra-band CA versus inter-band CA configuration with IBM and CBM operation, including timing alignment error (TAE) requirements.</w:t>
      </w:r>
    </w:p>
    <w:p w14:paraId="3E63A699" w14:textId="1AA8A33A" w:rsidR="00974C1A" w:rsidRDefault="00974C1A" w:rsidP="00F40846">
      <w:pPr>
        <w:jc w:val="both"/>
      </w:pPr>
      <w:r>
        <w:t>Although IBM and CBM were discussed under the context of carrier aggregation, similar discussion can also be done in the case of MIMO with multiple TRPs. When using the IBM operation, it is considered that the UE is tracking reference signals fr</w:t>
      </w:r>
      <w:r w:rsidR="00E95FD3">
        <w:t>o</w:t>
      </w:r>
      <w:r>
        <w:t>m two component carriers. That enables the UE to adapt its spatial settings and adapt to the DL frame boundary of the two component carriers independently. Therefore, that allows for flexible deployment of cells with different CCs, which can be deployed with non-collocated TRPs. The same doesn’t hold true for the CBM framework. In that case the UE is only required to monitor RS from one of the CCs for beam alignment and time tracking. For this reason, CBM is much more restrictive on the deployment, that forces tight synchronization and c</w:t>
      </w:r>
      <w:r w:rsidR="000B3757">
        <w:t>o</w:t>
      </w:r>
      <w:r>
        <w:t xml:space="preserve">-location among the CCs. </w:t>
      </w:r>
    </w:p>
    <w:p w14:paraId="448FA710" w14:textId="57F13C45" w:rsidR="006070F3" w:rsidRDefault="00974C1A" w:rsidP="00F40846">
      <w:pPr>
        <w:jc w:val="both"/>
      </w:pPr>
      <w:r>
        <w:t xml:space="preserve">For the case of </w:t>
      </w:r>
      <w:r w:rsidR="00E77740">
        <w:t>multi-Rx</w:t>
      </w:r>
      <w:r>
        <w:t>, a similar scenario as the one supported by IBM is introduced</w:t>
      </w:r>
      <w:r w:rsidR="00CD14EB">
        <w:t xml:space="preserve"> since TRPs with difference QCL-D are assumed</w:t>
      </w:r>
      <w:r>
        <w:t xml:space="preserve">. For that </w:t>
      </w:r>
      <w:r w:rsidR="00E77740">
        <w:t>reason,</w:t>
      </w:r>
      <w:r>
        <w:t xml:space="preserve"> it is assumed that the UE is adjusting its spatial settings independently for both TRPs to which it is </w:t>
      </w:r>
      <w:r w:rsidR="00542E3E">
        <w:t>receiving in D</w:t>
      </w:r>
      <w:r>
        <w:t xml:space="preserve">L. Likewise, time tracking </w:t>
      </w:r>
      <w:r w:rsidR="00E77740">
        <w:t>must</w:t>
      </w:r>
      <w:r>
        <w:t xml:space="preserve"> follow RSs from both TRPs, </w:t>
      </w:r>
      <w:r w:rsidR="00E77740">
        <w:t>for</w:t>
      </w:r>
      <w:r w:rsidR="00F20D84">
        <w:t xml:space="preserve"> the UE to be able to determine the optimum FFT window timing for DL reception. </w:t>
      </w:r>
    </w:p>
    <w:p w14:paraId="4F4D4411" w14:textId="130728DF" w:rsidR="00C702A7" w:rsidRDefault="00C702A7" w:rsidP="00C702A7">
      <w:pPr>
        <w:pStyle w:val="paragraph"/>
        <w:spacing w:before="0" w:beforeAutospacing="0" w:after="0" w:afterAutospacing="0"/>
        <w:textAlignment w:val="baseline"/>
        <w:rPr>
          <w:rStyle w:val="eop"/>
          <w:sz w:val="20"/>
          <w:szCs w:val="20"/>
        </w:rPr>
      </w:pPr>
      <w:r w:rsidRPr="00D959C8">
        <w:rPr>
          <w:rStyle w:val="normaltextrun"/>
          <w:rFonts w:eastAsiaTheme="minorHAnsi" w:cstheme="minorBidi"/>
          <w:color w:val="000000"/>
          <w:sz w:val="20"/>
          <w:szCs w:val="20"/>
          <w:shd w:val="clear" w:color="auto" w:fill="FFFFFF"/>
        </w:rPr>
        <w:t xml:space="preserve">During RAN4#104 meeting, </w:t>
      </w:r>
      <w:r w:rsidR="000424AD" w:rsidRPr="00D959C8">
        <w:rPr>
          <w:rStyle w:val="normaltextrun"/>
          <w:rFonts w:eastAsiaTheme="minorHAnsi" w:cstheme="minorBidi"/>
          <w:color w:val="000000"/>
          <w:sz w:val="20"/>
          <w:szCs w:val="20"/>
          <w:shd w:val="clear" w:color="auto" w:fill="FFFFFF"/>
        </w:rPr>
        <w:t xml:space="preserve">it was agreed to have </w:t>
      </w:r>
      <w:r w:rsidR="00AF4FC1" w:rsidRPr="00D959C8">
        <w:rPr>
          <w:rStyle w:val="normaltextrun"/>
          <w:rFonts w:eastAsiaTheme="minorHAnsi" w:cstheme="minorBidi"/>
          <w:color w:val="000000"/>
          <w:sz w:val="20"/>
          <w:szCs w:val="20"/>
          <w:shd w:val="clear" w:color="auto" w:fill="FFFFFF"/>
        </w:rPr>
        <w:t>two cell searchers for RRM measurements</w:t>
      </w:r>
      <w:r w:rsidR="0069691E">
        <w:rPr>
          <w:rStyle w:val="normaltextrun"/>
          <w:rFonts w:eastAsiaTheme="minorHAnsi" w:cstheme="minorBidi"/>
          <w:color w:val="000000"/>
          <w:sz w:val="20"/>
          <w:szCs w:val="20"/>
          <w:shd w:val="clear" w:color="auto" w:fill="FFFFFF"/>
        </w:rPr>
        <w:t xml:space="preserve"> </w:t>
      </w:r>
      <w:r w:rsidR="00226E29">
        <w:rPr>
          <w:rStyle w:val="normaltextrun"/>
          <w:color w:val="000000"/>
          <w:sz w:val="20"/>
          <w:szCs w:val="20"/>
          <w:shd w:val="clear" w:color="auto" w:fill="E1E3E6"/>
        </w:rPr>
        <w:fldChar w:fldCharType="begin"/>
      </w:r>
      <w:r w:rsidR="00226E29">
        <w:rPr>
          <w:rStyle w:val="normaltextrun"/>
          <w:color w:val="000000"/>
          <w:sz w:val="20"/>
          <w:szCs w:val="20"/>
          <w:shd w:val="clear" w:color="auto" w:fill="E1E3E6"/>
        </w:rPr>
        <w:instrText xml:space="preserve"> REF _Ref117254984 \r \h </w:instrText>
      </w:r>
      <w:r w:rsidR="00226E29">
        <w:rPr>
          <w:rStyle w:val="normaltextrun"/>
          <w:color w:val="000000"/>
          <w:sz w:val="20"/>
          <w:szCs w:val="20"/>
          <w:shd w:val="clear" w:color="auto" w:fill="E1E3E6"/>
        </w:rPr>
      </w:r>
      <w:r w:rsidR="00226E29">
        <w:rPr>
          <w:rStyle w:val="normaltextrun"/>
          <w:color w:val="000000"/>
          <w:sz w:val="20"/>
          <w:szCs w:val="20"/>
          <w:shd w:val="clear" w:color="auto" w:fill="E1E3E6"/>
        </w:rPr>
        <w:fldChar w:fldCharType="separate"/>
      </w:r>
      <w:r w:rsidR="00226E29">
        <w:rPr>
          <w:rStyle w:val="normaltextrun"/>
          <w:color w:val="000000"/>
          <w:sz w:val="20"/>
          <w:szCs w:val="20"/>
          <w:shd w:val="clear" w:color="auto" w:fill="E1E3E6"/>
        </w:rPr>
        <w:t>[15]</w:t>
      </w:r>
      <w:r w:rsidR="00226E29">
        <w:rPr>
          <w:rStyle w:val="normaltextrun"/>
          <w:color w:val="000000"/>
          <w:sz w:val="20"/>
          <w:szCs w:val="20"/>
          <w:shd w:val="clear" w:color="auto" w:fill="E1E3E6"/>
        </w:rPr>
        <w:fldChar w:fldCharType="end"/>
      </w:r>
      <w:r>
        <w:rPr>
          <w:rStyle w:val="normaltextrun"/>
          <w:sz w:val="20"/>
          <w:szCs w:val="20"/>
        </w:rPr>
        <w:t>:</w:t>
      </w:r>
      <w:r>
        <w:rPr>
          <w:rStyle w:val="eop"/>
          <w:sz w:val="20"/>
          <w:szCs w:val="20"/>
        </w:rPr>
        <w:t> </w:t>
      </w:r>
    </w:p>
    <w:p w14:paraId="1C276BE3" w14:textId="461BCFFF" w:rsidR="00AF4FC1" w:rsidRDefault="00785479" w:rsidP="00C702A7">
      <w:pPr>
        <w:pStyle w:val="paragraph"/>
        <w:spacing w:before="0" w:beforeAutospacing="0" w:after="0" w:afterAutospacing="0"/>
        <w:textAlignment w:val="baseline"/>
        <w:rPr>
          <w:rFonts w:ascii="Segoe UI" w:hAnsi="Segoe UI" w:cs="Segoe UI"/>
          <w:sz w:val="18"/>
          <w:szCs w:val="18"/>
        </w:rPr>
      </w:pPr>
      <w:r>
        <w:rPr>
          <w:rFonts w:ascii="Segoe UI" w:hAnsi="Segoe UI" w:cs="Segoe UI"/>
          <w:noProof/>
          <w:sz w:val="18"/>
          <w:szCs w:val="18"/>
        </w:rPr>
        <mc:AlternateContent>
          <mc:Choice Requires="wps">
            <w:drawing>
              <wp:anchor distT="0" distB="0" distL="114300" distR="114300" simplePos="0" relativeHeight="251658240" behindDoc="1" locked="0" layoutInCell="1" allowOverlap="1" wp14:anchorId="6244AFD2" wp14:editId="4D707A48">
                <wp:simplePos x="0" y="0"/>
                <wp:positionH relativeFrom="margin">
                  <wp:posOffset>-39754</wp:posOffset>
                </wp:positionH>
                <wp:positionV relativeFrom="paragraph">
                  <wp:posOffset>106110</wp:posOffset>
                </wp:positionV>
                <wp:extent cx="5808345" cy="620395"/>
                <wp:effectExtent l="0" t="0" r="20955" b="27305"/>
                <wp:wrapTight wrapText="bothSides">
                  <wp:wrapPolygon edited="0">
                    <wp:start x="0" y="0"/>
                    <wp:lineTo x="0" y="21887"/>
                    <wp:lineTo x="21607" y="21887"/>
                    <wp:lineTo x="21607" y="0"/>
                    <wp:lineTo x="0" y="0"/>
                  </wp:wrapPolygon>
                </wp:wrapTight>
                <wp:docPr id="7" name="Rectangle 7"/>
                <wp:cNvGraphicFramePr/>
                <a:graphic xmlns:a="http://schemas.openxmlformats.org/drawingml/2006/main">
                  <a:graphicData uri="http://schemas.microsoft.com/office/word/2010/wordprocessingShape">
                    <wps:wsp>
                      <wps:cNvSpPr/>
                      <wps:spPr>
                        <a:xfrm>
                          <a:off x="0" y="0"/>
                          <a:ext cx="5808345" cy="620395"/>
                        </a:xfrm>
                        <a:prstGeom prst="rect">
                          <a:avLst/>
                        </a:prstGeom>
                      </wps:spPr>
                      <wps:style>
                        <a:lnRef idx="2">
                          <a:schemeClr val="dk1"/>
                        </a:lnRef>
                        <a:fillRef idx="1">
                          <a:schemeClr val="lt1"/>
                        </a:fillRef>
                        <a:effectRef idx="0">
                          <a:schemeClr val="dk1"/>
                        </a:effectRef>
                        <a:fontRef idx="minor">
                          <a:schemeClr val="dk1"/>
                        </a:fontRef>
                      </wps:style>
                      <wps:txbx>
                        <w:txbxContent>
                          <w:p w14:paraId="6F0FFCBC" w14:textId="77777777" w:rsidR="00785479" w:rsidRDefault="00785479" w:rsidP="00785479">
                            <w:pPr>
                              <w:pStyle w:val="paragraph"/>
                              <w:spacing w:before="0" w:beforeAutospacing="0" w:after="0" w:afterAutospacing="0"/>
                              <w:textAlignment w:val="baseline"/>
                              <w:rPr>
                                <w:rFonts w:ascii="Segoe UI" w:hAnsi="Segoe UI" w:cs="Segoe UI"/>
                                <w:sz w:val="18"/>
                                <w:szCs w:val="18"/>
                              </w:rPr>
                            </w:pPr>
                            <w:r>
                              <w:rPr>
                                <w:rStyle w:val="normaltextrun"/>
                                <w:b/>
                                <w:bCs/>
                                <w:color w:val="000000"/>
                                <w:sz w:val="20"/>
                                <w:szCs w:val="20"/>
                                <w:shd w:val="clear" w:color="auto" w:fill="00FF00"/>
                              </w:rPr>
                              <w:t>RAN4#104 Agreement</w:t>
                            </w:r>
                            <w:r>
                              <w:rPr>
                                <w:rStyle w:val="eop"/>
                                <w:color w:val="000000"/>
                                <w:sz w:val="20"/>
                                <w:szCs w:val="20"/>
                              </w:rPr>
                              <w:t> </w:t>
                            </w:r>
                          </w:p>
                          <w:p w14:paraId="535FBDAB" w14:textId="77777777" w:rsidR="00785479" w:rsidRDefault="00785479" w:rsidP="00785479">
                            <w:pPr>
                              <w:pStyle w:val="paragraph"/>
                              <w:spacing w:before="0" w:beforeAutospacing="0" w:after="0" w:afterAutospacing="0"/>
                              <w:ind w:left="285"/>
                              <w:textAlignment w:val="baseline"/>
                              <w:rPr>
                                <w:rFonts w:ascii="Segoe UI" w:hAnsi="Segoe UI" w:cs="Segoe UI"/>
                                <w:sz w:val="18"/>
                                <w:szCs w:val="18"/>
                              </w:rPr>
                            </w:pPr>
                            <w:r>
                              <w:rPr>
                                <w:rStyle w:val="normaltextrun"/>
                                <w:b/>
                                <w:bCs/>
                                <w:sz w:val="20"/>
                                <w:szCs w:val="20"/>
                                <w:u w:val="single"/>
                                <w:lang w:val="en-GB"/>
                              </w:rPr>
                              <w:t xml:space="preserve">Issue 1-1-1-2: </w:t>
                            </w:r>
                            <w:r>
                              <w:rPr>
                                <w:rStyle w:val="normaltextrun"/>
                                <w:b/>
                                <w:bCs/>
                                <w:sz w:val="20"/>
                                <w:szCs w:val="20"/>
                                <w:u w:val="single"/>
                                <w:shd w:val="clear" w:color="auto" w:fill="00FF00"/>
                                <w:lang w:val="en-GB"/>
                              </w:rPr>
                              <w:t>Number of searchers for cell detection and measurements</w:t>
                            </w:r>
                            <w:r>
                              <w:rPr>
                                <w:rStyle w:val="eop"/>
                                <w:sz w:val="20"/>
                                <w:szCs w:val="20"/>
                              </w:rPr>
                              <w:t> </w:t>
                            </w:r>
                          </w:p>
                          <w:p w14:paraId="1AFC2F40" w14:textId="77777777" w:rsidR="00785479" w:rsidRDefault="00785479" w:rsidP="00785479">
                            <w:pPr>
                              <w:pStyle w:val="paragraph"/>
                              <w:numPr>
                                <w:ilvl w:val="0"/>
                                <w:numId w:val="42"/>
                              </w:numPr>
                              <w:spacing w:before="0" w:beforeAutospacing="0" w:after="0" w:afterAutospacing="0"/>
                              <w:ind w:left="1080" w:firstLine="0"/>
                              <w:textAlignment w:val="baseline"/>
                              <w:rPr>
                                <w:rFonts w:ascii="Calibri" w:hAnsi="Calibri" w:cs="Calibri"/>
                                <w:sz w:val="22"/>
                                <w:szCs w:val="22"/>
                              </w:rPr>
                            </w:pPr>
                            <w:r>
                              <w:rPr>
                                <w:rStyle w:val="normaltextrun"/>
                                <w:sz w:val="20"/>
                                <w:szCs w:val="20"/>
                                <w:shd w:val="clear" w:color="auto" w:fill="00FF00"/>
                                <w:lang w:val="en-GB"/>
                              </w:rPr>
                              <w:t>2 searchers are assumed.</w:t>
                            </w:r>
                            <w:r>
                              <w:rPr>
                                <w:rStyle w:val="eop"/>
                                <w:sz w:val="20"/>
                                <w:szCs w:val="20"/>
                              </w:rPr>
                              <w:t> </w:t>
                            </w:r>
                          </w:p>
                          <w:p w14:paraId="36C562EA" w14:textId="77777777" w:rsidR="00785479" w:rsidRDefault="00785479" w:rsidP="0078547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44AFD2" id="Rectangle 7" o:spid="_x0000_s1027" style="position:absolute;margin-left:-3.15pt;margin-top:8.35pt;width:457.35pt;height:48.8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" fillcolor="white [3201]" strokecolor="black [3200]" strokeweight="1pt">
                <v:textbox>
                  <w:txbxContent>
                    <w:p w14:paraId="6F0FFCBC" w14:textId="77777777" w:rsidR="00785479" w:rsidRDefault="00785479" w:rsidP="00785479">
                      <w:pPr>
                        <w:pStyle w:val="paragraph"/>
                        <w:spacing w:before="0" w:beforeAutospacing="0" w:after="0" w:afterAutospacing="0"/>
                        <w:textAlignment w:val="baseline"/>
                        <w:rPr>
                          <w:rFonts w:ascii="Segoe UI" w:hAnsi="Segoe UI" w:cs="Segoe UI"/>
                          <w:sz w:val="18"/>
                          <w:szCs w:val="18"/>
                        </w:rPr>
                      </w:pPr>
                      <w:r>
                        <w:rPr>
                          <w:rStyle w:val="normaltextrun"/>
                          <w:b/>
                          <w:bCs/>
                          <w:color w:val="000000"/>
                          <w:sz w:val="20"/>
                          <w:szCs w:val="20"/>
                          <w:shd w:val="clear" w:color="auto" w:fill="00FF00"/>
                        </w:rPr>
                        <w:t>RAN4#104 Agreement</w:t>
                      </w:r>
                      <w:r>
                        <w:rPr>
                          <w:rStyle w:val="eop"/>
                          <w:color w:val="000000"/>
                          <w:sz w:val="20"/>
                          <w:szCs w:val="20"/>
                        </w:rPr>
                        <w:t> </w:t>
                      </w:r>
                    </w:p>
                    <w:p w14:paraId="535FBDAB" w14:textId="77777777" w:rsidR="00785479" w:rsidRDefault="00785479" w:rsidP="00785479">
                      <w:pPr>
                        <w:pStyle w:val="paragraph"/>
                        <w:spacing w:before="0" w:beforeAutospacing="0" w:after="0" w:afterAutospacing="0"/>
                        <w:ind w:left="285"/>
                        <w:textAlignment w:val="baseline"/>
                        <w:rPr>
                          <w:rFonts w:ascii="Segoe UI" w:hAnsi="Segoe UI" w:cs="Segoe UI"/>
                          <w:sz w:val="18"/>
                          <w:szCs w:val="18"/>
                        </w:rPr>
                      </w:pPr>
                      <w:r>
                        <w:rPr>
                          <w:rStyle w:val="normaltextrun"/>
                          <w:b/>
                          <w:bCs/>
                          <w:sz w:val="20"/>
                          <w:szCs w:val="20"/>
                          <w:u w:val="single"/>
                          <w:lang w:val="en-GB"/>
                        </w:rPr>
                        <w:t xml:space="preserve">Issue 1-1-1-2: </w:t>
                      </w:r>
                      <w:r>
                        <w:rPr>
                          <w:rStyle w:val="normaltextrun"/>
                          <w:b/>
                          <w:bCs/>
                          <w:sz w:val="20"/>
                          <w:szCs w:val="20"/>
                          <w:u w:val="single"/>
                          <w:shd w:val="clear" w:color="auto" w:fill="00FF00"/>
                          <w:lang w:val="en-GB"/>
                        </w:rPr>
                        <w:t>Number of searchers for cell detection and measurements</w:t>
                      </w:r>
                      <w:r>
                        <w:rPr>
                          <w:rStyle w:val="eop"/>
                          <w:sz w:val="20"/>
                          <w:szCs w:val="20"/>
                        </w:rPr>
                        <w:t> </w:t>
                      </w:r>
                    </w:p>
                    <w:p w14:paraId="1AFC2F40" w14:textId="77777777" w:rsidR="00785479" w:rsidRDefault="00785479" w:rsidP="00785479">
                      <w:pPr>
                        <w:pStyle w:val="paragraph"/>
                        <w:numPr>
                          <w:ilvl w:val="0"/>
                          <w:numId w:val="42"/>
                        </w:numPr>
                        <w:spacing w:before="0" w:beforeAutospacing="0" w:after="0" w:afterAutospacing="0"/>
                        <w:ind w:left="1080" w:firstLine="0"/>
                        <w:textAlignment w:val="baseline"/>
                        <w:rPr>
                          <w:rFonts w:ascii="Calibri" w:hAnsi="Calibri" w:cs="Calibri"/>
                          <w:sz w:val="22"/>
                          <w:szCs w:val="22"/>
                        </w:rPr>
                      </w:pPr>
                      <w:r>
                        <w:rPr>
                          <w:rStyle w:val="normaltextrun"/>
                          <w:sz w:val="20"/>
                          <w:szCs w:val="20"/>
                          <w:shd w:val="clear" w:color="auto" w:fill="00FF00"/>
                          <w:lang w:val="en-GB"/>
                        </w:rPr>
                        <w:t>2 searchers are assumed.</w:t>
                      </w:r>
                      <w:r>
                        <w:rPr>
                          <w:rStyle w:val="eop"/>
                          <w:sz w:val="20"/>
                          <w:szCs w:val="20"/>
                        </w:rPr>
                        <w:t> </w:t>
                      </w:r>
                    </w:p>
                    <w:p w14:paraId="36C562EA" w14:textId="77777777" w:rsidR="00785479" w:rsidRDefault="00785479" w:rsidP="00785479">
                      <w:pPr>
                        <w:jc w:val="center"/>
                      </w:pPr>
                    </w:p>
                  </w:txbxContent>
                </v:textbox>
                <w10:wrap type="tight" anchorx="margin"/>
              </v:rect>
            </w:pict>
          </mc:Fallback>
        </mc:AlternateContent>
      </w:r>
    </w:p>
    <w:p w14:paraId="62067C6C" w14:textId="77777777" w:rsidR="00C702A7" w:rsidRDefault="00C702A7" w:rsidP="00C702A7">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12403386" w14:textId="2DE02F73" w:rsidR="00C702A7" w:rsidRDefault="00C702A7" w:rsidP="0069137A">
      <w:pPr>
        <w:rPr>
          <w:rStyle w:val="normaltextrun"/>
          <w:color w:val="000000"/>
          <w:szCs w:val="20"/>
          <w:shd w:val="clear" w:color="auto" w:fill="FFFFFF"/>
        </w:rPr>
      </w:pPr>
    </w:p>
    <w:p w14:paraId="265AB3DF" w14:textId="5ED20EE6" w:rsidR="0069137A" w:rsidRDefault="003861E1" w:rsidP="0069137A">
      <w:pPr>
        <w:rPr>
          <w:rStyle w:val="normaltextrun"/>
          <w:color w:val="000000"/>
          <w:szCs w:val="20"/>
          <w:shd w:val="clear" w:color="auto" w:fill="FFFFFF"/>
        </w:rPr>
      </w:pPr>
      <w:r>
        <w:rPr>
          <w:rStyle w:val="normaltextrun"/>
          <w:color w:val="000000"/>
          <w:szCs w:val="20"/>
          <w:shd w:val="clear" w:color="auto" w:fill="FFFFFF"/>
        </w:rPr>
        <w:t xml:space="preserve"> </w:t>
      </w:r>
    </w:p>
    <w:p w14:paraId="53F599D0" w14:textId="552D641F" w:rsidR="00040133" w:rsidRDefault="00040133" w:rsidP="00D40E04">
      <w:pPr>
        <w:pStyle w:val="RAN4observation0"/>
        <w:ind w:left="0" w:firstLine="0"/>
        <w:rPr>
          <w:rStyle w:val="eop"/>
          <w:rFonts w:eastAsiaTheme="minorHAnsi" w:cstheme="minorBidi"/>
          <w:color w:val="000000"/>
          <w:szCs w:val="22"/>
          <w:shd w:val="clear" w:color="auto" w:fill="FFFFFF"/>
          <w:lang w:val="en-US"/>
        </w:rPr>
      </w:pPr>
      <w:bookmarkStart w:id="13" w:name="_Toc127525199"/>
      <w:r>
        <w:rPr>
          <w:rStyle w:val="normaltextrun"/>
          <w:color w:val="000000"/>
          <w:shd w:val="clear" w:color="auto" w:fill="FFFFFF"/>
        </w:rPr>
        <w:t>Since the searchers may need independent control of the spatial filters, it can be assumed that IBM must be extended to intra-band multi-TRP scenarios.</w:t>
      </w:r>
      <w:bookmarkEnd w:id="13"/>
      <w:r>
        <w:rPr>
          <w:rStyle w:val="eop"/>
          <w:color w:val="000000"/>
          <w:shd w:val="clear" w:color="auto" w:fill="FFFFFF"/>
        </w:rPr>
        <w:t> </w:t>
      </w:r>
    </w:p>
    <w:p w14:paraId="62A875D3" w14:textId="51E71DE5" w:rsidR="00F755C0" w:rsidRPr="00F755C0" w:rsidRDefault="00180D8A" w:rsidP="00D40E04">
      <w:pPr>
        <w:pStyle w:val="RAN4observation0"/>
        <w:ind w:left="0" w:firstLine="0"/>
      </w:pPr>
      <w:bookmarkStart w:id="14" w:name="_Toc127525200"/>
      <w:r>
        <w:rPr>
          <w:rStyle w:val="normaltextrun"/>
          <w:color w:val="000000"/>
          <w:shd w:val="clear" w:color="auto" w:fill="FFFFFF"/>
        </w:rPr>
        <w:t xml:space="preserve">Independent Beam Management </w:t>
      </w:r>
      <w:r w:rsidR="00D42D95">
        <w:rPr>
          <w:rStyle w:val="normaltextrun"/>
          <w:color w:val="000000"/>
          <w:shd w:val="clear" w:color="auto" w:fill="FFFFFF"/>
        </w:rPr>
        <w:t xml:space="preserve">on different Rx chains </w:t>
      </w:r>
      <w:r>
        <w:rPr>
          <w:rStyle w:val="normaltextrun"/>
          <w:color w:val="000000"/>
          <w:shd w:val="clear" w:color="auto" w:fill="FFFFFF"/>
        </w:rPr>
        <w:t xml:space="preserve">would </w:t>
      </w:r>
      <w:r w:rsidR="00847536">
        <w:rPr>
          <w:rStyle w:val="normaltextrun"/>
          <w:color w:val="000000"/>
          <w:shd w:val="clear" w:color="auto" w:fill="FFFFFF"/>
        </w:rPr>
        <w:t>improve</w:t>
      </w:r>
      <w:r>
        <w:rPr>
          <w:rStyle w:val="normaltextrun"/>
          <w:color w:val="000000"/>
          <w:shd w:val="clear" w:color="auto" w:fill="FFFFFF"/>
        </w:rPr>
        <w:t xml:space="preserve"> RRM measurement</w:t>
      </w:r>
      <w:r w:rsidR="00847536">
        <w:rPr>
          <w:rStyle w:val="normaltextrun"/>
          <w:color w:val="000000"/>
          <w:shd w:val="clear" w:color="auto" w:fill="FFFFFF"/>
        </w:rPr>
        <w:t>s.</w:t>
      </w:r>
      <w:bookmarkEnd w:id="14"/>
    </w:p>
    <w:p w14:paraId="06DCC863" w14:textId="646F5B99" w:rsidR="00C30F77" w:rsidRPr="00C30F77" w:rsidRDefault="004E4592" w:rsidP="00C30F77">
      <w:pPr>
        <w:pStyle w:val="RAN4proposal"/>
        <w:rPr>
          <w:lang w:val="en-GB"/>
        </w:rPr>
      </w:pPr>
      <w:bookmarkStart w:id="15" w:name="_Toc127525201"/>
      <w:r>
        <w:rPr>
          <w:rStyle w:val="normaltextrun"/>
          <w:color w:val="000000"/>
          <w:szCs w:val="20"/>
          <w:shd w:val="clear" w:color="auto" w:fill="FFFFFF"/>
        </w:rPr>
        <w:t xml:space="preserve">RAN4 to </w:t>
      </w:r>
      <w:r w:rsidR="00AD5BCD">
        <w:rPr>
          <w:rStyle w:val="normaltextrun"/>
          <w:color w:val="000000"/>
          <w:szCs w:val="20"/>
          <w:shd w:val="clear" w:color="auto" w:fill="FFFFFF"/>
        </w:rPr>
        <w:t xml:space="preserve">define requirements </w:t>
      </w:r>
      <w:r>
        <w:rPr>
          <w:rStyle w:val="normaltextrun"/>
          <w:color w:val="000000"/>
          <w:szCs w:val="20"/>
          <w:shd w:val="clear" w:color="auto" w:fill="FFFFFF"/>
        </w:rPr>
        <w:t>assum</w:t>
      </w:r>
      <w:r w:rsidR="00AD5BCD">
        <w:rPr>
          <w:rStyle w:val="normaltextrun"/>
          <w:color w:val="000000"/>
          <w:szCs w:val="20"/>
          <w:shd w:val="clear" w:color="auto" w:fill="FFFFFF"/>
        </w:rPr>
        <w:t>ing</w:t>
      </w:r>
      <w:r>
        <w:rPr>
          <w:rStyle w:val="normaltextrun"/>
          <w:color w:val="000000"/>
          <w:szCs w:val="20"/>
          <w:shd w:val="clear" w:color="auto" w:fill="FFFFFF"/>
        </w:rPr>
        <w:t xml:space="preserve"> </w:t>
      </w:r>
      <w:r w:rsidR="007361E5">
        <w:rPr>
          <w:rStyle w:val="normaltextrun"/>
          <w:color w:val="000000"/>
          <w:szCs w:val="20"/>
          <w:shd w:val="clear" w:color="auto" w:fill="FFFFFF"/>
        </w:rPr>
        <w:t>i</w:t>
      </w:r>
      <w:r w:rsidR="00C30F77" w:rsidRPr="00D40E04">
        <w:rPr>
          <w:rStyle w:val="normaltextrun"/>
          <w:color w:val="000000"/>
          <w:szCs w:val="20"/>
          <w:shd w:val="clear" w:color="auto" w:fill="FFFFFF"/>
        </w:rPr>
        <w:t xml:space="preserve">ndependent beam management </w:t>
      </w:r>
      <w:r w:rsidR="00180D8A" w:rsidRPr="00D40E04">
        <w:rPr>
          <w:rStyle w:val="normaltextrun"/>
          <w:color w:val="000000"/>
          <w:szCs w:val="20"/>
          <w:shd w:val="clear" w:color="auto" w:fill="FFFFFF"/>
        </w:rPr>
        <w:t>across</w:t>
      </w:r>
      <w:r w:rsidR="00C30F77" w:rsidRPr="00D40E04">
        <w:rPr>
          <w:rStyle w:val="normaltextrun"/>
          <w:color w:val="000000"/>
          <w:szCs w:val="20"/>
          <w:shd w:val="clear" w:color="auto" w:fill="FFFFFF"/>
        </w:rPr>
        <w:t xml:space="preserve"> multiple Rx chains on the same carrier.</w:t>
      </w:r>
      <w:bookmarkEnd w:id="15"/>
      <w:r w:rsidR="00C30F77" w:rsidRPr="00D40E04">
        <w:rPr>
          <w:rStyle w:val="eop"/>
          <w:color w:val="000000"/>
          <w:szCs w:val="20"/>
          <w:shd w:val="clear" w:color="auto" w:fill="FFFFFF"/>
        </w:rPr>
        <w:t> </w:t>
      </w:r>
    </w:p>
    <w:p w14:paraId="42609273" w14:textId="5D6A4809" w:rsidR="000877DB" w:rsidRDefault="001C5574" w:rsidP="00D40E04">
      <w:pPr>
        <w:pStyle w:val="RAN4H2"/>
        <w:ind w:left="0" w:firstLine="0"/>
      </w:pPr>
      <w:r w:rsidRPr="00B64FF1">
        <w:t>Group</w:t>
      </w:r>
      <w:r w:rsidR="00572DD2">
        <w:t>-</w:t>
      </w:r>
      <w:r>
        <w:t>based beam reporting</w:t>
      </w:r>
    </w:p>
    <w:p w14:paraId="44734284" w14:textId="2F4FC7ED" w:rsidR="000877DB" w:rsidRPr="00941D35" w:rsidRDefault="008A4CC6" w:rsidP="00CE0390">
      <w:pPr>
        <w:jc w:val="both"/>
        <w:rPr>
          <w:rStyle w:val="normaltextrun"/>
          <w:rFonts w:eastAsia="Calibri" w:cs="Times New Roman"/>
          <w:color w:val="000000"/>
          <w:szCs w:val="20"/>
          <w:shd w:val="clear" w:color="auto" w:fill="FFFFFF"/>
          <w:lang w:val="en-GB"/>
        </w:rPr>
      </w:pPr>
      <w:r w:rsidRPr="00941D35">
        <w:rPr>
          <w:rStyle w:val="normaltextrun"/>
          <w:rFonts w:eastAsia="Calibri" w:cs="Times New Roman"/>
          <w:color w:val="000000"/>
          <w:szCs w:val="20"/>
          <w:shd w:val="clear" w:color="auto" w:fill="FFFFFF"/>
          <w:lang w:val="en-GB"/>
        </w:rPr>
        <w:t xml:space="preserve">As discussed in the previous meeting, </w:t>
      </w:r>
      <w:r w:rsidR="000C426A" w:rsidRPr="00941D35">
        <w:rPr>
          <w:rStyle w:val="normaltextrun"/>
          <w:rFonts w:eastAsia="Calibri" w:cs="Times New Roman"/>
          <w:color w:val="000000"/>
          <w:szCs w:val="20"/>
          <w:shd w:val="clear" w:color="auto" w:fill="FFFFFF"/>
          <w:lang w:val="en-GB"/>
        </w:rPr>
        <w:t>to</w:t>
      </w:r>
      <w:r w:rsidRPr="00941D35">
        <w:rPr>
          <w:rStyle w:val="normaltextrun"/>
          <w:rFonts w:eastAsia="Calibri" w:cs="Times New Roman"/>
          <w:color w:val="000000"/>
          <w:szCs w:val="20"/>
          <w:shd w:val="clear" w:color="auto" w:fill="FFFFFF"/>
          <w:lang w:val="en-GB"/>
        </w:rPr>
        <w:t xml:space="preserve"> enable reception from multiple TRPs at the UE one method for combining TCI states from sources with different QCL type D is necessary. One possible procedure for enabling 4-layer reception with dual TCIs is described in </w:t>
      </w:r>
      <w:r w:rsidRPr="00941D35">
        <w:rPr>
          <w:rStyle w:val="normaltextrun"/>
          <w:rFonts w:eastAsia="Calibri" w:cs="Times New Roman"/>
          <w:color w:val="000000"/>
          <w:szCs w:val="20"/>
          <w:shd w:val="clear" w:color="auto" w:fill="FFFFFF"/>
          <w:lang w:val="en-GB"/>
        </w:rPr>
        <w:fldChar w:fldCharType="begin"/>
      </w:r>
      <w:r w:rsidRPr="00941D35">
        <w:rPr>
          <w:rStyle w:val="normaltextrun"/>
          <w:rFonts w:eastAsia="Calibri" w:cs="Times New Roman"/>
          <w:color w:val="000000"/>
          <w:szCs w:val="20"/>
          <w:shd w:val="clear" w:color="auto" w:fill="FFFFFF"/>
          <w:lang w:val="en-GB"/>
        </w:rPr>
        <w:instrText xml:space="preserve"> REF _Ref123802928 \r \h </w:instrText>
      </w:r>
      <w:r w:rsidR="00130E72" w:rsidRPr="00941D35">
        <w:rPr>
          <w:rStyle w:val="normaltextrun"/>
          <w:rFonts w:eastAsia="Calibri" w:cs="Times New Roman"/>
          <w:color w:val="000000"/>
          <w:szCs w:val="20"/>
          <w:shd w:val="clear" w:color="auto" w:fill="FFFFFF"/>
          <w:lang w:val="en-GB"/>
        </w:rPr>
        <w:instrText xml:space="preserve"> \* MERGEFORMAT </w:instrText>
      </w:r>
      <w:r w:rsidRPr="00941D35">
        <w:rPr>
          <w:rStyle w:val="normaltextrun"/>
          <w:rFonts w:eastAsia="Calibri" w:cs="Times New Roman"/>
          <w:color w:val="000000"/>
          <w:szCs w:val="20"/>
          <w:shd w:val="clear" w:color="auto" w:fill="FFFFFF"/>
          <w:lang w:val="en-GB"/>
        </w:rPr>
      </w:r>
      <w:r w:rsidRPr="00941D35">
        <w:rPr>
          <w:rStyle w:val="normaltextrun"/>
          <w:rFonts w:eastAsia="Calibri" w:cs="Times New Roman"/>
          <w:color w:val="000000"/>
          <w:szCs w:val="20"/>
          <w:shd w:val="clear" w:color="auto" w:fill="FFFFFF"/>
          <w:lang w:val="en-GB"/>
        </w:rPr>
        <w:fldChar w:fldCharType="separate"/>
      </w:r>
      <w:r w:rsidR="009E569F" w:rsidRPr="00941D35">
        <w:rPr>
          <w:rStyle w:val="normaltextrun"/>
          <w:rFonts w:eastAsia="Calibri" w:cs="Times New Roman"/>
          <w:color w:val="000000"/>
          <w:szCs w:val="20"/>
          <w:shd w:val="clear" w:color="auto" w:fill="FFFFFF"/>
          <w:lang w:val="en-GB"/>
        </w:rPr>
        <w:t>[9]</w:t>
      </w:r>
      <w:r w:rsidRPr="00941D35">
        <w:rPr>
          <w:rStyle w:val="normaltextrun"/>
          <w:rFonts w:eastAsia="Calibri" w:cs="Times New Roman"/>
          <w:color w:val="000000"/>
          <w:szCs w:val="20"/>
          <w:shd w:val="clear" w:color="auto" w:fill="FFFFFF"/>
          <w:lang w:val="en-GB"/>
        </w:rPr>
        <w:fldChar w:fldCharType="end"/>
      </w:r>
      <w:r w:rsidRPr="00941D35">
        <w:rPr>
          <w:rStyle w:val="normaltextrun"/>
          <w:rFonts w:eastAsia="Calibri" w:cs="Times New Roman"/>
          <w:color w:val="000000"/>
          <w:szCs w:val="20"/>
          <w:shd w:val="clear" w:color="auto" w:fill="FFFFFF"/>
          <w:lang w:val="en-GB"/>
        </w:rPr>
        <w:t xml:space="preserve"> and we provide few other details that we believe are important for the present discussion. </w:t>
      </w:r>
    </w:p>
    <w:p w14:paraId="54051FDA" w14:textId="41DCC640" w:rsidR="00C758B5" w:rsidRDefault="00C758B5" w:rsidP="00DC66F7">
      <w:pPr>
        <w:keepNext/>
        <w:ind w:left="2160"/>
        <w:jc w:val="both"/>
      </w:pPr>
    </w:p>
    <w:p w14:paraId="7CA614D8" w14:textId="0ACBA745" w:rsidR="00B8093C" w:rsidRDefault="00B8093C" w:rsidP="00DC66F7">
      <w:pPr>
        <w:keepNext/>
        <w:ind w:left="2160"/>
        <w:jc w:val="both"/>
      </w:pPr>
      <w:r w:rsidRPr="00B8093C">
        <w:rPr>
          <w:noProof/>
        </w:rPr>
        <w:drawing>
          <wp:inline distT="0" distB="0" distL="0" distR="0" wp14:anchorId="0DEE9B48" wp14:editId="2723283E">
            <wp:extent cx="3895725" cy="21812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95725" cy="2181225"/>
                    </a:xfrm>
                    <a:prstGeom prst="rect">
                      <a:avLst/>
                    </a:prstGeom>
                    <a:noFill/>
                    <a:ln>
                      <a:noFill/>
                    </a:ln>
                  </pic:spPr>
                </pic:pic>
              </a:graphicData>
            </a:graphic>
          </wp:inline>
        </w:drawing>
      </w:r>
    </w:p>
    <w:p w14:paraId="3055FC19" w14:textId="0AE3B0EE" w:rsidR="00841F60" w:rsidRDefault="00C758B5" w:rsidP="00DC66F7">
      <w:pPr>
        <w:pStyle w:val="Caption"/>
        <w:ind w:left="2160" w:firstLine="720"/>
        <w:jc w:val="both"/>
      </w:pPr>
      <w:bookmarkStart w:id="16" w:name="_Ref125805761"/>
      <w:r>
        <w:t xml:space="preserve">Figure </w:t>
      </w:r>
      <w:r w:rsidR="00326378">
        <w:fldChar w:fldCharType="begin"/>
      </w:r>
      <w:r w:rsidR="00326378">
        <w:instrText xml:space="preserve"> SEQ Figure \* ARABIC </w:instrText>
      </w:r>
      <w:r w:rsidR="00326378">
        <w:fldChar w:fldCharType="separate"/>
      </w:r>
      <w:r w:rsidR="006C6044">
        <w:rPr>
          <w:noProof/>
        </w:rPr>
        <w:t>4</w:t>
      </w:r>
      <w:r w:rsidR="00326378">
        <w:rPr>
          <w:noProof/>
        </w:rPr>
        <w:fldChar w:fldCharType="end"/>
      </w:r>
      <w:bookmarkEnd w:id="16"/>
      <w:r w:rsidR="00551A32">
        <w:t xml:space="preserve">: </w:t>
      </w:r>
      <w:r w:rsidR="00343D47">
        <w:t>multi-TRP s</w:t>
      </w:r>
      <w:r w:rsidR="00CA5D6D">
        <w:t>cenario for groupBasedBeamReporting</w:t>
      </w:r>
    </w:p>
    <w:p w14:paraId="6C4DB38A" w14:textId="20ACD702" w:rsidR="00CA7AED" w:rsidRPr="00941D35" w:rsidRDefault="00107B3E">
      <w:pPr>
        <w:jc w:val="both"/>
        <w:rPr>
          <w:szCs w:val="20"/>
        </w:rPr>
      </w:pPr>
      <w:r w:rsidRPr="00941D35">
        <w:rPr>
          <w:i/>
          <w:iCs/>
          <w:szCs w:val="20"/>
        </w:rPr>
        <w:fldChar w:fldCharType="begin"/>
      </w:r>
      <w:r w:rsidRPr="00941D35">
        <w:rPr>
          <w:i/>
          <w:iCs/>
          <w:szCs w:val="20"/>
        </w:rPr>
        <w:instrText xml:space="preserve"> REF _Ref125805761 \h </w:instrText>
      </w:r>
      <w:r w:rsidR="006900AB" w:rsidRPr="00941D35">
        <w:rPr>
          <w:i/>
          <w:iCs/>
          <w:szCs w:val="20"/>
        </w:rPr>
        <w:instrText xml:space="preserve"> \* MERGEFORMAT </w:instrText>
      </w:r>
      <w:r w:rsidRPr="00941D35">
        <w:rPr>
          <w:i/>
          <w:iCs/>
          <w:szCs w:val="20"/>
        </w:rPr>
      </w:r>
      <w:r w:rsidRPr="00941D35">
        <w:rPr>
          <w:i/>
          <w:iCs/>
          <w:szCs w:val="20"/>
        </w:rPr>
        <w:fldChar w:fldCharType="separate"/>
      </w:r>
      <w:r w:rsidR="009E569F" w:rsidRPr="00941D35">
        <w:rPr>
          <w:i/>
          <w:iCs/>
          <w:szCs w:val="20"/>
        </w:rPr>
        <w:t xml:space="preserve">Figure </w:t>
      </w:r>
      <w:r w:rsidRPr="00941D35">
        <w:rPr>
          <w:i/>
          <w:iCs/>
          <w:szCs w:val="20"/>
        </w:rPr>
        <w:fldChar w:fldCharType="end"/>
      </w:r>
      <w:r w:rsidR="00A233F3" w:rsidRPr="00941D35">
        <w:rPr>
          <w:i/>
          <w:iCs/>
          <w:szCs w:val="20"/>
        </w:rPr>
        <w:t>4</w:t>
      </w:r>
      <w:r w:rsidRPr="00941D35">
        <w:rPr>
          <w:szCs w:val="20"/>
        </w:rPr>
        <w:t xml:space="preserve"> </w:t>
      </w:r>
      <w:r w:rsidR="008725D0" w:rsidRPr="00941D35">
        <w:rPr>
          <w:szCs w:val="20"/>
        </w:rPr>
        <w:t>illustrates</w:t>
      </w:r>
      <w:r w:rsidRPr="00941D35">
        <w:rPr>
          <w:szCs w:val="20"/>
        </w:rPr>
        <w:t xml:space="preserve"> possible scenario and configuration setting for groupBasedBeamReporting.</w:t>
      </w:r>
      <w:r w:rsidR="008F4F2D" w:rsidRPr="00941D35">
        <w:rPr>
          <w:szCs w:val="20"/>
        </w:rPr>
        <w:t xml:space="preserve"> If group</w:t>
      </w:r>
      <w:r w:rsidR="0082538B" w:rsidRPr="00941D35">
        <w:rPr>
          <w:szCs w:val="20"/>
        </w:rPr>
        <w:t xml:space="preserve">BasedBeamReporting is configured for multi-TRP, </w:t>
      </w:r>
      <w:r w:rsidR="000D4069" w:rsidRPr="00941D35">
        <w:rPr>
          <w:szCs w:val="20"/>
        </w:rPr>
        <w:t xml:space="preserve">the CSI Resource Set Configuration </w:t>
      </w:r>
      <w:r w:rsidR="00F10888" w:rsidRPr="00941D35">
        <w:rPr>
          <w:szCs w:val="20"/>
        </w:rPr>
        <w:t>will comprise of resource</w:t>
      </w:r>
      <w:r w:rsidR="007903E5" w:rsidRPr="00941D35">
        <w:rPr>
          <w:szCs w:val="20"/>
        </w:rPr>
        <w:t xml:space="preserve">s that can be received </w:t>
      </w:r>
      <w:r w:rsidR="00557564" w:rsidRPr="00941D35">
        <w:rPr>
          <w:szCs w:val="20"/>
        </w:rPr>
        <w:t xml:space="preserve">simultaneously </w:t>
      </w:r>
      <w:r w:rsidR="007903E5" w:rsidRPr="00941D35">
        <w:rPr>
          <w:szCs w:val="20"/>
        </w:rPr>
        <w:t>from two different spatial directions</w:t>
      </w:r>
      <w:r w:rsidR="00A141B5" w:rsidRPr="00941D35">
        <w:rPr>
          <w:szCs w:val="20"/>
        </w:rPr>
        <w:t>/different QCL-D sources.</w:t>
      </w:r>
      <w:r w:rsidR="00CA7AED" w:rsidRPr="00941D35">
        <w:rPr>
          <w:szCs w:val="20"/>
        </w:rPr>
        <w:t xml:space="preserve"> </w:t>
      </w:r>
      <w:r w:rsidR="00880203" w:rsidRPr="00941D35">
        <w:rPr>
          <w:szCs w:val="20"/>
        </w:rPr>
        <w:t>Further</w:t>
      </w:r>
      <w:r w:rsidR="00CA7AED" w:rsidRPr="00941D35">
        <w:rPr>
          <w:szCs w:val="20"/>
        </w:rPr>
        <w:t>more</w:t>
      </w:r>
      <w:r w:rsidR="00147511" w:rsidRPr="00941D35">
        <w:rPr>
          <w:szCs w:val="20"/>
        </w:rPr>
        <w:t xml:space="preserve">, the network </w:t>
      </w:r>
      <w:r w:rsidR="005C20A3" w:rsidRPr="00941D35">
        <w:rPr>
          <w:szCs w:val="20"/>
        </w:rPr>
        <w:t>enables</w:t>
      </w:r>
      <w:r w:rsidR="00147511" w:rsidRPr="00941D35">
        <w:rPr>
          <w:szCs w:val="20"/>
        </w:rPr>
        <w:t xml:space="preserve"> groupBased</w:t>
      </w:r>
      <w:r w:rsidR="00E80DDC" w:rsidRPr="00941D35">
        <w:rPr>
          <w:szCs w:val="20"/>
        </w:rPr>
        <w:t>Beam</w:t>
      </w:r>
      <w:r w:rsidR="00147511" w:rsidRPr="00941D35">
        <w:rPr>
          <w:szCs w:val="20"/>
        </w:rPr>
        <w:t xml:space="preserve">Reporting to </w:t>
      </w:r>
      <w:r w:rsidR="000B6C66" w:rsidRPr="00941D35">
        <w:rPr>
          <w:szCs w:val="20"/>
        </w:rPr>
        <w:t xml:space="preserve">UEs capable of </w:t>
      </w:r>
      <w:r w:rsidR="00BF099D" w:rsidRPr="00941D35">
        <w:rPr>
          <w:i/>
          <w:iCs/>
          <w:szCs w:val="20"/>
        </w:rPr>
        <w:t>mTRP-GroupBasedL1-RSRP-r17</w:t>
      </w:r>
      <w:r w:rsidR="0024326E" w:rsidRPr="00941D35">
        <w:rPr>
          <w:szCs w:val="20"/>
        </w:rPr>
        <w:t xml:space="preserve">, while configuring </w:t>
      </w:r>
      <w:r w:rsidR="007962B5" w:rsidRPr="00941D35">
        <w:rPr>
          <w:szCs w:val="20"/>
        </w:rPr>
        <w:t xml:space="preserve">CSI-RS/SSB resource sets to be measured </w:t>
      </w:r>
      <w:r w:rsidR="005C20A3" w:rsidRPr="00941D35">
        <w:rPr>
          <w:szCs w:val="20"/>
        </w:rPr>
        <w:t>from both TRPs.</w:t>
      </w:r>
      <w:r w:rsidR="009D11CB" w:rsidRPr="00941D35">
        <w:rPr>
          <w:szCs w:val="20"/>
        </w:rPr>
        <w:t xml:space="preserve"> </w:t>
      </w:r>
    </w:p>
    <w:p w14:paraId="52B7A42F" w14:textId="73A5D3ED" w:rsidR="00880203" w:rsidRPr="00941D35" w:rsidRDefault="00CA7AED">
      <w:pPr>
        <w:jc w:val="both"/>
        <w:rPr>
          <w:szCs w:val="20"/>
        </w:rPr>
      </w:pPr>
      <w:r w:rsidRPr="00941D35">
        <w:rPr>
          <w:szCs w:val="20"/>
        </w:rPr>
        <w:t xml:space="preserve">In order to illustrate the behavior of </w:t>
      </w:r>
      <w:r w:rsidR="007E168C" w:rsidRPr="00941D35">
        <w:rPr>
          <w:szCs w:val="20"/>
        </w:rPr>
        <w:t>group-based beam reporting</w:t>
      </w:r>
      <w:r w:rsidR="001B13EE" w:rsidRPr="00941D35">
        <w:rPr>
          <w:szCs w:val="20"/>
        </w:rPr>
        <w:t>,</w:t>
      </w:r>
      <w:r w:rsidR="007E168C" w:rsidRPr="00941D35">
        <w:rPr>
          <w:szCs w:val="20"/>
        </w:rPr>
        <w:t xml:space="preserve"> one </w:t>
      </w:r>
      <w:r w:rsidR="009D11CB" w:rsidRPr="00941D35">
        <w:rPr>
          <w:szCs w:val="20"/>
        </w:rPr>
        <w:t xml:space="preserve">example </w:t>
      </w:r>
      <w:r w:rsidR="007E168C" w:rsidRPr="00941D35">
        <w:rPr>
          <w:szCs w:val="20"/>
        </w:rPr>
        <w:t>is shown</w:t>
      </w:r>
      <w:r w:rsidR="009D11CB" w:rsidRPr="00941D35">
        <w:rPr>
          <w:szCs w:val="20"/>
        </w:rPr>
        <w:t xml:space="preserve"> </w:t>
      </w:r>
      <w:r w:rsidR="00C9531B" w:rsidRPr="00941D35">
        <w:rPr>
          <w:szCs w:val="20"/>
        </w:rPr>
        <w:t>i</w:t>
      </w:r>
      <w:r w:rsidR="007D6A56" w:rsidRPr="00941D35">
        <w:rPr>
          <w:szCs w:val="20"/>
        </w:rPr>
        <w:t xml:space="preserve">n </w:t>
      </w:r>
      <w:r w:rsidR="0077547A" w:rsidRPr="00941D35">
        <w:rPr>
          <w:i/>
          <w:iCs/>
          <w:szCs w:val="20"/>
        </w:rPr>
        <w:fldChar w:fldCharType="begin"/>
      </w:r>
      <w:r w:rsidR="0077547A" w:rsidRPr="00941D35">
        <w:rPr>
          <w:i/>
          <w:iCs/>
          <w:szCs w:val="20"/>
        </w:rPr>
        <w:instrText xml:space="preserve"> REF _Ref125805761 \h </w:instrText>
      </w:r>
      <w:r w:rsidR="000A3833" w:rsidRPr="00941D35">
        <w:rPr>
          <w:i/>
          <w:iCs/>
          <w:szCs w:val="20"/>
        </w:rPr>
        <w:instrText xml:space="preserve"> \* MERGEFORMAT </w:instrText>
      </w:r>
      <w:r w:rsidR="0077547A" w:rsidRPr="00941D35">
        <w:rPr>
          <w:i/>
          <w:iCs/>
          <w:szCs w:val="20"/>
        </w:rPr>
      </w:r>
      <w:r w:rsidR="0077547A" w:rsidRPr="00941D35">
        <w:rPr>
          <w:i/>
          <w:iCs/>
          <w:szCs w:val="20"/>
        </w:rPr>
        <w:fldChar w:fldCharType="separate"/>
      </w:r>
      <w:r w:rsidR="009E569F" w:rsidRPr="00941D35">
        <w:rPr>
          <w:i/>
          <w:iCs/>
          <w:szCs w:val="20"/>
        </w:rPr>
        <w:t xml:space="preserve">Figure </w:t>
      </w:r>
      <w:r w:rsidR="0077547A" w:rsidRPr="00941D35">
        <w:rPr>
          <w:i/>
          <w:iCs/>
          <w:szCs w:val="20"/>
        </w:rPr>
        <w:fldChar w:fldCharType="end"/>
      </w:r>
      <w:r w:rsidR="00A233F3" w:rsidRPr="00941D35">
        <w:rPr>
          <w:i/>
          <w:iCs/>
          <w:szCs w:val="20"/>
        </w:rPr>
        <w:t>4</w:t>
      </w:r>
      <w:r w:rsidR="007D6A56" w:rsidRPr="00941D35">
        <w:rPr>
          <w:szCs w:val="20"/>
        </w:rPr>
        <w:t xml:space="preserve">, </w:t>
      </w:r>
      <w:r w:rsidR="00C9531B" w:rsidRPr="00941D35">
        <w:rPr>
          <w:szCs w:val="20"/>
        </w:rPr>
        <w:t xml:space="preserve">where </w:t>
      </w:r>
      <w:r w:rsidR="007D6A56" w:rsidRPr="00941D35">
        <w:rPr>
          <w:szCs w:val="20"/>
        </w:rPr>
        <w:t xml:space="preserve">the UE could be configured </w:t>
      </w:r>
      <w:r w:rsidR="00AF4C14" w:rsidRPr="00941D35">
        <w:rPr>
          <w:szCs w:val="20"/>
        </w:rPr>
        <w:t>for groupBasedBeamReporting</w:t>
      </w:r>
      <w:r w:rsidR="007D6A56" w:rsidRPr="00941D35">
        <w:rPr>
          <w:szCs w:val="20"/>
        </w:rPr>
        <w:t xml:space="preserve"> with </w:t>
      </w:r>
      <w:r w:rsidR="00D04D6E" w:rsidRPr="00941D35">
        <w:rPr>
          <w:szCs w:val="20"/>
        </w:rPr>
        <w:t>two sets of reference signals related to TRP1 and TRP2</w:t>
      </w:r>
      <w:r w:rsidR="008E7C8D" w:rsidRPr="00941D35">
        <w:rPr>
          <w:szCs w:val="20"/>
        </w:rPr>
        <w:t xml:space="preserve">, where TRP1 is </w:t>
      </w:r>
      <w:r w:rsidR="424A8231" w:rsidRPr="00941D35">
        <w:rPr>
          <w:szCs w:val="20"/>
        </w:rPr>
        <w:t>transmitting</w:t>
      </w:r>
      <w:r w:rsidR="008E7C8D" w:rsidRPr="00941D35">
        <w:rPr>
          <w:szCs w:val="20"/>
        </w:rPr>
        <w:t xml:space="preserve"> CR#0 to CR#3, and TRP2 is sending CR#</w:t>
      </w:r>
      <w:r w:rsidR="00AF4C14" w:rsidRPr="00941D35">
        <w:rPr>
          <w:szCs w:val="20"/>
        </w:rPr>
        <w:t>4 to CR#7</w:t>
      </w:r>
      <w:r w:rsidR="00DB0A62" w:rsidRPr="00941D35">
        <w:rPr>
          <w:szCs w:val="20"/>
        </w:rPr>
        <w:t>.</w:t>
      </w:r>
    </w:p>
    <w:p w14:paraId="10BBB602" w14:textId="6358C223" w:rsidR="008A4CC6" w:rsidRPr="00941D35" w:rsidRDefault="008A4CC6" w:rsidP="00DC66F7">
      <w:pPr>
        <w:jc w:val="both"/>
        <w:rPr>
          <w:rFonts w:ascii="Arial" w:eastAsia="Times New Roman" w:hAnsi="Arial" w:cs="Times New Roman"/>
          <w:szCs w:val="20"/>
        </w:rPr>
      </w:pPr>
      <w:r w:rsidRPr="00941D35">
        <w:rPr>
          <w:szCs w:val="20"/>
        </w:rPr>
        <w:t>The steps concerning group</w:t>
      </w:r>
      <w:r w:rsidR="00572DD2" w:rsidRPr="00941D35">
        <w:rPr>
          <w:szCs w:val="20"/>
        </w:rPr>
        <w:t>-</w:t>
      </w:r>
      <w:r w:rsidRPr="00941D35">
        <w:rPr>
          <w:szCs w:val="20"/>
        </w:rPr>
        <w:t xml:space="preserve">based beam reporting are represented in </w:t>
      </w:r>
      <w:r w:rsidR="00551A32" w:rsidRPr="00941D35">
        <w:rPr>
          <w:i/>
          <w:iCs/>
          <w:szCs w:val="20"/>
        </w:rPr>
        <w:fldChar w:fldCharType="begin"/>
      </w:r>
      <w:r w:rsidR="00551A32" w:rsidRPr="00941D35">
        <w:rPr>
          <w:i/>
          <w:iCs/>
          <w:szCs w:val="20"/>
        </w:rPr>
        <w:instrText xml:space="preserve"> REF _Ref125796258 \h </w:instrText>
      </w:r>
      <w:r w:rsidR="006900AB" w:rsidRPr="00941D35">
        <w:rPr>
          <w:i/>
          <w:iCs/>
          <w:szCs w:val="20"/>
        </w:rPr>
        <w:instrText xml:space="preserve"> \* MERGEFORMAT </w:instrText>
      </w:r>
      <w:r w:rsidR="00551A32" w:rsidRPr="00941D35">
        <w:rPr>
          <w:i/>
          <w:iCs/>
          <w:szCs w:val="20"/>
        </w:rPr>
      </w:r>
      <w:r w:rsidR="00551A32" w:rsidRPr="00941D35">
        <w:rPr>
          <w:i/>
          <w:iCs/>
          <w:szCs w:val="20"/>
        </w:rPr>
        <w:fldChar w:fldCharType="separate"/>
      </w:r>
      <w:r w:rsidR="009E569F" w:rsidRPr="00941D35">
        <w:rPr>
          <w:i/>
          <w:iCs/>
          <w:szCs w:val="20"/>
        </w:rPr>
        <w:t xml:space="preserve">Figure </w:t>
      </w:r>
      <w:r w:rsidR="00551A32" w:rsidRPr="00941D35">
        <w:rPr>
          <w:i/>
          <w:iCs/>
          <w:szCs w:val="20"/>
        </w:rPr>
        <w:fldChar w:fldCharType="end"/>
      </w:r>
      <w:r w:rsidR="00A233F3" w:rsidRPr="00941D35">
        <w:rPr>
          <w:i/>
          <w:iCs/>
          <w:szCs w:val="20"/>
        </w:rPr>
        <w:t>5</w:t>
      </w:r>
      <w:r w:rsidRPr="00941D35">
        <w:rPr>
          <w:szCs w:val="20"/>
        </w:rPr>
        <w:t xml:space="preserve">. </w:t>
      </w:r>
    </w:p>
    <w:p w14:paraId="1A7D2EB1" w14:textId="3BAEAABC" w:rsidR="004C6C32" w:rsidRDefault="004C6C32" w:rsidP="00DC66F7">
      <w:pPr>
        <w:keepNext/>
        <w:ind w:left="720"/>
      </w:pPr>
    </w:p>
    <w:p w14:paraId="2C8BCFA6" w14:textId="78A060CE" w:rsidR="00B8093C" w:rsidRDefault="00B8093C" w:rsidP="00DC66F7">
      <w:pPr>
        <w:keepNext/>
        <w:ind w:left="720"/>
      </w:pPr>
      <w:r w:rsidRPr="00B8093C">
        <w:rPr>
          <w:noProof/>
        </w:rPr>
        <w:drawing>
          <wp:inline distT="0" distB="0" distL="0" distR="0" wp14:anchorId="1E4EA850" wp14:editId="3121CC1E">
            <wp:extent cx="4191000" cy="3505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0" cy="3505200"/>
                    </a:xfrm>
                    <a:prstGeom prst="rect">
                      <a:avLst/>
                    </a:prstGeom>
                    <a:noFill/>
                    <a:ln>
                      <a:noFill/>
                    </a:ln>
                  </pic:spPr>
                </pic:pic>
              </a:graphicData>
            </a:graphic>
          </wp:inline>
        </w:drawing>
      </w:r>
    </w:p>
    <w:p w14:paraId="63FE7753" w14:textId="208E76D9" w:rsidR="008234C4" w:rsidRDefault="004C6C32" w:rsidP="00DC66F7">
      <w:pPr>
        <w:pStyle w:val="Caption"/>
        <w:ind w:left="2880"/>
        <w:jc w:val="left"/>
        <w:rPr>
          <w:lang w:val="en-GB"/>
        </w:rPr>
      </w:pPr>
      <w:bookmarkStart w:id="17" w:name="_Ref125796258"/>
      <w:r>
        <w:t xml:space="preserve">Figure </w:t>
      </w:r>
      <w:r w:rsidR="00326378">
        <w:fldChar w:fldCharType="begin"/>
      </w:r>
      <w:r w:rsidR="00326378">
        <w:instrText xml:space="preserve"> SEQ Figure \* ARABIC </w:instrText>
      </w:r>
      <w:r w:rsidR="00326378">
        <w:fldChar w:fldCharType="separate"/>
      </w:r>
      <w:r w:rsidR="006C6044">
        <w:rPr>
          <w:noProof/>
        </w:rPr>
        <w:t>5</w:t>
      </w:r>
      <w:r w:rsidR="00326378">
        <w:rPr>
          <w:noProof/>
        </w:rPr>
        <w:fldChar w:fldCharType="end"/>
      </w:r>
      <w:bookmarkEnd w:id="17"/>
      <w:r w:rsidR="004D7E76">
        <w:t>:</w:t>
      </w:r>
      <w:r w:rsidR="008234C4">
        <w:t xml:space="preserve"> Steps for group-based beam reporting </w:t>
      </w:r>
    </w:p>
    <w:p w14:paraId="0C422BB1" w14:textId="295E4359" w:rsidR="008A4CC6" w:rsidRPr="00941D35" w:rsidRDefault="008A4CC6">
      <w:pPr>
        <w:jc w:val="both"/>
        <w:rPr>
          <w:szCs w:val="20"/>
        </w:rPr>
      </w:pPr>
      <w:r w:rsidRPr="00941D35">
        <w:rPr>
          <w:szCs w:val="20"/>
        </w:rPr>
        <w:t xml:space="preserve">In Step 1 the UE shares the capabilities to the gNB. The group-based reporting is optional with capability </w:t>
      </w:r>
      <w:r w:rsidR="008F5E54" w:rsidRPr="00941D35">
        <w:rPr>
          <w:szCs w:val="20"/>
        </w:rPr>
        <w:t>signaling</w:t>
      </w:r>
      <w:r w:rsidRPr="00941D35">
        <w:rPr>
          <w:szCs w:val="20"/>
        </w:rPr>
        <w:t xml:space="preserve"> indicated by mTRP-GroupBasedL1-RSRP-r17 </w:t>
      </w:r>
      <w:r w:rsidR="004A1330" w:rsidRPr="00941D35">
        <w:rPr>
          <w:szCs w:val="20"/>
        </w:rPr>
        <w:fldChar w:fldCharType="begin"/>
      </w:r>
      <w:r w:rsidR="004A1330" w:rsidRPr="00941D35">
        <w:rPr>
          <w:szCs w:val="20"/>
        </w:rPr>
        <w:instrText xml:space="preserve"> REF _Ref127459260 \r \h </w:instrText>
      </w:r>
      <w:r w:rsidR="00941D35">
        <w:rPr>
          <w:szCs w:val="20"/>
        </w:rPr>
        <w:instrText xml:space="preserve"> \* MERGEFORMAT </w:instrText>
      </w:r>
      <w:r w:rsidR="004A1330" w:rsidRPr="00941D35">
        <w:rPr>
          <w:szCs w:val="20"/>
        </w:rPr>
      </w:r>
      <w:r w:rsidR="004A1330" w:rsidRPr="00941D35">
        <w:rPr>
          <w:szCs w:val="20"/>
        </w:rPr>
        <w:fldChar w:fldCharType="separate"/>
      </w:r>
      <w:r w:rsidR="004A1330" w:rsidRPr="00941D35">
        <w:rPr>
          <w:szCs w:val="20"/>
        </w:rPr>
        <w:t>[11]</w:t>
      </w:r>
      <w:r w:rsidR="004A1330" w:rsidRPr="00941D35">
        <w:rPr>
          <w:szCs w:val="20"/>
        </w:rPr>
        <w:fldChar w:fldCharType="end"/>
      </w:r>
      <w:r w:rsidRPr="00941D35">
        <w:rPr>
          <w:szCs w:val="20"/>
        </w:rPr>
        <w:t xml:space="preserve">. </w:t>
      </w:r>
    </w:p>
    <w:p w14:paraId="6192EB48" w14:textId="414A580D" w:rsidR="008A4CC6" w:rsidRPr="00941D35" w:rsidRDefault="008A4CC6">
      <w:pPr>
        <w:jc w:val="both"/>
        <w:rPr>
          <w:szCs w:val="20"/>
        </w:rPr>
      </w:pPr>
      <w:r w:rsidRPr="00941D35">
        <w:rPr>
          <w:szCs w:val="20"/>
        </w:rPr>
        <w:t xml:space="preserve">In Step 2 the gNB configures the CSI-ReportConfig, which indicates that group-based beam reporting by enabling groupBasedBeamReporting-r17 and configuring nrofReportedGroups-r17. In this example the number of reported groups is 3. </w:t>
      </w:r>
    </w:p>
    <w:p w14:paraId="5C591C05" w14:textId="283B690D" w:rsidR="008A4CC6" w:rsidRPr="00941D35" w:rsidRDefault="008A4CC6">
      <w:pPr>
        <w:jc w:val="both"/>
        <w:rPr>
          <w:szCs w:val="20"/>
        </w:rPr>
      </w:pPr>
      <w:r w:rsidRPr="00941D35">
        <w:rPr>
          <w:szCs w:val="20"/>
        </w:rPr>
        <w:t xml:space="preserve">In Step 3 the UE reports the L1-RSRP for the number of reported RS groups as configured in Step 3. This report includes first the list of CSI-RS or SSB resources in pairs which can be simultaneously received by the UE </w:t>
      </w:r>
      <w:r w:rsidR="00093855" w:rsidRPr="00941D35">
        <w:rPr>
          <w:szCs w:val="20"/>
        </w:rPr>
        <w:fldChar w:fldCharType="begin"/>
      </w:r>
      <w:r w:rsidR="00093855" w:rsidRPr="00941D35">
        <w:rPr>
          <w:szCs w:val="20"/>
        </w:rPr>
        <w:instrText xml:space="preserve"> REF _Ref127459260 \r \h </w:instrText>
      </w:r>
      <w:r w:rsidR="00941D35">
        <w:rPr>
          <w:szCs w:val="20"/>
        </w:rPr>
        <w:instrText xml:space="preserve"> \* MERGEFORMAT </w:instrText>
      </w:r>
      <w:r w:rsidR="00093855" w:rsidRPr="00941D35">
        <w:rPr>
          <w:szCs w:val="20"/>
        </w:rPr>
      </w:r>
      <w:r w:rsidR="00093855" w:rsidRPr="00941D35">
        <w:rPr>
          <w:szCs w:val="20"/>
        </w:rPr>
        <w:fldChar w:fldCharType="separate"/>
      </w:r>
      <w:r w:rsidR="00093855" w:rsidRPr="00941D35">
        <w:rPr>
          <w:szCs w:val="20"/>
        </w:rPr>
        <w:t>[11]</w:t>
      </w:r>
      <w:r w:rsidR="00093855" w:rsidRPr="00941D35">
        <w:rPr>
          <w:szCs w:val="20"/>
        </w:rPr>
        <w:fldChar w:fldCharType="end"/>
      </w:r>
      <w:r w:rsidR="00093855" w:rsidRPr="00941D35">
        <w:rPr>
          <w:szCs w:val="20"/>
        </w:rPr>
        <w:fldChar w:fldCharType="begin"/>
      </w:r>
      <w:r w:rsidR="00093855" w:rsidRPr="00941D35">
        <w:rPr>
          <w:szCs w:val="20"/>
        </w:rPr>
        <w:instrText xml:space="preserve"> REF _Ref123807385 \r \h </w:instrText>
      </w:r>
      <w:r w:rsidR="00941D35">
        <w:rPr>
          <w:szCs w:val="20"/>
        </w:rPr>
        <w:instrText xml:space="preserve"> \* MERGEFORMAT </w:instrText>
      </w:r>
      <w:r w:rsidR="00093855" w:rsidRPr="00941D35">
        <w:rPr>
          <w:szCs w:val="20"/>
        </w:rPr>
      </w:r>
      <w:r w:rsidR="00093855" w:rsidRPr="00941D35">
        <w:rPr>
          <w:szCs w:val="20"/>
        </w:rPr>
        <w:fldChar w:fldCharType="separate"/>
      </w:r>
      <w:r w:rsidR="00093855" w:rsidRPr="00941D35">
        <w:rPr>
          <w:szCs w:val="20"/>
        </w:rPr>
        <w:t>[12]</w:t>
      </w:r>
      <w:r w:rsidR="00093855" w:rsidRPr="00941D35">
        <w:rPr>
          <w:szCs w:val="20"/>
        </w:rPr>
        <w:fldChar w:fldCharType="end"/>
      </w:r>
      <w:r w:rsidRPr="00941D35">
        <w:rPr>
          <w:szCs w:val="20"/>
        </w:rPr>
        <w:t xml:space="preserve"> . In the second part of the report, the UE includes the differential RSRP values in relation to the RSRP of the first reported RS.</w:t>
      </w:r>
      <w:r w:rsidR="005F71B7" w:rsidRPr="00941D35">
        <w:rPr>
          <w:szCs w:val="20"/>
        </w:rPr>
        <w:t xml:space="preserve"> In this example, the UE reported that it is capable of simultaneous reception </w:t>
      </w:r>
      <w:r w:rsidR="005514ED" w:rsidRPr="00941D35">
        <w:rPr>
          <w:szCs w:val="20"/>
        </w:rPr>
        <w:t>from TCI states corresponding to the pairs of reference signals (CRI#0,</w:t>
      </w:r>
      <w:r w:rsidR="002215D4" w:rsidRPr="00941D35">
        <w:rPr>
          <w:szCs w:val="20"/>
        </w:rPr>
        <w:t xml:space="preserve"> </w:t>
      </w:r>
      <w:r w:rsidR="005514ED" w:rsidRPr="00941D35">
        <w:rPr>
          <w:szCs w:val="20"/>
        </w:rPr>
        <w:t>CRI#4</w:t>
      </w:r>
      <w:r w:rsidR="00977F6C" w:rsidRPr="00941D35">
        <w:rPr>
          <w:szCs w:val="20"/>
        </w:rPr>
        <w:t>), (</w:t>
      </w:r>
      <w:r w:rsidR="005514ED" w:rsidRPr="00941D35">
        <w:rPr>
          <w:szCs w:val="20"/>
        </w:rPr>
        <w:t>CRI#</w:t>
      </w:r>
      <w:r w:rsidR="00977F6C" w:rsidRPr="00941D35">
        <w:rPr>
          <w:szCs w:val="20"/>
        </w:rPr>
        <w:t>1, CRI</w:t>
      </w:r>
      <w:r w:rsidR="005514ED" w:rsidRPr="00941D35">
        <w:rPr>
          <w:szCs w:val="20"/>
        </w:rPr>
        <w:t>#5), and (CRI#2,</w:t>
      </w:r>
      <w:r w:rsidR="00977F6C">
        <w:rPr>
          <w:szCs w:val="20"/>
        </w:rPr>
        <w:t xml:space="preserve"> </w:t>
      </w:r>
      <w:r w:rsidR="005514ED" w:rsidRPr="00941D35">
        <w:rPr>
          <w:szCs w:val="20"/>
        </w:rPr>
        <w:t>CRI#6)</w:t>
      </w:r>
      <w:r w:rsidR="00BF2AC8" w:rsidRPr="00941D35">
        <w:rPr>
          <w:szCs w:val="20"/>
        </w:rPr>
        <w:t xml:space="preserve">, and the RSRP values are reported for all those </w:t>
      </w:r>
      <w:r w:rsidR="005C2E4E">
        <w:rPr>
          <w:szCs w:val="20"/>
        </w:rPr>
        <w:t xml:space="preserve">six </w:t>
      </w:r>
      <w:r w:rsidR="005C2E4E" w:rsidRPr="00941D35">
        <w:rPr>
          <w:szCs w:val="20"/>
        </w:rPr>
        <w:t>reference</w:t>
      </w:r>
      <w:r w:rsidR="00BF2AC8" w:rsidRPr="00941D35">
        <w:rPr>
          <w:szCs w:val="20"/>
        </w:rPr>
        <w:t xml:space="preserve"> signals. </w:t>
      </w:r>
    </w:p>
    <w:p w14:paraId="6194D71D" w14:textId="77777777" w:rsidR="008A4CC6" w:rsidRPr="00941D35" w:rsidRDefault="008A4CC6">
      <w:pPr>
        <w:jc w:val="both"/>
        <w:rPr>
          <w:szCs w:val="20"/>
        </w:rPr>
      </w:pPr>
      <w:r w:rsidRPr="00941D35">
        <w:rPr>
          <w:szCs w:val="20"/>
        </w:rPr>
        <w:t xml:space="preserve">By using the procedure indicated in the steps above, the UE can indicate which are the DL beams that can be received simultaneously by the UE. With the information of the RS pairs in the group-based reporting, the gNB can activate and indicate the TCI states related to those groups for simultaneous reception by the UE. </w:t>
      </w:r>
    </w:p>
    <w:p w14:paraId="27F0AA82" w14:textId="77777777" w:rsidR="00225211" w:rsidRDefault="00225211">
      <w:pPr>
        <w:pStyle w:val="RAN4Observation"/>
        <w:ind w:left="0" w:firstLine="0"/>
        <w:jc w:val="both"/>
      </w:pPr>
      <w:r>
        <w:t xml:space="preserve">Group based beam reporting is one means for the UE to signal to the gNB which DL beams can be received simultaneously by the UE. </w:t>
      </w:r>
    </w:p>
    <w:p w14:paraId="6E41B5F0" w14:textId="67717B64" w:rsidR="00225211" w:rsidRDefault="00225211">
      <w:pPr>
        <w:pStyle w:val="RAN4Observation"/>
        <w:ind w:left="0" w:firstLine="0"/>
        <w:jc w:val="both"/>
      </w:pPr>
      <w:r>
        <w:t xml:space="preserve">Group based beam reporting is an optional feature with capability signalling. </w:t>
      </w:r>
      <w:r w:rsidR="008516E6" w:rsidRPr="008516E6">
        <w:t xml:space="preserve"> </w:t>
      </w:r>
    </w:p>
    <w:p w14:paraId="5E951905" w14:textId="71591E8A" w:rsidR="00C323F5" w:rsidRPr="00C323F5" w:rsidRDefault="00706755" w:rsidP="00D40E04">
      <w:pPr>
        <w:jc w:val="both"/>
      </w:pPr>
      <w:r>
        <w:t xml:space="preserve">Even though </w:t>
      </w:r>
      <w:r w:rsidDel="006E7BBB">
        <w:t>group</w:t>
      </w:r>
      <w:r w:rsidR="006E7BBB">
        <w:t>-based</w:t>
      </w:r>
      <w:r>
        <w:t xml:space="preserve"> beam reporting is a good means for achieving </w:t>
      </w:r>
      <w:r w:rsidR="00CB013E" w:rsidDel="006E7BBB">
        <w:t>4</w:t>
      </w:r>
      <w:r w:rsidR="006E7BBB">
        <w:t>-layer</w:t>
      </w:r>
      <w:r w:rsidR="00CB013E">
        <w:t xml:space="preserve"> MIMO in FR2, it is </w:t>
      </w:r>
      <w:r w:rsidR="00800682">
        <w:t>not clear whether in</w:t>
      </w:r>
      <w:r w:rsidR="00675C75">
        <w:t>dication of a pair through GB</w:t>
      </w:r>
      <w:r w:rsidR="00333739">
        <w:t xml:space="preserve">BR </w:t>
      </w:r>
      <w:r w:rsidR="00750E3F">
        <w:t xml:space="preserve">necessarily would provide an increase in the number of transmission layers. As specified by RAN1, the GBBR indication states that </w:t>
      </w:r>
      <w:r w:rsidR="008C561A">
        <w:t xml:space="preserve">a UE can receive data with </w:t>
      </w:r>
      <w:r w:rsidR="00C038C1">
        <w:t xml:space="preserve">a </w:t>
      </w:r>
      <w:r w:rsidR="00C038C1" w:rsidDel="006E7BBB">
        <w:t xml:space="preserve">pair </w:t>
      </w:r>
      <w:r w:rsidR="00251C2E" w:rsidDel="006E7BBB">
        <w:t xml:space="preserve">TCI </w:t>
      </w:r>
      <w:r w:rsidR="006E7BBB">
        <w:t>state</w:t>
      </w:r>
      <w:r w:rsidR="00251C2E">
        <w:t xml:space="preserve"> </w:t>
      </w:r>
      <w:r w:rsidR="00C038C1">
        <w:t xml:space="preserve">corresponding with </w:t>
      </w:r>
      <w:r w:rsidR="008C561A">
        <w:t xml:space="preserve">the reported </w:t>
      </w:r>
      <w:r w:rsidR="00FF41F3">
        <w:t xml:space="preserve">pair </w:t>
      </w:r>
      <w:r w:rsidR="00C038C1">
        <w:t xml:space="preserve">reference signals. However, </w:t>
      </w:r>
      <w:r w:rsidR="00D7242A">
        <w:t xml:space="preserve">there </w:t>
      </w:r>
      <w:r w:rsidR="00F0750A">
        <w:t>is no guarantee from the requirements that the reported pair is not rank deficient</w:t>
      </w:r>
      <w:r w:rsidR="00115F45">
        <w:t>. I</w:t>
      </w:r>
      <w:r w:rsidR="001E6E39">
        <w:t>n</w:t>
      </w:r>
      <w:r w:rsidR="00115F45">
        <w:t xml:space="preserve"> one example the UE might report a pair that doesn’t provide </w:t>
      </w:r>
      <w:r w:rsidR="002D2D42">
        <w:t xml:space="preserve">increase in MIMO layers, but that could be suitable </w:t>
      </w:r>
      <w:r w:rsidR="00515C8A">
        <w:t xml:space="preserve">for a </w:t>
      </w:r>
      <w:r w:rsidR="00E63A52">
        <w:t xml:space="preserve">repetition scheme for increased link robustness. </w:t>
      </w:r>
    </w:p>
    <w:p w14:paraId="2A99D838" w14:textId="17F99A23" w:rsidR="7CB9432D" w:rsidRDefault="008516E6" w:rsidP="00D40E04">
      <w:pPr>
        <w:pStyle w:val="RAN4observation0"/>
        <w:ind w:left="0" w:firstLine="0"/>
      </w:pPr>
      <w:bookmarkStart w:id="18" w:name="_Toc127525202"/>
      <w:r>
        <w:t>Group based beam reporting is not providing network with any indication regarding achievable rank of the reported pairs.</w:t>
      </w:r>
      <w:bookmarkEnd w:id="18"/>
      <w:r>
        <w:t xml:space="preserve"> </w:t>
      </w:r>
    </w:p>
    <w:p w14:paraId="619571AB" w14:textId="2154A5D0" w:rsidR="00AE23F8" w:rsidRDefault="008516E6" w:rsidP="008516E6">
      <w:pPr>
        <w:pStyle w:val="RAN4proposal"/>
        <w:rPr>
          <w:lang w:val="en-GB"/>
        </w:rPr>
      </w:pPr>
      <w:bookmarkStart w:id="19" w:name="_Toc127525203"/>
      <w:r>
        <w:rPr>
          <w:lang w:val="en-GB"/>
        </w:rPr>
        <w:t>Study how to provide network with UE indication of achievable rank of the beam pairs of the group</w:t>
      </w:r>
      <w:r w:rsidR="00332042">
        <w:rPr>
          <w:lang w:val="en-GB"/>
        </w:rPr>
        <w:t>-</w:t>
      </w:r>
      <w:r>
        <w:rPr>
          <w:lang w:val="en-GB"/>
        </w:rPr>
        <w:t>based beam reporting.</w:t>
      </w:r>
      <w:bookmarkEnd w:id="19"/>
    </w:p>
    <w:p w14:paraId="4F16A3D4" w14:textId="1DA69107" w:rsidR="003B635F" w:rsidRDefault="001E6E39" w:rsidP="001E6E39">
      <w:r>
        <w:rPr>
          <w:lang w:val="en-GB"/>
        </w:rPr>
        <w:t xml:space="preserve">Additionally, considering the importance of GBBR </w:t>
      </w:r>
      <w:r w:rsidR="00D67E1C">
        <w:rPr>
          <w:lang w:val="en-GB"/>
        </w:rPr>
        <w:t xml:space="preserve">as an enabler for </w:t>
      </w:r>
      <w:r w:rsidR="0079035B">
        <w:rPr>
          <w:lang w:val="en-GB"/>
        </w:rPr>
        <w:t>multi-Rx</w:t>
      </w:r>
      <w:r w:rsidR="00440EBC">
        <w:rPr>
          <w:lang w:val="en-GB"/>
        </w:rPr>
        <w:t xml:space="preserve"> reception, it is necessary to define corresponding RRM core requirements related to </w:t>
      </w:r>
      <w:r w:rsidR="0079035B">
        <w:rPr>
          <w:lang w:val="en-GB"/>
        </w:rPr>
        <w:t>group-based</w:t>
      </w:r>
      <w:r w:rsidR="00440EBC">
        <w:rPr>
          <w:lang w:val="en-GB"/>
        </w:rPr>
        <w:t xml:space="preserve"> reception. The existing Rel</w:t>
      </w:r>
      <w:r w:rsidR="0079035B">
        <w:rPr>
          <w:lang w:val="en-GB"/>
        </w:rPr>
        <w:t>-</w:t>
      </w:r>
      <w:r w:rsidR="00440EBC">
        <w:rPr>
          <w:lang w:val="en-GB"/>
        </w:rPr>
        <w:t>17</w:t>
      </w:r>
      <w:r w:rsidR="00134882">
        <w:t xml:space="preserve"> RRM </w:t>
      </w:r>
      <w:r w:rsidR="00950011">
        <w:t xml:space="preserve">L1 RSRP </w:t>
      </w:r>
      <w:r w:rsidR="00134882">
        <w:t>requirements related to group</w:t>
      </w:r>
      <w:r w:rsidR="00950011">
        <w:t>-</w:t>
      </w:r>
      <w:r w:rsidR="00134882">
        <w:t xml:space="preserve">based beam reporting </w:t>
      </w:r>
      <w:r w:rsidR="00950011">
        <w:t xml:space="preserve">do not cover aspects related to </w:t>
      </w:r>
      <w:r w:rsidR="00B566F6">
        <w:t xml:space="preserve">the decision of </w:t>
      </w:r>
      <w:r w:rsidR="007A51EF">
        <w:t xml:space="preserve">the reporting pairs. </w:t>
      </w:r>
      <w:r w:rsidR="00B37AD4">
        <w:t>Therefore</w:t>
      </w:r>
      <w:r w:rsidR="0066414E">
        <w:t>,</w:t>
      </w:r>
      <w:r w:rsidR="00B37AD4">
        <w:t xml:space="preserve"> it is important for RAN4 </w:t>
      </w:r>
      <w:r w:rsidR="00792051">
        <w:t xml:space="preserve">to discuss the </w:t>
      </w:r>
      <w:r w:rsidR="0000720D">
        <w:t xml:space="preserve">conditions for </w:t>
      </w:r>
      <w:r w:rsidR="007A008D">
        <w:t xml:space="preserve">GBBR and </w:t>
      </w:r>
      <w:r w:rsidR="003B635F">
        <w:t xml:space="preserve">define requirements related to those conditions. </w:t>
      </w:r>
    </w:p>
    <w:p w14:paraId="25943AB2" w14:textId="1B8E695B" w:rsidR="001E6E39" w:rsidRDefault="003B635F" w:rsidP="00D40E04">
      <w:pPr>
        <w:pStyle w:val="RAN4observation0"/>
        <w:ind w:left="0" w:firstLine="0"/>
      </w:pPr>
      <w:bookmarkStart w:id="20" w:name="_Toc127525204"/>
      <w:r>
        <w:t>L1-RSRP requirements for</w:t>
      </w:r>
      <w:r w:rsidR="00D927F4">
        <w:t xml:space="preserve"> </w:t>
      </w:r>
      <w:r w:rsidR="00744499" w:rsidRPr="00744499">
        <w:t>groupbasedbeamreporting</w:t>
      </w:r>
      <w:r w:rsidR="00744499">
        <w:t>-r17 enabled do not include requirements on the con</w:t>
      </w:r>
      <w:r w:rsidR="001435C6">
        <w:t>d</w:t>
      </w:r>
      <w:r w:rsidR="00744499">
        <w:t xml:space="preserve">itions for reporting </w:t>
      </w:r>
      <w:r w:rsidR="00423005">
        <w:t xml:space="preserve">groups of </w:t>
      </w:r>
      <w:r w:rsidR="001435C6">
        <w:t>reference signals.</w:t>
      </w:r>
      <w:bookmarkEnd w:id="20"/>
      <w:r w:rsidR="001435C6">
        <w:t xml:space="preserve"> </w:t>
      </w:r>
    </w:p>
    <w:p w14:paraId="18B1F6E8" w14:textId="6F5BEB11" w:rsidR="001435C6" w:rsidRDefault="001435C6" w:rsidP="001435C6">
      <w:pPr>
        <w:pStyle w:val="RAN4proposal"/>
        <w:rPr>
          <w:lang w:val="en-GB"/>
        </w:rPr>
      </w:pPr>
      <w:bookmarkStart w:id="21" w:name="_Toc127525205"/>
      <w:r>
        <w:rPr>
          <w:lang w:val="en-GB"/>
        </w:rPr>
        <w:t xml:space="preserve">RAN4 to discuss the conditions under which a group </w:t>
      </w:r>
      <w:r w:rsidR="00EA43D0">
        <w:rPr>
          <w:lang w:val="en-GB"/>
        </w:rPr>
        <w:t>should be reported using GBBR.</w:t>
      </w:r>
      <w:bookmarkEnd w:id="21"/>
      <w:r w:rsidR="00EA43D0">
        <w:rPr>
          <w:lang w:val="en-GB"/>
        </w:rPr>
        <w:t xml:space="preserve"> </w:t>
      </w:r>
    </w:p>
    <w:p w14:paraId="1E781C3D" w14:textId="728CBE5C" w:rsidR="00EA43D0" w:rsidRPr="00D40E04" w:rsidRDefault="00EA43D0" w:rsidP="00EA43D0">
      <w:pPr>
        <w:pStyle w:val="RAN4proposal"/>
        <w:rPr>
          <w:lang w:val="en-GB"/>
        </w:rPr>
      </w:pPr>
      <w:bookmarkStart w:id="22" w:name="_Toc127525206"/>
      <w:r>
        <w:rPr>
          <w:lang w:val="en-GB"/>
        </w:rPr>
        <w:t xml:space="preserve">RAN4 to define </w:t>
      </w:r>
      <w:r w:rsidR="001C696A">
        <w:rPr>
          <w:lang w:val="en-GB"/>
        </w:rPr>
        <w:t xml:space="preserve">requirements </w:t>
      </w:r>
      <w:r w:rsidR="009D6B49">
        <w:rPr>
          <w:lang w:val="en-GB"/>
        </w:rPr>
        <w:t xml:space="preserve">related to the reporting of groups </w:t>
      </w:r>
      <w:r w:rsidR="00032308">
        <w:rPr>
          <w:lang w:val="en-GB"/>
        </w:rPr>
        <w:t xml:space="preserve">in </w:t>
      </w:r>
      <w:r w:rsidR="00032308" w:rsidDel="00E7037D">
        <w:rPr>
          <w:lang w:val="en-GB"/>
        </w:rPr>
        <w:t>group</w:t>
      </w:r>
      <w:r w:rsidR="00E7037D">
        <w:rPr>
          <w:lang w:val="en-GB"/>
        </w:rPr>
        <w:t>-based</w:t>
      </w:r>
      <w:r w:rsidR="00032308">
        <w:rPr>
          <w:lang w:val="en-GB"/>
        </w:rPr>
        <w:t xml:space="preserve"> beam reporting.</w:t>
      </w:r>
      <w:bookmarkEnd w:id="22"/>
      <w:r w:rsidR="00032308">
        <w:rPr>
          <w:lang w:val="en-GB"/>
        </w:rPr>
        <w:t xml:space="preserve"> </w:t>
      </w:r>
    </w:p>
    <w:p w14:paraId="5039646B" w14:textId="50B449D0" w:rsidR="00971051" w:rsidRDefault="00971051" w:rsidP="00F67BC1">
      <w:pPr>
        <w:pStyle w:val="RAN4H2"/>
        <w:ind w:left="0" w:firstLine="0"/>
      </w:pPr>
      <w:r>
        <w:t>Applicability conditions</w:t>
      </w:r>
    </w:p>
    <w:tbl>
      <w:tblPr>
        <w:tblStyle w:val="TableGrid"/>
        <w:tblW w:w="0" w:type="auto"/>
        <w:tblLook w:val="04A0" w:firstRow="1" w:lastRow="0" w:firstColumn="1" w:lastColumn="0" w:noHBand="0" w:noVBand="1"/>
      </w:tblPr>
      <w:tblGrid>
        <w:gridCol w:w="9617"/>
      </w:tblGrid>
      <w:tr w:rsidR="00570CE0" w14:paraId="3CF26D52" w14:textId="77777777" w:rsidTr="00570CE0">
        <w:tc>
          <w:tcPr>
            <w:tcW w:w="9617" w:type="dxa"/>
          </w:tcPr>
          <w:p w14:paraId="3B58B8F5" w14:textId="77777777" w:rsidR="00570CE0" w:rsidRDefault="00570CE0" w:rsidP="00570CE0">
            <w:pPr>
              <w:outlineLvl w:val="3"/>
              <w:rPr>
                <w:b/>
                <w:color w:val="0070C0"/>
                <w:u w:val="single"/>
                <w:lang w:eastAsia="ko-KR"/>
              </w:rPr>
            </w:pPr>
            <w:r>
              <w:rPr>
                <w:b/>
                <w:color w:val="0070C0"/>
                <w:u w:val="single"/>
                <w:lang w:eastAsia="ko-KR"/>
              </w:rPr>
              <w:t>Issue 2-3-1: Applicability of new requirements to different QCL types</w:t>
            </w:r>
          </w:p>
          <w:p w14:paraId="55BC647F" w14:textId="77777777" w:rsidR="00570CE0" w:rsidRDefault="00570CE0" w:rsidP="00570CE0">
            <w:pPr>
              <w:pStyle w:val="ListParagraph"/>
              <w:numPr>
                <w:ilvl w:val="0"/>
                <w:numId w:val="31"/>
              </w:numPr>
              <w:spacing w:after="120"/>
              <w:contextualSpacing w:val="0"/>
              <w:rPr>
                <w:rFonts w:eastAsia="SimSun"/>
                <w:color w:val="0070C0"/>
                <w:szCs w:val="24"/>
                <w:lang w:eastAsia="zh-CN"/>
              </w:rPr>
            </w:pPr>
            <w:r>
              <w:rPr>
                <w:rFonts w:eastAsia="SimSun"/>
                <w:color w:val="0070C0"/>
                <w:szCs w:val="24"/>
                <w:lang w:eastAsia="zh-CN"/>
              </w:rPr>
              <w:t>Proposals</w:t>
            </w:r>
          </w:p>
          <w:p w14:paraId="37683FA4" w14:textId="77777777" w:rsidR="00570CE0" w:rsidRDefault="00570CE0" w:rsidP="00570CE0">
            <w:pPr>
              <w:pStyle w:val="ListParagraph"/>
              <w:numPr>
                <w:ilvl w:val="1"/>
                <w:numId w:val="31"/>
              </w:numPr>
              <w:spacing w:after="120"/>
              <w:contextualSpacing w:val="0"/>
              <w:rPr>
                <w:rFonts w:eastAsia="SimSun"/>
                <w:color w:val="0070C0"/>
                <w:szCs w:val="24"/>
                <w:lang w:eastAsia="zh-CN"/>
              </w:rPr>
            </w:pPr>
            <w:r>
              <w:rPr>
                <w:rFonts w:eastAsia="SimSun"/>
                <w:color w:val="0070C0"/>
                <w:szCs w:val="24"/>
                <w:lang w:eastAsia="zh-CN"/>
              </w:rPr>
              <w:t>Option 1 (Ericsson</w:t>
            </w:r>
            <w:r>
              <w:rPr>
                <w:rFonts w:eastAsia="SimSun" w:hint="eastAsia"/>
                <w:color w:val="0070C0"/>
                <w:szCs w:val="24"/>
                <w:lang w:eastAsia="zh-CN"/>
              </w:rPr>
              <w:t>)</w:t>
            </w:r>
            <w:r>
              <w:rPr>
                <w:rFonts w:eastAsia="SimSun"/>
                <w:color w:val="0070C0"/>
                <w:szCs w:val="24"/>
                <w:lang w:eastAsia="zh-CN"/>
              </w:rPr>
              <w:t xml:space="preserve">: </w:t>
            </w:r>
          </w:p>
          <w:p w14:paraId="355E58CF" w14:textId="77777777" w:rsidR="00570CE0" w:rsidRDefault="00570CE0" w:rsidP="00570CE0">
            <w:pPr>
              <w:pStyle w:val="ListParagraph"/>
              <w:numPr>
                <w:ilvl w:val="2"/>
                <w:numId w:val="31"/>
              </w:numPr>
              <w:spacing w:after="120"/>
              <w:contextualSpacing w:val="0"/>
              <w:rPr>
                <w:rFonts w:eastAsia="SimSun"/>
                <w:color w:val="0070C0"/>
                <w:szCs w:val="24"/>
                <w:lang w:eastAsia="zh-CN"/>
              </w:rPr>
            </w:pPr>
            <w:r>
              <w:rPr>
                <w:rFonts w:eastAsia="SimSun"/>
                <w:color w:val="0070C0"/>
                <w:szCs w:val="24"/>
                <w:lang w:eastAsia="zh-CN"/>
              </w:rPr>
              <w:t>Scenarios where QCL type D is configured in combination with QCL type A/C should be in the scope of the WI.</w:t>
            </w:r>
          </w:p>
          <w:p w14:paraId="7F81DC0E" w14:textId="77777777" w:rsidR="00570CE0" w:rsidRDefault="00570CE0" w:rsidP="00570CE0">
            <w:pPr>
              <w:pStyle w:val="ListParagraph"/>
              <w:numPr>
                <w:ilvl w:val="2"/>
                <w:numId w:val="31"/>
              </w:numPr>
              <w:spacing w:after="120"/>
              <w:contextualSpacing w:val="0"/>
              <w:rPr>
                <w:rFonts w:eastAsia="SimSun"/>
                <w:color w:val="0070C0"/>
                <w:szCs w:val="24"/>
                <w:lang w:eastAsia="zh-CN"/>
              </w:rPr>
            </w:pPr>
            <w:r>
              <w:rPr>
                <w:rFonts w:eastAsia="SimSun"/>
                <w:color w:val="0070C0"/>
                <w:szCs w:val="24"/>
                <w:lang w:eastAsia="zh-CN"/>
              </w:rPr>
              <w:t>RAN4 can further discuss whether the same requirements apply for QCL type D only case and QCL type D + QCL type A/C.</w:t>
            </w:r>
          </w:p>
          <w:p w14:paraId="33E403A4" w14:textId="77777777" w:rsidR="00570CE0" w:rsidRDefault="00570CE0" w:rsidP="00570CE0">
            <w:pPr>
              <w:pStyle w:val="ListParagraph"/>
              <w:numPr>
                <w:ilvl w:val="1"/>
                <w:numId w:val="31"/>
              </w:numPr>
              <w:spacing w:after="120"/>
              <w:contextualSpacing w:val="0"/>
              <w:rPr>
                <w:rFonts w:eastAsia="SimSun"/>
                <w:color w:val="0070C0"/>
                <w:szCs w:val="24"/>
                <w:lang w:eastAsia="zh-CN"/>
              </w:rPr>
            </w:pPr>
            <w:r>
              <w:rPr>
                <w:rFonts w:eastAsia="SimSun"/>
                <w:color w:val="0070C0"/>
                <w:szCs w:val="24"/>
                <w:lang w:eastAsia="zh-CN"/>
              </w:rPr>
              <w:t>Option 2 (vivo</w:t>
            </w:r>
            <w:r>
              <w:rPr>
                <w:rFonts w:eastAsia="SimSun" w:hint="eastAsia"/>
                <w:color w:val="0070C0"/>
                <w:szCs w:val="24"/>
                <w:lang w:eastAsia="zh-CN"/>
              </w:rPr>
              <w:t>)</w:t>
            </w:r>
            <w:r>
              <w:rPr>
                <w:rFonts w:eastAsia="SimSun"/>
                <w:color w:val="0070C0"/>
                <w:szCs w:val="24"/>
                <w:lang w:eastAsia="zh-CN"/>
              </w:rPr>
              <w:t xml:space="preserve">: </w:t>
            </w:r>
          </w:p>
          <w:p w14:paraId="4D6C7C79" w14:textId="77777777" w:rsidR="00570CE0" w:rsidRDefault="00570CE0" w:rsidP="00570CE0">
            <w:pPr>
              <w:pStyle w:val="ListParagraph"/>
              <w:numPr>
                <w:ilvl w:val="2"/>
                <w:numId w:val="31"/>
              </w:numPr>
              <w:spacing w:after="120"/>
              <w:contextualSpacing w:val="0"/>
              <w:rPr>
                <w:rFonts w:eastAsia="SimSun"/>
                <w:color w:val="0070C0"/>
                <w:szCs w:val="24"/>
                <w:lang w:eastAsia="zh-CN"/>
              </w:rPr>
            </w:pPr>
            <w:r>
              <w:rPr>
                <w:rFonts w:eastAsia="SimSun"/>
                <w:color w:val="0070C0"/>
                <w:szCs w:val="24"/>
                <w:lang w:eastAsia="zh-CN"/>
              </w:rPr>
              <w:t xml:space="preserve">Requirements defined for QCL type-D only are also applicable when QCL type D </w:t>
            </w:r>
            <w:r>
              <w:rPr>
                <w:rFonts w:eastAsia="SimSun" w:hint="eastAsia"/>
                <w:color w:val="0070C0"/>
                <w:szCs w:val="24"/>
                <w:lang w:eastAsia="zh-CN"/>
              </w:rPr>
              <w:t>i</w:t>
            </w:r>
            <w:r>
              <w:rPr>
                <w:rFonts w:eastAsia="SimSun"/>
                <w:color w:val="0070C0"/>
                <w:szCs w:val="24"/>
                <w:lang w:eastAsia="zh-CN"/>
              </w:rPr>
              <w:t>s configured together with QCL type A/C.</w:t>
            </w:r>
          </w:p>
          <w:p w14:paraId="55F01C40" w14:textId="77777777" w:rsidR="00570CE0" w:rsidRDefault="00570CE0" w:rsidP="00570CE0">
            <w:pPr>
              <w:pStyle w:val="ListParagraph"/>
              <w:numPr>
                <w:ilvl w:val="1"/>
                <w:numId w:val="31"/>
              </w:numPr>
              <w:spacing w:after="120"/>
              <w:contextualSpacing w:val="0"/>
              <w:rPr>
                <w:rFonts w:eastAsia="SimSun"/>
                <w:color w:val="0070C0"/>
                <w:szCs w:val="24"/>
                <w:lang w:eastAsia="zh-CN"/>
              </w:rPr>
            </w:pPr>
            <w:r>
              <w:rPr>
                <w:rFonts w:eastAsia="SimSun"/>
                <w:color w:val="0070C0"/>
                <w:szCs w:val="24"/>
                <w:lang w:eastAsia="zh-CN"/>
              </w:rPr>
              <w:t>Option 3 (Huawei</w:t>
            </w:r>
            <w:r>
              <w:rPr>
                <w:rFonts w:eastAsia="SimSun" w:hint="eastAsia"/>
                <w:color w:val="0070C0"/>
                <w:szCs w:val="24"/>
                <w:lang w:eastAsia="zh-CN"/>
              </w:rPr>
              <w:t>)</w:t>
            </w:r>
            <w:r>
              <w:rPr>
                <w:rFonts w:eastAsia="SimSun"/>
                <w:color w:val="0070C0"/>
                <w:szCs w:val="24"/>
                <w:lang w:eastAsia="zh-CN"/>
              </w:rPr>
              <w:t xml:space="preserve">: </w:t>
            </w:r>
          </w:p>
          <w:p w14:paraId="7778AB79" w14:textId="77777777" w:rsidR="00570CE0" w:rsidRDefault="00570CE0" w:rsidP="00570CE0">
            <w:pPr>
              <w:pStyle w:val="ListParagraph"/>
              <w:numPr>
                <w:ilvl w:val="2"/>
                <w:numId w:val="31"/>
              </w:numPr>
              <w:spacing w:after="120"/>
              <w:contextualSpacing w:val="0"/>
              <w:rPr>
                <w:rFonts w:eastAsia="SimSun"/>
                <w:color w:val="0070C0"/>
                <w:szCs w:val="24"/>
                <w:lang w:eastAsia="zh-CN"/>
              </w:rPr>
            </w:pPr>
            <w:r>
              <w:rPr>
                <w:rFonts w:eastAsia="SimSun"/>
                <w:color w:val="0070C0"/>
                <w:szCs w:val="24"/>
                <w:lang w:eastAsia="zh-CN"/>
              </w:rPr>
              <w:t>For UE capable of multi-Rx receptions from different directions, the applicability and conditions of FR2 multi-Rx DL receptions shall be focused on the TCI configuration of QCL type D</w:t>
            </w:r>
          </w:p>
          <w:p w14:paraId="6B573432" w14:textId="77777777" w:rsidR="00570CE0" w:rsidRDefault="00570CE0" w:rsidP="00570CE0">
            <w:pPr>
              <w:pStyle w:val="ListParagraph"/>
              <w:numPr>
                <w:ilvl w:val="1"/>
                <w:numId w:val="31"/>
              </w:numPr>
              <w:spacing w:after="120"/>
              <w:contextualSpacing w:val="0"/>
              <w:rPr>
                <w:rFonts w:eastAsia="SimSun"/>
                <w:color w:val="0070C0"/>
                <w:szCs w:val="24"/>
                <w:lang w:eastAsia="zh-CN"/>
              </w:rPr>
            </w:pPr>
            <w:r>
              <w:rPr>
                <w:rFonts w:eastAsia="SimSun"/>
                <w:color w:val="0070C0"/>
                <w:szCs w:val="24"/>
                <w:lang w:eastAsia="zh-CN"/>
              </w:rPr>
              <w:t>Option 4 (Nokia</w:t>
            </w:r>
            <w:r>
              <w:rPr>
                <w:rFonts w:eastAsia="SimSun" w:hint="eastAsia"/>
                <w:color w:val="0070C0"/>
                <w:szCs w:val="24"/>
                <w:lang w:eastAsia="zh-CN"/>
              </w:rPr>
              <w:t>)</w:t>
            </w:r>
            <w:r>
              <w:rPr>
                <w:rFonts w:eastAsia="SimSun"/>
                <w:color w:val="0070C0"/>
                <w:szCs w:val="24"/>
                <w:lang w:eastAsia="zh-CN"/>
              </w:rPr>
              <w:t xml:space="preserve">: </w:t>
            </w:r>
          </w:p>
          <w:p w14:paraId="0B7A4A18" w14:textId="77777777" w:rsidR="00570CE0" w:rsidRDefault="00570CE0" w:rsidP="00570CE0">
            <w:pPr>
              <w:pStyle w:val="ListParagraph"/>
              <w:numPr>
                <w:ilvl w:val="2"/>
                <w:numId w:val="31"/>
              </w:numPr>
              <w:spacing w:after="120"/>
              <w:contextualSpacing w:val="0"/>
              <w:rPr>
                <w:rFonts w:eastAsia="SimSun"/>
                <w:color w:val="0070C0"/>
                <w:szCs w:val="24"/>
                <w:lang w:eastAsia="zh-CN"/>
              </w:rPr>
            </w:pPr>
            <w:r>
              <w:rPr>
                <w:rFonts w:eastAsia="SimSun"/>
                <w:color w:val="0070C0"/>
                <w:szCs w:val="24"/>
                <w:lang w:eastAsia="zh-CN"/>
              </w:rPr>
              <w:t xml:space="preserve">QCL relationship between RSs is only considered for TCI state switching and L1 measurements. </w:t>
            </w:r>
          </w:p>
          <w:p w14:paraId="6D792BCB" w14:textId="77777777" w:rsidR="00570CE0" w:rsidRDefault="00570CE0" w:rsidP="00570CE0">
            <w:pPr>
              <w:pStyle w:val="ListParagraph"/>
              <w:numPr>
                <w:ilvl w:val="2"/>
                <w:numId w:val="31"/>
              </w:numPr>
              <w:spacing w:after="120"/>
              <w:contextualSpacing w:val="0"/>
              <w:rPr>
                <w:rFonts w:eastAsia="SimSun"/>
                <w:color w:val="0070C0"/>
                <w:szCs w:val="24"/>
                <w:lang w:eastAsia="zh-CN"/>
              </w:rPr>
            </w:pPr>
            <w:r>
              <w:rPr>
                <w:rFonts w:eastAsia="SimSun"/>
                <w:color w:val="0070C0"/>
                <w:szCs w:val="24"/>
                <w:lang w:eastAsia="zh-CN"/>
              </w:rPr>
              <w:t>TCI state configuration with QCL-A/C do not have impact on RRM requirements.</w:t>
            </w:r>
          </w:p>
          <w:p w14:paraId="5C9209F9" w14:textId="77777777" w:rsidR="00570CE0" w:rsidRDefault="00570CE0" w:rsidP="00570CE0">
            <w:pPr>
              <w:pStyle w:val="ListParagraph"/>
              <w:numPr>
                <w:ilvl w:val="2"/>
                <w:numId w:val="31"/>
              </w:numPr>
              <w:spacing w:after="120"/>
              <w:contextualSpacing w:val="0"/>
              <w:rPr>
                <w:rFonts w:eastAsia="SimSun"/>
                <w:color w:val="0070C0"/>
                <w:szCs w:val="24"/>
                <w:lang w:eastAsia="zh-CN"/>
              </w:rPr>
            </w:pPr>
            <w:r>
              <w:rPr>
                <w:rFonts w:eastAsia="SimSun"/>
                <w:color w:val="0070C0"/>
                <w:szCs w:val="24"/>
                <w:lang w:eastAsia="zh-CN"/>
              </w:rPr>
              <w:t>UEs supporting multi-Rx chain in R-18 should be able to receive two RSs simultaneously from non-serving cells using different Rx chains.</w:t>
            </w:r>
          </w:p>
          <w:p w14:paraId="69957FC7" w14:textId="77777777" w:rsidR="00570CE0" w:rsidRDefault="00570CE0" w:rsidP="00570CE0">
            <w:pPr>
              <w:pStyle w:val="ListParagraph"/>
              <w:numPr>
                <w:ilvl w:val="0"/>
                <w:numId w:val="31"/>
              </w:numPr>
              <w:spacing w:after="120"/>
              <w:contextualSpacing w:val="0"/>
              <w:rPr>
                <w:rFonts w:eastAsia="SimSun"/>
                <w:color w:val="0070C0"/>
                <w:szCs w:val="24"/>
                <w:lang w:eastAsia="zh-CN"/>
              </w:rPr>
            </w:pPr>
            <w:r>
              <w:rPr>
                <w:rFonts w:eastAsia="SimSun"/>
                <w:color w:val="0070C0"/>
                <w:szCs w:val="24"/>
                <w:lang w:eastAsia="zh-CN"/>
              </w:rPr>
              <w:t>Recommended WF</w:t>
            </w:r>
          </w:p>
          <w:p w14:paraId="2753EBD5" w14:textId="77777777" w:rsidR="00570CE0" w:rsidRDefault="00570CE0" w:rsidP="00570CE0">
            <w:pPr>
              <w:pStyle w:val="ListParagraph"/>
              <w:numPr>
                <w:ilvl w:val="1"/>
                <w:numId w:val="31"/>
              </w:numPr>
              <w:spacing w:after="120"/>
              <w:contextualSpacing w:val="0"/>
              <w:rPr>
                <w:rFonts w:eastAsia="SimSun"/>
                <w:color w:val="0070C0"/>
                <w:szCs w:val="24"/>
                <w:lang w:eastAsia="zh-CN"/>
              </w:rPr>
            </w:pPr>
            <w:r>
              <w:rPr>
                <w:rFonts w:eastAsia="SimSun"/>
                <w:color w:val="0070C0"/>
                <w:szCs w:val="24"/>
                <w:lang w:eastAsia="zh-CN"/>
              </w:rPr>
              <w:t>Needs further discussion.</w:t>
            </w:r>
          </w:p>
          <w:p w14:paraId="5EF6CBB9" w14:textId="77777777" w:rsidR="00570CE0" w:rsidRDefault="00570CE0" w:rsidP="00DC66F7">
            <w:pPr>
              <w:rPr>
                <w:bCs/>
                <w:iCs/>
                <w:sz w:val="18"/>
                <w:szCs w:val="18"/>
              </w:rPr>
            </w:pPr>
          </w:p>
        </w:tc>
      </w:tr>
    </w:tbl>
    <w:p w14:paraId="5B94F39E" w14:textId="77777777" w:rsidR="00570CE0" w:rsidRDefault="00570CE0" w:rsidP="00DC66F7">
      <w:pPr>
        <w:rPr>
          <w:bCs/>
          <w:iCs/>
          <w:sz w:val="18"/>
          <w:szCs w:val="18"/>
        </w:rPr>
      </w:pPr>
    </w:p>
    <w:p w14:paraId="0A0E8B32" w14:textId="7133641F" w:rsidR="001777C4" w:rsidRPr="00DC66F7" w:rsidRDefault="001777C4" w:rsidP="00DC66F7">
      <w:pPr>
        <w:rPr>
          <w:bCs/>
          <w:iCs/>
          <w:sz w:val="18"/>
          <w:szCs w:val="18"/>
        </w:rPr>
      </w:pPr>
      <w:r w:rsidRPr="00DC66F7">
        <w:rPr>
          <w:bCs/>
          <w:iCs/>
          <w:sz w:val="18"/>
          <w:szCs w:val="18"/>
        </w:rPr>
        <w:t xml:space="preserve">Applicability conditions for TCI state switching </w:t>
      </w:r>
      <w:r w:rsidR="003054D3" w:rsidRPr="00DC66F7">
        <w:rPr>
          <w:bCs/>
          <w:iCs/>
          <w:sz w:val="18"/>
          <w:szCs w:val="18"/>
        </w:rPr>
        <w:t xml:space="preserve">in UEs capable of multi-Rx DL reception </w:t>
      </w:r>
      <w:r w:rsidR="002F3760" w:rsidRPr="00DC66F7">
        <w:rPr>
          <w:bCs/>
          <w:iCs/>
          <w:sz w:val="18"/>
          <w:szCs w:val="18"/>
        </w:rPr>
        <w:t xml:space="preserve">should cover the following </w:t>
      </w:r>
      <w:r w:rsidR="007B5550" w:rsidRPr="00DC66F7">
        <w:rPr>
          <w:bCs/>
          <w:iCs/>
          <w:sz w:val="18"/>
          <w:szCs w:val="18"/>
        </w:rPr>
        <w:t>scenarios</w:t>
      </w:r>
      <w:r w:rsidRPr="00DC66F7">
        <w:rPr>
          <w:bCs/>
          <w:iCs/>
          <w:sz w:val="18"/>
          <w:szCs w:val="18"/>
        </w:rPr>
        <w:t xml:space="preserve"> </w:t>
      </w:r>
    </w:p>
    <w:p w14:paraId="7395ADCC" w14:textId="5B26008A" w:rsidR="00971051" w:rsidRPr="00C757B4" w:rsidRDefault="003054D3" w:rsidP="00DC66F7">
      <w:pPr>
        <w:pStyle w:val="ListParagraph"/>
        <w:numPr>
          <w:ilvl w:val="0"/>
          <w:numId w:val="34"/>
        </w:numPr>
        <w:rPr>
          <w:bCs/>
          <w:iCs/>
          <w:sz w:val="18"/>
          <w:szCs w:val="18"/>
        </w:rPr>
      </w:pPr>
      <w:r w:rsidRPr="00C757B4">
        <w:rPr>
          <w:sz w:val="18"/>
          <w:szCs w:val="18"/>
        </w:rPr>
        <w:t>Simultaneously</w:t>
      </w:r>
      <w:r w:rsidR="001777C4" w:rsidRPr="00C757B4">
        <w:rPr>
          <w:sz w:val="18"/>
          <w:szCs w:val="18"/>
        </w:rPr>
        <w:t xml:space="preserve"> </w:t>
      </w:r>
      <w:r w:rsidR="00B674C8" w:rsidRPr="00C757B4">
        <w:rPr>
          <w:sz w:val="18"/>
          <w:szCs w:val="18"/>
        </w:rPr>
        <w:t xml:space="preserve">receive </w:t>
      </w:r>
      <w:r w:rsidR="001777C4" w:rsidRPr="00C757B4">
        <w:rPr>
          <w:sz w:val="18"/>
          <w:szCs w:val="18"/>
        </w:rPr>
        <w:t>RS for L</w:t>
      </w:r>
      <w:r w:rsidR="00874070" w:rsidRPr="00C757B4">
        <w:rPr>
          <w:sz w:val="18"/>
          <w:szCs w:val="18"/>
        </w:rPr>
        <w:t>3</w:t>
      </w:r>
      <w:r w:rsidR="001777C4" w:rsidRPr="00C757B4">
        <w:rPr>
          <w:bCs/>
          <w:iCs/>
          <w:sz w:val="18"/>
          <w:szCs w:val="18"/>
        </w:rPr>
        <w:t xml:space="preserve"> measurements and </w:t>
      </w:r>
      <w:r w:rsidR="00CF4795" w:rsidRPr="00C757B4">
        <w:rPr>
          <w:bCs/>
          <w:iCs/>
          <w:sz w:val="18"/>
          <w:szCs w:val="18"/>
        </w:rPr>
        <w:t>data</w:t>
      </w:r>
      <w:r w:rsidR="001777C4" w:rsidRPr="00C757B4">
        <w:rPr>
          <w:bCs/>
          <w:iCs/>
          <w:sz w:val="18"/>
          <w:szCs w:val="18"/>
        </w:rPr>
        <w:t xml:space="preserve"> from two different QCL-D sources.</w:t>
      </w:r>
    </w:p>
    <w:p w14:paraId="339AA0CD" w14:textId="62D5A1F8" w:rsidR="00BC3273" w:rsidRPr="00C757B4" w:rsidRDefault="00384D7B" w:rsidP="00DC66F7">
      <w:pPr>
        <w:pStyle w:val="ListParagraph"/>
        <w:numPr>
          <w:ilvl w:val="0"/>
          <w:numId w:val="34"/>
        </w:numPr>
        <w:rPr>
          <w:bCs/>
          <w:iCs/>
          <w:sz w:val="18"/>
          <w:szCs w:val="18"/>
        </w:rPr>
      </w:pPr>
      <w:r w:rsidRPr="00C757B4">
        <w:rPr>
          <w:bCs/>
          <w:iCs/>
          <w:sz w:val="18"/>
          <w:szCs w:val="18"/>
        </w:rPr>
        <w:t>S</w:t>
      </w:r>
      <w:r w:rsidR="00BC3273" w:rsidRPr="00C757B4">
        <w:rPr>
          <w:bCs/>
          <w:iCs/>
          <w:sz w:val="18"/>
          <w:szCs w:val="18"/>
        </w:rPr>
        <w:t>imultaneously receive data from two different QCL-D sources.</w:t>
      </w:r>
    </w:p>
    <w:p w14:paraId="774E3255" w14:textId="41819EE5" w:rsidR="00216F2E" w:rsidRDefault="00216F2E" w:rsidP="00DC66F7">
      <w:pPr>
        <w:pStyle w:val="ListParagraph"/>
        <w:numPr>
          <w:ilvl w:val="0"/>
          <w:numId w:val="34"/>
        </w:numPr>
        <w:rPr>
          <w:bCs/>
          <w:iCs/>
          <w:sz w:val="18"/>
          <w:szCs w:val="18"/>
        </w:rPr>
      </w:pPr>
      <w:r w:rsidRPr="00DC66F7">
        <w:rPr>
          <w:bCs/>
          <w:iCs/>
          <w:sz w:val="18"/>
          <w:szCs w:val="18"/>
        </w:rPr>
        <w:t>Simultaneously receive RS for L1 measurements from two different QCL-D sources.</w:t>
      </w:r>
    </w:p>
    <w:p w14:paraId="3520047F" w14:textId="663BA40B" w:rsidR="00785E16" w:rsidRDefault="00616744" w:rsidP="00616744">
      <w:pPr>
        <w:rPr>
          <w:bCs/>
          <w:iCs/>
          <w:sz w:val="18"/>
          <w:szCs w:val="18"/>
        </w:rPr>
      </w:pPr>
      <w:r>
        <w:rPr>
          <w:bCs/>
          <w:iCs/>
          <w:sz w:val="18"/>
          <w:szCs w:val="18"/>
        </w:rPr>
        <w:t xml:space="preserve">For MAC-CE based </w:t>
      </w:r>
      <w:r w:rsidR="002E0885">
        <w:rPr>
          <w:bCs/>
          <w:iCs/>
          <w:sz w:val="18"/>
          <w:szCs w:val="18"/>
        </w:rPr>
        <w:t xml:space="preserve">TCI switch delay, </w:t>
      </w:r>
      <w:r w:rsidR="006061DE">
        <w:rPr>
          <w:bCs/>
          <w:iCs/>
          <w:sz w:val="18"/>
          <w:szCs w:val="18"/>
        </w:rPr>
        <w:t xml:space="preserve">section 8.10.3 </w:t>
      </w:r>
      <w:r w:rsidR="00F16023">
        <w:rPr>
          <w:bCs/>
          <w:iCs/>
          <w:sz w:val="18"/>
          <w:szCs w:val="18"/>
        </w:rPr>
        <w:t xml:space="preserve">of </w:t>
      </w:r>
      <w:r w:rsidR="00F26737">
        <w:rPr>
          <w:bCs/>
          <w:iCs/>
          <w:sz w:val="18"/>
          <w:szCs w:val="18"/>
        </w:rPr>
        <w:fldChar w:fldCharType="begin"/>
      </w:r>
      <w:r w:rsidR="00F26737">
        <w:rPr>
          <w:bCs/>
          <w:iCs/>
          <w:sz w:val="18"/>
          <w:szCs w:val="18"/>
        </w:rPr>
        <w:instrText xml:space="preserve"> REF _Ref126083519 \r \h </w:instrText>
      </w:r>
      <w:r w:rsidR="00F26737">
        <w:rPr>
          <w:bCs/>
          <w:iCs/>
          <w:sz w:val="18"/>
          <w:szCs w:val="18"/>
        </w:rPr>
      </w:r>
      <w:r w:rsidR="00F26737">
        <w:rPr>
          <w:bCs/>
          <w:iCs/>
          <w:sz w:val="18"/>
          <w:szCs w:val="18"/>
        </w:rPr>
        <w:fldChar w:fldCharType="separate"/>
      </w:r>
      <w:r w:rsidR="00F26737">
        <w:rPr>
          <w:bCs/>
          <w:iCs/>
          <w:sz w:val="18"/>
          <w:szCs w:val="18"/>
        </w:rPr>
        <w:t>[13]</w:t>
      </w:r>
      <w:r w:rsidR="00F26737">
        <w:rPr>
          <w:bCs/>
          <w:iCs/>
          <w:sz w:val="18"/>
          <w:szCs w:val="18"/>
        </w:rPr>
        <w:fldChar w:fldCharType="end"/>
      </w:r>
      <w:r w:rsidR="003C3471">
        <w:rPr>
          <w:bCs/>
          <w:iCs/>
          <w:sz w:val="18"/>
          <w:szCs w:val="18"/>
        </w:rPr>
        <w:t xml:space="preserve"> states the following regarding </w:t>
      </w:r>
      <w:r w:rsidR="00877D2C">
        <w:rPr>
          <w:bCs/>
          <w:iCs/>
          <w:sz w:val="18"/>
          <w:szCs w:val="18"/>
        </w:rPr>
        <w:t>QCL-Type-A or QCL-Type-C relations.</w:t>
      </w:r>
    </w:p>
    <w:tbl>
      <w:tblPr>
        <w:tblStyle w:val="TableGrid"/>
        <w:tblW w:w="0" w:type="auto"/>
        <w:tblLook w:val="04A0" w:firstRow="1" w:lastRow="0" w:firstColumn="1" w:lastColumn="0" w:noHBand="0" w:noVBand="1"/>
      </w:tblPr>
      <w:tblGrid>
        <w:gridCol w:w="9617"/>
      </w:tblGrid>
      <w:tr w:rsidR="007F6899" w14:paraId="200E9A38" w14:textId="77777777" w:rsidTr="007F6899">
        <w:tc>
          <w:tcPr>
            <w:tcW w:w="9617" w:type="dxa"/>
          </w:tcPr>
          <w:p w14:paraId="4895956E" w14:textId="6CA044F6" w:rsidR="003F3A03" w:rsidRDefault="003F3A03" w:rsidP="00616744">
            <w:pPr>
              <w:rPr>
                <w:i/>
                <w:lang w:eastAsia="zh-CN"/>
              </w:rPr>
            </w:pPr>
            <w:r w:rsidRPr="009C5807">
              <w:rPr>
                <w:rFonts w:eastAsia="Malgun Gothic"/>
                <w:lang w:eastAsia="zh-CN"/>
              </w:rPr>
              <w:t>If the target TCI state is known, upon</w:t>
            </w:r>
            <w:r w:rsidRPr="009C5807">
              <w:rPr>
                <w:lang w:eastAsia="zh-CN"/>
              </w:rPr>
              <w:t xml:space="preserve"> receiv</w:t>
            </w:r>
            <w:r w:rsidRPr="009C5807">
              <w:rPr>
                <w:rFonts w:eastAsia="Malgun Gothic"/>
                <w:lang w:eastAsia="zh-CN"/>
              </w:rPr>
              <w:t>ing PDSCH carrying</w:t>
            </w:r>
            <w:r w:rsidRPr="009C5807">
              <w:rPr>
                <w:lang w:eastAsia="zh-CN"/>
              </w:rPr>
              <w:t xml:space="preserve"> </w:t>
            </w:r>
            <w:r w:rsidRPr="009C5807">
              <w:rPr>
                <w:rFonts w:eastAsia="Malgun Gothic"/>
                <w:lang w:eastAsia="zh-CN"/>
              </w:rPr>
              <w:t>MAC-CE activation command in slot n</w:t>
            </w:r>
            <w:r w:rsidRPr="009C5807">
              <w:rPr>
                <w:lang w:eastAsia="zh-CN"/>
              </w:rPr>
              <w:t>, UE shall be able to receive PD</w:t>
            </w:r>
            <w:r w:rsidRPr="009C5807">
              <w:rPr>
                <w:rFonts w:eastAsia="Malgun Gothic"/>
                <w:lang w:eastAsia="zh-CN"/>
              </w:rPr>
              <w:t>C</w:t>
            </w:r>
            <w:r w:rsidRPr="009C5807">
              <w:rPr>
                <w:lang w:eastAsia="zh-CN"/>
              </w:rPr>
              <w:t xml:space="preserve">CH with target </w:t>
            </w:r>
            <w:r w:rsidRPr="009C5807">
              <w:rPr>
                <w:rFonts w:eastAsia="Malgun Gothic"/>
                <w:lang w:eastAsia="zh-CN"/>
              </w:rPr>
              <w:t>TCI state</w:t>
            </w:r>
            <w:r w:rsidRPr="009C5807">
              <w:rPr>
                <w:lang w:eastAsia="zh-CN"/>
              </w:rPr>
              <w:t xml:space="preserve"> </w:t>
            </w:r>
            <w:r w:rsidRPr="009C5807">
              <w:rPr>
                <w:rFonts w:eastAsia="Malgun Gothic"/>
                <w:lang w:eastAsia="zh-CN"/>
              </w:rPr>
              <w:t>of</w:t>
            </w:r>
            <w:r w:rsidRPr="009C5807">
              <w:rPr>
                <w:lang w:eastAsia="zh-CN"/>
              </w:rPr>
              <w:t xml:space="preserve"> the serving cell on which </w:t>
            </w:r>
            <w:r w:rsidRPr="009C5807">
              <w:rPr>
                <w:rFonts w:eastAsia="Malgun Gothic"/>
                <w:lang w:eastAsia="zh-CN"/>
              </w:rPr>
              <w:t>TCI state</w:t>
            </w:r>
            <w:r w:rsidRPr="009C5807">
              <w:rPr>
                <w:lang w:eastAsia="zh-CN"/>
              </w:rPr>
              <w:t xml:space="preserve"> switch occurs </w:t>
            </w:r>
            <w:r w:rsidRPr="009C5807">
              <w:rPr>
                <w:rFonts w:eastAsia="Malgun Gothic"/>
                <w:lang w:eastAsia="zh-CN"/>
              </w:rPr>
              <w:t>at the first slot that is after</w:t>
            </w:r>
            <w:r w:rsidRPr="009C5807" w:rsidDel="00024E91">
              <w:rPr>
                <w:lang w:eastAsia="zh-CN"/>
              </w:rPr>
              <w:t xml:space="preserve"> </w:t>
            </w:r>
            <w:r w:rsidRPr="009C5807">
              <w:rPr>
                <w:lang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eastAsia="zh-CN"/>
              </w:rPr>
              <w:t>+ TO</w:t>
            </w:r>
            <w:r w:rsidRPr="009C5807">
              <w:rPr>
                <w:rFonts w:eastAsia="Malgun Gothic"/>
                <w:vertAlign w:val="subscript"/>
                <w:lang w:eastAsia="zh-CN"/>
              </w:rPr>
              <w:t>k</w:t>
            </w:r>
            <w:r w:rsidRPr="009C5807">
              <w:rPr>
                <w:rFonts w:eastAsia="Malgun Gothic"/>
                <w:lang w:eastAsia="zh-CN"/>
              </w:rPr>
              <w:t>*(T</w:t>
            </w:r>
            <w:r w:rsidRPr="009C5807">
              <w:rPr>
                <w:rFonts w:eastAsia="Malgun Gothic"/>
                <w:vertAlign w:val="subscript"/>
                <w:lang w:eastAsia="zh-CN"/>
              </w:rPr>
              <w:t xml:space="preserve">first-SSB </w:t>
            </w:r>
            <w:r w:rsidRPr="009C5807">
              <w:rPr>
                <w:rFonts w:eastAsia="Malgun Gothic"/>
                <w:lang w:eastAsia="zh-CN"/>
              </w:rPr>
              <w:t>+ T</w:t>
            </w:r>
            <w:r w:rsidRPr="009C5807">
              <w:rPr>
                <w:rFonts w:eastAsia="Malgun Gothic"/>
                <w:vertAlign w:val="subscript"/>
                <w:lang w:eastAsia="zh-CN"/>
              </w:rPr>
              <w:t>SSB-proc</w:t>
            </w:r>
            <w:r w:rsidRPr="009C5807">
              <w:rPr>
                <w:rFonts w:eastAsia="Malgun Gothic"/>
                <w:lang w:eastAsia="zh-CN"/>
              </w:rPr>
              <w:t>)</w:t>
            </w:r>
            <w:r w:rsidRPr="009C5807">
              <w:rPr>
                <w:lang w:eastAsia="zh-CN"/>
              </w:rPr>
              <w:t xml:space="preserve"> / </w:t>
            </w:r>
            <w:r w:rsidRPr="009C5807">
              <w:rPr>
                <w:i/>
                <w:lang w:eastAsia="zh-CN"/>
              </w:rPr>
              <w:t>NR slot length</w:t>
            </w:r>
            <w:r w:rsidR="00E47A84">
              <w:rPr>
                <w:i/>
                <w:lang w:eastAsia="zh-CN"/>
              </w:rPr>
              <w:t>.</w:t>
            </w:r>
          </w:p>
          <w:p w14:paraId="355DAAA9" w14:textId="77777777" w:rsidR="003E373B" w:rsidRDefault="003E373B" w:rsidP="00616744">
            <w:pPr>
              <w:rPr>
                <w:iCs/>
                <w:lang w:eastAsia="zh-CN"/>
              </w:rPr>
            </w:pPr>
          </w:p>
          <w:p w14:paraId="6793AFD5" w14:textId="27CD5ED0" w:rsidR="00EC5AD9" w:rsidRDefault="00EC5AD9" w:rsidP="00616744">
            <w:pPr>
              <w:rPr>
                <w:i/>
                <w:lang w:eastAsia="zh-CN"/>
              </w:rPr>
            </w:pPr>
            <w:r w:rsidRPr="009C5807">
              <w:rPr>
                <w:rFonts w:eastAsia="Malgun Gothic"/>
                <w:lang w:eastAsia="zh-CN"/>
              </w:rPr>
              <w:t>If the target TCI state is unknown, upon</w:t>
            </w:r>
            <w:r w:rsidRPr="009C5807">
              <w:rPr>
                <w:lang w:eastAsia="zh-CN"/>
              </w:rPr>
              <w:t xml:space="preserve"> receiv</w:t>
            </w:r>
            <w:r w:rsidRPr="009C5807">
              <w:rPr>
                <w:rFonts w:eastAsia="Malgun Gothic"/>
                <w:lang w:eastAsia="zh-CN"/>
              </w:rPr>
              <w:t>ing PDSCH carrying</w:t>
            </w:r>
            <w:r w:rsidRPr="009C5807">
              <w:rPr>
                <w:lang w:eastAsia="zh-CN"/>
              </w:rPr>
              <w:t xml:space="preserve"> </w:t>
            </w:r>
            <w:r w:rsidRPr="009C5807">
              <w:rPr>
                <w:rFonts w:eastAsia="Malgun Gothic"/>
                <w:lang w:eastAsia="zh-CN"/>
              </w:rPr>
              <w:t>MAC-CE activation command in slot n</w:t>
            </w:r>
            <w:r w:rsidRPr="009C5807">
              <w:rPr>
                <w:lang w:eastAsia="zh-CN"/>
              </w:rPr>
              <w:t>, UE shall be able to receive PD</w:t>
            </w:r>
            <w:r w:rsidRPr="009C5807">
              <w:rPr>
                <w:rFonts w:eastAsia="Malgun Gothic"/>
                <w:lang w:eastAsia="zh-CN"/>
              </w:rPr>
              <w:t>C</w:t>
            </w:r>
            <w:r w:rsidRPr="009C5807">
              <w:rPr>
                <w:lang w:eastAsia="zh-CN"/>
              </w:rPr>
              <w:t xml:space="preserve">CH with target </w:t>
            </w:r>
            <w:r w:rsidRPr="009C5807">
              <w:rPr>
                <w:rFonts w:eastAsia="Malgun Gothic"/>
                <w:lang w:eastAsia="zh-CN"/>
              </w:rPr>
              <w:t>TCI state</w:t>
            </w:r>
            <w:r w:rsidRPr="009C5807">
              <w:rPr>
                <w:lang w:eastAsia="zh-CN"/>
              </w:rPr>
              <w:t xml:space="preserve"> </w:t>
            </w:r>
            <w:r w:rsidRPr="009C5807">
              <w:rPr>
                <w:rFonts w:eastAsia="Malgun Gothic"/>
                <w:lang w:eastAsia="zh-CN"/>
              </w:rPr>
              <w:t>of</w:t>
            </w:r>
            <w:r w:rsidRPr="009C5807">
              <w:rPr>
                <w:lang w:eastAsia="zh-CN"/>
              </w:rPr>
              <w:t xml:space="preserve"> the serving cell on which </w:t>
            </w:r>
            <w:r w:rsidRPr="009C5807">
              <w:rPr>
                <w:rFonts w:eastAsia="Malgun Gothic"/>
                <w:lang w:eastAsia="zh-CN"/>
              </w:rPr>
              <w:t>TCI state</w:t>
            </w:r>
            <w:r w:rsidRPr="009C5807">
              <w:rPr>
                <w:lang w:eastAsia="zh-CN"/>
              </w:rPr>
              <w:t xml:space="preserve"> switch occurs </w:t>
            </w:r>
            <w:r w:rsidRPr="009C5807">
              <w:rPr>
                <w:rFonts w:eastAsia="Malgun Gothic"/>
                <w:lang w:eastAsia="zh-CN"/>
              </w:rPr>
              <w:t>at the first slot that is after</w:t>
            </w:r>
            <w:r w:rsidRPr="009C5807" w:rsidDel="00024E91">
              <w:rPr>
                <w:lang w:eastAsia="zh-CN"/>
              </w:rPr>
              <w:t xml:space="preserve"> </w:t>
            </w:r>
            <w:r w:rsidRPr="009C5807">
              <w:rPr>
                <w:lang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eastAsia="zh-CN"/>
              </w:rPr>
              <w:t xml:space="preserve"> + </w:t>
            </w:r>
            <w:r w:rsidRPr="009C5807">
              <w:t>T</w:t>
            </w:r>
            <w:r w:rsidRPr="009C5807">
              <w:rPr>
                <w:vertAlign w:val="subscript"/>
              </w:rPr>
              <w:t xml:space="preserve">L1-RSRP </w:t>
            </w:r>
            <w:r w:rsidRPr="009C5807">
              <w:rPr>
                <w:rFonts w:eastAsia="Malgun Gothic"/>
                <w:lang w:eastAsia="zh-CN"/>
              </w:rPr>
              <w:t>+TO</w:t>
            </w:r>
            <w:r w:rsidRPr="009C5807">
              <w:rPr>
                <w:rFonts w:eastAsia="Malgun Gothic"/>
                <w:vertAlign w:val="subscript"/>
                <w:lang w:eastAsia="zh-CN"/>
              </w:rPr>
              <w:t>uk</w:t>
            </w:r>
            <w:r w:rsidRPr="009C5807">
              <w:rPr>
                <w:rFonts w:eastAsia="Malgun Gothic"/>
                <w:lang w:eastAsia="zh-CN"/>
              </w:rPr>
              <w:t>*(T</w:t>
            </w:r>
            <w:r w:rsidRPr="009C5807">
              <w:rPr>
                <w:rFonts w:eastAsia="Malgun Gothic"/>
                <w:vertAlign w:val="subscript"/>
                <w:lang w:eastAsia="zh-CN"/>
              </w:rPr>
              <w:t>first-SSB</w:t>
            </w:r>
            <w:r w:rsidRPr="009C5807">
              <w:rPr>
                <w:rFonts w:eastAsia="Malgun Gothic"/>
                <w:lang w:eastAsia="zh-CN"/>
              </w:rPr>
              <w:t>+ T</w:t>
            </w:r>
            <w:r w:rsidRPr="009C5807">
              <w:rPr>
                <w:rFonts w:eastAsia="Malgun Gothic"/>
                <w:vertAlign w:val="subscript"/>
                <w:lang w:eastAsia="zh-CN"/>
              </w:rPr>
              <w:t>SSB-proc</w:t>
            </w:r>
            <w:r w:rsidRPr="009C5807">
              <w:rPr>
                <w:rFonts w:eastAsia="Malgun Gothic"/>
                <w:lang w:eastAsia="zh-CN"/>
              </w:rPr>
              <w:t>)</w:t>
            </w:r>
            <w:r w:rsidRPr="009C5807">
              <w:rPr>
                <w:lang w:eastAsia="zh-CN"/>
              </w:rPr>
              <w:t xml:space="preserve"> / </w:t>
            </w:r>
            <w:r w:rsidRPr="009C5807">
              <w:rPr>
                <w:i/>
                <w:lang w:eastAsia="zh-CN"/>
              </w:rPr>
              <w:t>NR slot length</w:t>
            </w:r>
          </w:p>
          <w:p w14:paraId="533F7EBC" w14:textId="77777777" w:rsidR="004E4611" w:rsidRPr="000A0869" w:rsidRDefault="004E4611" w:rsidP="00616744">
            <w:pPr>
              <w:rPr>
                <w:lang w:eastAsia="zh-CN"/>
              </w:rPr>
            </w:pPr>
          </w:p>
          <w:p w14:paraId="60225473" w14:textId="6CD1D2EC" w:rsidR="007F6899" w:rsidRPr="00C75A1F" w:rsidRDefault="007F6899" w:rsidP="00C75A1F">
            <w:pPr>
              <w:pStyle w:val="ListParagraph"/>
              <w:numPr>
                <w:ilvl w:val="0"/>
                <w:numId w:val="43"/>
              </w:numPr>
              <w:rPr>
                <w:bCs/>
                <w:iCs/>
                <w:sz w:val="18"/>
                <w:szCs w:val="18"/>
              </w:rPr>
            </w:pPr>
            <w:r w:rsidRPr="009C5807">
              <w:rPr>
                <w:lang w:eastAsia="zh-CN"/>
              </w:rPr>
              <w:t>T</w:t>
            </w:r>
            <w:r w:rsidRPr="00C75A1F">
              <w:rPr>
                <w:vertAlign w:val="subscript"/>
                <w:lang w:eastAsia="zh-CN"/>
              </w:rPr>
              <w:t xml:space="preserve">first-SSB </w:t>
            </w:r>
            <w:r w:rsidRPr="009C5807">
              <w:rPr>
                <w:lang w:eastAsia="zh-CN"/>
              </w:rPr>
              <w:t xml:space="preserve">is time to first SSB transmission after MAC CE command is decoded by the UE; </w:t>
            </w:r>
            <w:r w:rsidRPr="000A0869">
              <w:rPr>
                <w:b/>
                <w:bCs/>
                <w:lang w:eastAsia="zh-CN"/>
              </w:rPr>
              <w:t>The SSB shall be the QCL-TypeA or QCL-TypeC to target TCI state</w:t>
            </w:r>
          </w:p>
        </w:tc>
      </w:tr>
    </w:tbl>
    <w:p w14:paraId="458A8912" w14:textId="77777777" w:rsidR="007F6899" w:rsidRPr="00785E16" w:rsidRDefault="007F6899" w:rsidP="00616744">
      <w:pPr>
        <w:rPr>
          <w:bCs/>
          <w:iCs/>
          <w:sz w:val="18"/>
          <w:szCs w:val="18"/>
        </w:rPr>
      </w:pPr>
    </w:p>
    <w:p w14:paraId="0BB66B52" w14:textId="66A84DF0" w:rsidR="00C0709A" w:rsidRDefault="00785237" w:rsidP="00D21D36">
      <w:pPr>
        <w:jc w:val="both"/>
      </w:pPr>
      <w:r>
        <w:rPr>
          <w:bCs/>
          <w:iCs/>
          <w:sz w:val="18"/>
          <w:szCs w:val="18"/>
        </w:rPr>
        <w:t xml:space="preserve">Considering the requirement above, it should be fine to discuss QCL-A and QCL-C as part of the TCI state switching delay. In the requirements </w:t>
      </w:r>
      <w:r w:rsidR="002B0149">
        <w:rPr>
          <w:bCs/>
          <w:iCs/>
          <w:sz w:val="18"/>
          <w:szCs w:val="18"/>
        </w:rPr>
        <w:t xml:space="preserve">if the </w:t>
      </w:r>
      <w:r w:rsidR="000078AE">
        <w:rPr>
          <w:bCs/>
          <w:iCs/>
          <w:sz w:val="18"/>
          <w:szCs w:val="18"/>
        </w:rPr>
        <w:t xml:space="preserve">target TCI state is not in the active list, the UE needs to acquire timing </w:t>
      </w:r>
      <w:r w:rsidR="00261FE3">
        <w:rPr>
          <w:bCs/>
          <w:iCs/>
          <w:sz w:val="18"/>
          <w:szCs w:val="18"/>
        </w:rPr>
        <w:t xml:space="preserve">from the first SSB transmission after the MAC CE command, where this SSB </w:t>
      </w:r>
      <w:r w:rsidR="005E6E90">
        <w:rPr>
          <w:bCs/>
          <w:iCs/>
          <w:sz w:val="18"/>
          <w:szCs w:val="18"/>
        </w:rPr>
        <w:t>can be QCL</w:t>
      </w:r>
      <w:r w:rsidR="00C853E4">
        <w:rPr>
          <w:bCs/>
          <w:iCs/>
          <w:sz w:val="18"/>
          <w:szCs w:val="18"/>
        </w:rPr>
        <w:t>-</w:t>
      </w:r>
      <w:r w:rsidR="005E6E90">
        <w:rPr>
          <w:bCs/>
          <w:iCs/>
          <w:sz w:val="18"/>
          <w:szCs w:val="18"/>
        </w:rPr>
        <w:t>A or QCL-</w:t>
      </w:r>
      <w:r w:rsidR="00FA0F30">
        <w:rPr>
          <w:bCs/>
          <w:iCs/>
          <w:sz w:val="18"/>
          <w:szCs w:val="18"/>
        </w:rPr>
        <w:t>C with</w:t>
      </w:r>
      <w:r w:rsidR="00C853E4">
        <w:rPr>
          <w:bCs/>
          <w:iCs/>
          <w:sz w:val="18"/>
          <w:szCs w:val="18"/>
        </w:rPr>
        <w:t xml:space="preserve"> the target state. Therefore, </w:t>
      </w:r>
      <w:r w:rsidR="007C7875">
        <w:rPr>
          <w:bCs/>
          <w:iCs/>
          <w:sz w:val="18"/>
          <w:szCs w:val="18"/>
        </w:rPr>
        <w:t xml:space="preserve">the same reasoning can be used for </w:t>
      </w:r>
      <w:r w:rsidR="00FA0F30">
        <w:rPr>
          <w:bCs/>
          <w:iCs/>
          <w:sz w:val="18"/>
          <w:szCs w:val="18"/>
        </w:rPr>
        <w:t>multi-RX TCI</w:t>
      </w:r>
      <w:r w:rsidR="007C7875">
        <w:rPr>
          <w:bCs/>
          <w:iCs/>
          <w:sz w:val="18"/>
          <w:szCs w:val="18"/>
        </w:rPr>
        <w:t xml:space="preserve"> switching</w:t>
      </w:r>
      <w:r w:rsidR="0026558A">
        <w:rPr>
          <w:bCs/>
          <w:iCs/>
          <w:sz w:val="18"/>
          <w:szCs w:val="18"/>
        </w:rPr>
        <w:t xml:space="preserve">, where reference signals with different types of QCL can be used </w:t>
      </w:r>
      <w:r w:rsidR="00196B3B">
        <w:rPr>
          <w:bCs/>
          <w:iCs/>
          <w:sz w:val="18"/>
          <w:szCs w:val="18"/>
        </w:rPr>
        <w:t xml:space="preserve">during this procedure. However, it is not </w:t>
      </w:r>
      <w:r w:rsidR="00FA0F30">
        <w:rPr>
          <w:bCs/>
          <w:iCs/>
          <w:sz w:val="18"/>
          <w:szCs w:val="18"/>
        </w:rPr>
        <w:t>clear</w:t>
      </w:r>
      <w:r w:rsidR="00196B3B">
        <w:rPr>
          <w:bCs/>
          <w:iCs/>
          <w:sz w:val="18"/>
          <w:szCs w:val="18"/>
        </w:rPr>
        <w:t xml:space="preserve"> why to discuss QCL A/C for other requirements, </w:t>
      </w:r>
      <w:r w:rsidR="00F97D03">
        <w:rPr>
          <w:bCs/>
          <w:iCs/>
          <w:sz w:val="18"/>
          <w:szCs w:val="18"/>
        </w:rPr>
        <w:t xml:space="preserve">that are not TCI state switching. </w:t>
      </w:r>
    </w:p>
    <w:p w14:paraId="4F6FB973" w14:textId="6BC7C484" w:rsidR="00FD51B4" w:rsidRPr="000E7B0B" w:rsidRDefault="00387562" w:rsidP="00D21D36">
      <w:pPr>
        <w:pStyle w:val="RAN4observation0"/>
        <w:ind w:left="0" w:firstLine="0"/>
      </w:pPr>
      <w:bookmarkStart w:id="23" w:name="_Toc127436788"/>
      <w:bookmarkStart w:id="24" w:name="_Toc127525207"/>
      <w:r>
        <w:t xml:space="preserve">QCL-A and QCL-C relation is </w:t>
      </w:r>
      <w:r w:rsidR="00733622">
        <w:t xml:space="preserve">used in existing RAN4 RRM requirements </w:t>
      </w:r>
      <w:r w:rsidR="006920AF">
        <w:t xml:space="preserve">in TCI state switching delay, </w:t>
      </w:r>
      <w:r w:rsidR="00CE3957">
        <w:t xml:space="preserve">for the determination of the </w:t>
      </w:r>
      <w:r w:rsidR="00C97CF7">
        <w:t>first SSB available for the UE to acqui</w:t>
      </w:r>
      <w:r w:rsidR="00016DB1">
        <w:t>r</w:t>
      </w:r>
      <w:r w:rsidR="00C97CF7">
        <w:t>e timing</w:t>
      </w:r>
      <w:r w:rsidR="00016DB1">
        <w:t>.</w:t>
      </w:r>
      <w:bookmarkEnd w:id="23"/>
      <w:bookmarkEnd w:id="24"/>
    </w:p>
    <w:p w14:paraId="4A6E5DA6" w14:textId="1A167EEE" w:rsidR="00B56E29" w:rsidRDefault="00526380" w:rsidP="00D21D36">
      <w:pPr>
        <w:pStyle w:val="RAN4proposal"/>
        <w:rPr>
          <w:rFonts w:ascii="Arial" w:eastAsia="Times New Roman" w:hAnsi="Arial"/>
          <w:sz w:val="32"/>
        </w:rPr>
      </w:pPr>
      <w:bookmarkStart w:id="25" w:name="_Toc127525208"/>
      <w:r w:rsidRPr="00FD51B4">
        <w:rPr>
          <w:b w:val="0"/>
        </w:rPr>
        <w:t xml:space="preserve">RAN4 should discuss </w:t>
      </w:r>
      <w:r w:rsidR="00F17319" w:rsidRPr="00FD51B4">
        <w:rPr>
          <w:b w:val="0"/>
        </w:rPr>
        <w:t xml:space="preserve">QCL relations as part of </w:t>
      </w:r>
      <w:r w:rsidRPr="00FD51B4">
        <w:rPr>
          <w:b w:val="0"/>
        </w:rPr>
        <w:t xml:space="preserve">requirements </w:t>
      </w:r>
      <w:r w:rsidR="00E37D6B" w:rsidRPr="00FD51B4">
        <w:rPr>
          <w:b w:val="0"/>
        </w:rPr>
        <w:t>of TCI state switching delay</w:t>
      </w:r>
      <w:r w:rsidR="00F233A1" w:rsidRPr="00FD51B4">
        <w:rPr>
          <w:b w:val="0"/>
        </w:rPr>
        <w:t>.</w:t>
      </w:r>
      <w:bookmarkEnd w:id="25"/>
    </w:p>
    <w:p w14:paraId="2996FD1B" w14:textId="664399C1" w:rsidR="00622363" w:rsidRDefault="00622363" w:rsidP="00083D1D">
      <w:pPr>
        <w:pStyle w:val="RAN4H2"/>
        <w:ind w:left="426"/>
      </w:pPr>
      <w:r>
        <w:t>Modes for simultaneous reception and power saving</w:t>
      </w:r>
    </w:p>
    <w:p w14:paraId="47C9EF23" w14:textId="5E3D28AC" w:rsidR="00944809" w:rsidRDefault="00944809" w:rsidP="00083D1D">
      <w:pPr>
        <w:jc w:val="both"/>
        <w:rPr>
          <w:bCs/>
          <w:iCs/>
          <w:sz w:val="18"/>
          <w:szCs w:val="18"/>
        </w:rPr>
      </w:pPr>
      <w:r>
        <w:rPr>
          <w:bCs/>
          <w:iCs/>
          <w:sz w:val="18"/>
          <w:szCs w:val="18"/>
        </w:rPr>
        <w:t xml:space="preserve">It has been discussed </w:t>
      </w:r>
      <w:r w:rsidR="00343072">
        <w:rPr>
          <w:bCs/>
          <w:iCs/>
          <w:sz w:val="18"/>
          <w:szCs w:val="18"/>
        </w:rPr>
        <w:t xml:space="preserve">for the past RAN4 meetings </w:t>
      </w:r>
      <w:r w:rsidR="009D3305">
        <w:rPr>
          <w:bCs/>
          <w:iCs/>
          <w:sz w:val="18"/>
          <w:szCs w:val="18"/>
        </w:rPr>
        <w:t xml:space="preserve">about the need for certain RRM enhancements, and how those could impact the </w:t>
      </w:r>
      <w:r w:rsidR="00AD44CF">
        <w:rPr>
          <w:bCs/>
          <w:iCs/>
          <w:sz w:val="18"/>
          <w:szCs w:val="18"/>
        </w:rPr>
        <w:t xml:space="preserve">power consumption from UEs supporting </w:t>
      </w:r>
      <w:r w:rsidR="00083D1D">
        <w:rPr>
          <w:bCs/>
          <w:iCs/>
          <w:sz w:val="18"/>
          <w:szCs w:val="18"/>
        </w:rPr>
        <w:t>multi-Rx</w:t>
      </w:r>
      <w:r w:rsidR="00AD44CF">
        <w:rPr>
          <w:bCs/>
          <w:iCs/>
          <w:sz w:val="18"/>
          <w:szCs w:val="18"/>
        </w:rPr>
        <w:t xml:space="preserve">. From our understanding </w:t>
      </w:r>
      <w:r w:rsidR="00083D1D">
        <w:rPr>
          <w:bCs/>
          <w:iCs/>
          <w:sz w:val="18"/>
          <w:szCs w:val="18"/>
        </w:rPr>
        <w:t>multi-Rx</w:t>
      </w:r>
      <w:r w:rsidR="00AD44CF">
        <w:rPr>
          <w:bCs/>
          <w:iCs/>
          <w:sz w:val="18"/>
          <w:szCs w:val="18"/>
        </w:rPr>
        <w:t xml:space="preserve"> enhanc</w:t>
      </w:r>
      <w:r w:rsidR="00371264">
        <w:rPr>
          <w:bCs/>
          <w:iCs/>
          <w:sz w:val="18"/>
          <w:szCs w:val="18"/>
        </w:rPr>
        <w:t>e</w:t>
      </w:r>
      <w:r w:rsidR="00AD44CF">
        <w:rPr>
          <w:bCs/>
          <w:iCs/>
          <w:sz w:val="18"/>
          <w:szCs w:val="18"/>
        </w:rPr>
        <w:t xml:space="preserve">ments can be useful for improving FR2 performance in a variety of ways, </w:t>
      </w:r>
      <w:r w:rsidR="00371264">
        <w:rPr>
          <w:bCs/>
          <w:iCs/>
          <w:sz w:val="18"/>
          <w:szCs w:val="18"/>
        </w:rPr>
        <w:t xml:space="preserve">but it is also clear that those enhancements do not need to be activated </w:t>
      </w:r>
      <w:r w:rsidR="004C515A">
        <w:rPr>
          <w:bCs/>
          <w:iCs/>
          <w:sz w:val="18"/>
          <w:szCs w:val="18"/>
        </w:rPr>
        <w:t xml:space="preserve">permanently for a UE supporting </w:t>
      </w:r>
      <w:r w:rsidR="00083D1D">
        <w:rPr>
          <w:bCs/>
          <w:iCs/>
          <w:sz w:val="18"/>
          <w:szCs w:val="18"/>
        </w:rPr>
        <w:t>multi-Rx</w:t>
      </w:r>
      <w:r w:rsidR="004C515A">
        <w:rPr>
          <w:bCs/>
          <w:iCs/>
          <w:sz w:val="18"/>
          <w:szCs w:val="18"/>
        </w:rPr>
        <w:t xml:space="preserve">. </w:t>
      </w:r>
    </w:p>
    <w:p w14:paraId="6DA3378D" w14:textId="3C91FDFF" w:rsidR="00622363" w:rsidRPr="00C757B4" w:rsidRDefault="00316CB7" w:rsidP="00083D1D">
      <w:pPr>
        <w:rPr>
          <w:bCs/>
          <w:iCs/>
          <w:sz w:val="18"/>
          <w:szCs w:val="18"/>
        </w:rPr>
      </w:pPr>
      <w:r w:rsidRPr="00C757B4">
        <w:rPr>
          <w:bCs/>
          <w:iCs/>
          <w:sz w:val="18"/>
          <w:szCs w:val="18"/>
        </w:rPr>
        <w:t>Simultaneous recep</w:t>
      </w:r>
      <w:r w:rsidR="0057537D" w:rsidRPr="00C757B4">
        <w:rPr>
          <w:bCs/>
          <w:iCs/>
          <w:sz w:val="18"/>
          <w:szCs w:val="18"/>
        </w:rPr>
        <w:t xml:space="preserve">tion in </w:t>
      </w:r>
      <w:r w:rsidR="001B24F4" w:rsidRPr="00C757B4">
        <w:rPr>
          <w:bCs/>
          <w:iCs/>
          <w:sz w:val="18"/>
          <w:szCs w:val="18"/>
        </w:rPr>
        <w:t xml:space="preserve">R-18 </w:t>
      </w:r>
      <w:r w:rsidR="0057537D" w:rsidRPr="00C757B4">
        <w:rPr>
          <w:bCs/>
          <w:iCs/>
          <w:sz w:val="18"/>
          <w:szCs w:val="18"/>
        </w:rPr>
        <w:t xml:space="preserve">multi-Rx </w:t>
      </w:r>
      <w:r w:rsidR="00D90696" w:rsidRPr="00C757B4">
        <w:rPr>
          <w:bCs/>
          <w:iCs/>
          <w:sz w:val="18"/>
          <w:szCs w:val="18"/>
        </w:rPr>
        <w:t>UEs should cover the following scenarios.</w:t>
      </w:r>
      <w:r w:rsidR="001B24F4" w:rsidRPr="00C757B4">
        <w:rPr>
          <w:bCs/>
          <w:iCs/>
          <w:sz w:val="18"/>
          <w:szCs w:val="18"/>
        </w:rPr>
        <w:t xml:space="preserve"> </w:t>
      </w:r>
    </w:p>
    <w:p w14:paraId="0DE0003B" w14:textId="77777777" w:rsidR="002258F5" w:rsidRPr="00C757B4" w:rsidRDefault="002258F5" w:rsidP="001B24F4">
      <w:pPr>
        <w:pStyle w:val="ListParagraph"/>
        <w:numPr>
          <w:ilvl w:val="0"/>
          <w:numId w:val="31"/>
        </w:numPr>
        <w:spacing w:after="120" w:line="240" w:lineRule="auto"/>
        <w:contextualSpacing w:val="0"/>
        <w:rPr>
          <w:bCs/>
          <w:iCs/>
          <w:sz w:val="18"/>
          <w:szCs w:val="18"/>
        </w:rPr>
      </w:pPr>
      <w:bookmarkStart w:id="26" w:name="_Toc118729464"/>
      <w:r w:rsidRPr="00C757B4">
        <w:rPr>
          <w:bCs/>
          <w:iCs/>
          <w:sz w:val="18"/>
          <w:szCs w:val="18"/>
        </w:rPr>
        <w:t>Simultaneous L1 measurements:</w:t>
      </w:r>
      <w:bookmarkEnd w:id="26"/>
    </w:p>
    <w:p w14:paraId="6575836A" w14:textId="77777777" w:rsidR="002258F5" w:rsidRPr="00C757B4" w:rsidRDefault="002258F5" w:rsidP="001B24F4">
      <w:pPr>
        <w:pStyle w:val="ListParagraph"/>
        <w:numPr>
          <w:ilvl w:val="1"/>
          <w:numId w:val="31"/>
        </w:numPr>
        <w:spacing w:after="120" w:line="240" w:lineRule="auto"/>
        <w:contextualSpacing w:val="0"/>
        <w:rPr>
          <w:bCs/>
          <w:iCs/>
          <w:sz w:val="18"/>
          <w:szCs w:val="18"/>
        </w:rPr>
      </w:pPr>
      <w:bookmarkStart w:id="27" w:name="_Toc118729465"/>
      <w:r w:rsidRPr="00C757B4">
        <w:rPr>
          <w:bCs/>
          <w:iCs/>
          <w:sz w:val="18"/>
          <w:szCs w:val="18"/>
        </w:rPr>
        <w:t>L1 SSB + L1 SSB</w:t>
      </w:r>
      <w:bookmarkEnd w:id="27"/>
    </w:p>
    <w:p w14:paraId="683F6B3F" w14:textId="77777777" w:rsidR="002258F5" w:rsidRPr="008516E6" w:rsidRDefault="002258F5" w:rsidP="001B24F4">
      <w:pPr>
        <w:pStyle w:val="ListParagraph"/>
        <w:numPr>
          <w:ilvl w:val="1"/>
          <w:numId w:val="31"/>
        </w:numPr>
        <w:spacing w:after="120" w:line="240" w:lineRule="auto"/>
        <w:contextualSpacing w:val="0"/>
        <w:rPr>
          <w:sz w:val="18"/>
          <w:szCs w:val="18"/>
          <w:lang w:val="fr-FR"/>
        </w:rPr>
      </w:pPr>
      <w:bookmarkStart w:id="28" w:name="_Toc118729466"/>
      <w:r w:rsidRPr="008516E6">
        <w:rPr>
          <w:sz w:val="18"/>
          <w:szCs w:val="18"/>
          <w:lang w:val="fr-FR"/>
        </w:rPr>
        <w:t>L1 CSI-RS + L1 CSI-RS</w:t>
      </w:r>
      <w:bookmarkEnd w:id="28"/>
    </w:p>
    <w:p w14:paraId="04F89F1C" w14:textId="63ADA950" w:rsidR="007F172E" w:rsidRDefault="007F172E" w:rsidP="2D0F57B7">
      <w:pPr>
        <w:pStyle w:val="ListParagraph"/>
        <w:keepNext/>
        <w:spacing w:after="120" w:line="240" w:lineRule="auto"/>
        <w:ind w:left="2160"/>
      </w:pPr>
    </w:p>
    <w:p w14:paraId="2C8A8065" w14:textId="53D66A02" w:rsidR="00B8093C" w:rsidRDefault="00B8093C" w:rsidP="2D0F57B7">
      <w:pPr>
        <w:pStyle w:val="ListParagraph"/>
        <w:keepNext/>
        <w:spacing w:after="120" w:line="240" w:lineRule="auto"/>
        <w:ind w:left="2160"/>
      </w:pPr>
      <w:r w:rsidRPr="00B8093C">
        <w:rPr>
          <w:noProof/>
        </w:rPr>
        <w:drawing>
          <wp:inline distT="0" distB="0" distL="0" distR="0" wp14:anchorId="2303B117" wp14:editId="59A6173D">
            <wp:extent cx="2667000" cy="22574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7000" cy="2257425"/>
                    </a:xfrm>
                    <a:prstGeom prst="rect">
                      <a:avLst/>
                    </a:prstGeom>
                    <a:noFill/>
                    <a:ln>
                      <a:noFill/>
                    </a:ln>
                  </pic:spPr>
                </pic:pic>
              </a:graphicData>
            </a:graphic>
          </wp:inline>
        </w:drawing>
      </w:r>
    </w:p>
    <w:p w14:paraId="12253FA4" w14:textId="5489580A" w:rsidR="009B3A7E" w:rsidRDefault="007F172E" w:rsidP="00D25CC3">
      <w:pPr>
        <w:pStyle w:val="Caption"/>
        <w:ind w:left="2160"/>
        <w:jc w:val="left"/>
        <w:rPr>
          <w:rFonts w:eastAsia="SimSun"/>
          <w:color w:val="0070C0"/>
          <w:szCs w:val="24"/>
          <w:lang w:eastAsia="zh-CN"/>
        </w:rPr>
      </w:pPr>
      <w:r>
        <w:t xml:space="preserve">Figure </w:t>
      </w:r>
      <w:r>
        <w:fldChar w:fldCharType="begin"/>
      </w:r>
      <w:r>
        <w:instrText>SEQ Figure \* ARABIC</w:instrText>
      </w:r>
      <w:r>
        <w:fldChar w:fldCharType="separate"/>
      </w:r>
      <w:r w:rsidR="006C6044">
        <w:rPr>
          <w:noProof/>
        </w:rPr>
        <w:t>6</w:t>
      </w:r>
      <w:r>
        <w:fldChar w:fldCharType="end"/>
      </w:r>
      <w:r w:rsidR="0092475A">
        <w:t xml:space="preserve">: multi-RX </w:t>
      </w:r>
      <w:r w:rsidR="006072D4">
        <w:t>simultaneous L1 measurements</w:t>
      </w:r>
      <w:r w:rsidR="00EF6E6F">
        <w:t xml:space="preserve"> (CSI-RS + CSI-RS)</w:t>
      </w:r>
    </w:p>
    <w:p w14:paraId="52FA5505" w14:textId="77777777" w:rsidR="002258F5" w:rsidRPr="00C757B4" w:rsidRDefault="002258F5" w:rsidP="001B24F4">
      <w:pPr>
        <w:pStyle w:val="ListParagraph"/>
        <w:numPr>
          <w:ilvl w:val="0"/>
          <w:numId w:val="31"/>
        </w:numPr>
        <w:spacing w:after="120" w:line="240" w:lineRule="auto"/>
        <w:contextualSpacing w:val="0"/>
        <w:rPr>
          <w:bCs/>
          <w:iCs/>
          <w:sz w:val="18"/>
          <w:szCs w:val="18"/>
        </w:rPr>
      </w:pPr>
      <w:bookmarkStart w:id="29" w:name="_Toc118729469"/>
      <w:r w:rsidRPr="00C757B4">
        <w:rPr>
          <w:bCs/>
          <w:iCs/>
          <w:sz w:val="18"/>
          <w:szCs w:val="18"/>
        </w:rPr>
        <w:t>Simultaneous L3 and L1 measurements:</w:t>
      </w:r>
      <w:bookmarkEnd w:id="29"/>
    </w:p>
    <w:p w14:paraId="689C8811" w14:textId="77777777" w:rsidR="002258F5" w:rsidRPr="00C757B4" w:rsidRDefault="002258F5" w:rsidP="00821DC4">
      <w:pPr>
        <w:pStyle w:val="ListParagraph"/>
        <w:numPr>
          <w:ilvl w:val="1"/>
          <w:numId w:val="31"/>
        </w:numPr>
        <w:spacing w:after="120" w:line="240" w:lineRule="auto"/>
        <w:contextualSpacing w:val="0"/>
        <w:rPr>
          <w:bCs/>
          <w:iCs/>
          <w:sz w:val="18"/>
          <w:szCs w:val="18"/>
        </w:rPr>
      </w:pPr>
      <w:bookmarkStart w:id="30" w:name="_Toc118729470"/>
      <w:r w:rsidRPr="00C757B4">
        <w:rPr>
          <w:bCs/>
          <w:iCs/>
          <w:sz w:val="18"/>
          <w:szCs w:val="18"/>
        </w:rPr>
        <w:t>L3 SSB + L1 SSB/CSI-RS</w:t>
      </w:r>
      <w:bookmarkEnd w:id="30"/>
    </w:p>
    <w:p w14:paraId="00753F5F" w14:textId="77777777" w:rsidR="00754715" w:rsidRDefault="00754715" w:rsidP="00754715">
      <w:pPr>
        <w:spacing w:after="120" w:line="240" w:lineRule="auto"/>
        <w:ind w:left="1080"/>
        <w:rPr>
          <w:rFonts w:eastAsia="SimSun"/>
          <w:color w:val="0070C0"/>
          <w:szCs w:val="24"/>
          <w:lang w:eastAsia="zh-CN"/>
        </w:rPr>
      </w:pPr>
    </w:p>
    <w:p w14:paraId="18ABC2A5" w14:textId="7EC527E2" w:rsidR="00270CE8" w:rsidRDefault="00270CE8" w:rsidP="00270CE8">
      <w:pPr>
        <w:keepNext/>
        <w:spacing w:after="120" w:line="240" w:lineRule="auto"/>
        <w:ind w:left="2160"/>
      </w:pPr>
    </w:p>
    <w:p w14:paraId="418619BE" w14:textId="5A4AB316" w:rsidR="00B8093C" w:rsidRDefault="00B8093C" w:rsidP="00270CE8">
      <w:pPr>
        <w:keepNext/>
        <w:spacing w:after="120" w:line="240" w:lineRule="auto"/>
        <w:ind w:left="2160"/>
      </w:pPr>
      <w:r w:rsidRPr="00B8093C">
        <w:rPr>
          <w:noProof/>
        </w:rPr>
        <w:drawing>
          <wp:inline distT="0" distB="0" distL="0" distR="0" wp14:anchorId="41426BCD" wp14:editId="3026C46F">
            <wp:extent cx="3390900" cy="24479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90900" cy="2447925"/>
                    </a:xfrm>
                    <a:prstGeom prst="rect">
                      <a:avLst/>
                    </a:prstGeom>
                    <a:noFill/>
                    <a:ln>
                      <a:noFill/>
                    </a:ln>
                  </pic:spPr>
                </pic:pic>
              </a:graphicData>
            </a:graphic>
          </wp:inline>
        </w:drawing>
      </w:r>
    </w:p>
    <w:p w14:paraId="1F4A2B2C" w14:textId="3403621B" w:rsidR="00A11D82" w:rsidRPr="00754715" w:rsidRDefault="00270CE8" w:rsidP="000B25BC">
      <w:pPr>
        <w:pStyle w:val="Caption"/>
        <w:ind w:left="2160"/>
        <w:jc w:val="left"/>
        <w:rPr>
          <w:rFonts w:eastAsia="SimSun"/>
          <w:color w:val="0070C0"/>
          <w:szCs w:val="24"/>
          <w:lang w:eastAsia="zh-CN"/>
        </w:rPr>
      </w:pPr>
      <w:r>
        <w:t xml:space="preserve">Figure </w:t>
      </w:r>
      <w:r>
        <w:fldChar w:fldCharType="begin"/>
      </w:r>
      <w:r>
        <w:instrText>SEQ Figure \* ARABIC</w:instrText>
      </w:r>
      <w:r>
        <w:fldChar w:fldCharType="separate"/>
      </w:r>
      <w:r w:rsidR="006C6044">
        <w:rPr>
          <w:noProof/>
        </w:rPr>
        <w:t>7</w:t>
      </w:r>
      <w:r>
        <w:fldChar w:fldCharType="end"/>
      </w:r>
      <w:r>
        <w:t xml:space="preserve">: </w:t>
      </w:r>
      <w:r w:rsidR="00BD7AC2">
        <w:t>multi-RX simultaneous L1 measurements (</w:t>
      </w:r>
      <w:r w:rsidR="000B25BC">
        <w:t xml:space="preserve">L3 </w:t>
      </w:r>
      <w:r w:rsidR="00BD7AC2">
        <w:t xml:space="preserve">SSB + </w:t>
      </w:r>
      <w:r w:rsidR="000B25BC">
        <w:t xml:space="preserve">L1 </w:t>
      </w:r>
      <w:r w:rsidR="00BD7AC2">
        <w:t>CSI-RS)</w:t>
      </w:r>
    </w:p>
    <w:p w14:paraId="4E2CFC3E" w14:textId="63B76AF9" w:rsidR="003C4EC3" w:rsidRPr="00C757B4" w:rsidRDefault="003C4EC3" w:rsidP="00161528">
      <w:pPr>
        <w:pStyle w:val="ListParagraph"/>
        <w:numPr>
          <w:ilvl w:val="0"/>
          <w:numId w:val="31"/>
        </w:numPr>
        <w:spacing w:after="120" w:line="240" w:lineRule="auto"/>
        <w:contextualSpacing w:val="0"/>
        <w:rPr>
          <w:bCs/>
          <w:iCs/>
          <w:sz w:val="18"/>
          <w:szCs w:val="18"/>
        </w:rPr>
      </w:pPr>
      <w:r w:rsidRPr="00C757B4">
        <w:rPr>
          <w:bCs/>
          <w:iCs/>
          <w:sz w:val="18"/>
          <w:szCs w:val="18"/>
        </w:rPr>
        <w:t xml:space="preserve">Simultaneous reception of 4-layer MIMO from separate QCL-D sources </w:t>
      </w:r>
      <w:r w:rsidR="00B449C9" w:rsidRPr="00C757B4">
        <w:rPr>
          <w:bCs/>
          <w:iCs/>
          <w:sz w:val="18"/>
          <w:szCs w:val="18"/>
        </w:rPr>
        <w:t>(multiple TRPs)</w:t>
      </w:r>
    </w:p>
    <w:p w14:paraId="080A6C3C" w14:textId="2396C95A" w:rsidR="002822C1" w:rsidRDefault="002822C1" w:rsidP="002822C1">
      <w:pPr>
        <w:pStyle w:val="ListParagraph"/>
        <w:keepNext/>
        <w:spacing w:after="120" w:line="240" w:lineRule="auto"/>
        <w:ind w:left="2160"/>
      </w:pPr>
    </w:p>
    <w:p w14:paraId="6DF85309" w14:textId="120D4EDA" w:rsidR="00B8093C" w:rsidRDefault="00B8093C" w:rsidP="002822C1">
      <w:pPr>
        <w:pStyle w:val="ListParagraph"/>
        <w:keepNext/>
        <w:spacing w:after="120" w:line="240" w:lineRule="auto"/>
        <w:ind w:left="2160"/>
      </w:pPr>
      <w:r w:rsidRPr="00B8093C">
        <w:rPr>
          <w:noProof/>
        </w:rPr>
        <w:drawing>
          <wp:inline distT="0" distB="0" distL="0" distR="0" wp14:anchorId="48002BA8" wp14:editId="27480C51">
            <wp:extent cx="2847975" cy="2124075"/>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47975" cy="2124075"/>
                    </a:xfrm>
                    <a:prstGeom prst="rect">
                      <a:avLst/>
                    </a:prstGeom>
                    <a:noFill/>
                    <a:ln>
                      <a:noFill/>
                    </a:ln>
                  </pic:spPr>
                </pic:pic>
              </a:graphicData>
            </a:graphic>
          </wp:inline>
        </w:drawing>
      </w:r>
    </w:p>
    <w:p w14:paraId="1E8343D4" w14:textId="00D783EC" w:rsidR="002822C1" w:rsidRPr="003C4EC3" w:rsidRDefault="002822C1" w:rsidP="00CD603B">
      <w:pPr>
        <w:pStyle w:val="Caption"/>
        <w:ind w:left="2160"/>
        <w:jc w:val="left"/>
        <w:rPr>
          <w:rFonts w:eastAsia="SimSun"/>
          <w:color w:val="0070C0"/>
          <w:szCs w:val="24"/>
          <w:lang w:eastAsia="zh-CN"/>
        </w:rPr>
      </w:pPr>
      <w:r>
        <w:t xml:space="preserve">Figure </w:t>
      </w:r>
      <w:r>
        <w:fldChar w:fldCharType="begin"/>
      </w:r>
      <w:r>
        <w:instrText>SEQ Figure \* ARABIC</w:instrText>
      </w:r>
      <w:r>
        <w:fldChar w:fldCharType="separate"/>
      </w:r>
      <w:r w:rsidR="006C6044">
        <w:rPr>
          <w:noProof/>
        </w:rPr>
        <w:t>8</w:t>
      </w:r>
      <w:r>
        <w:fldChar w:fldCharType="end"/>
      </w:r>
      <w:r>
        <w:t xml:space="preserve">: multi-RX simultaneous </w:t>
      </w:r>
      <w:r w:rsidR="00CD603B" w:rsidRPr="00CD603B">
        <w:t>reception of data from separate QCL-D sources</w:t>
      </w:r>
    </w:p>
    <w:p w14:paraId="581CD98D" w14:textId="77777777" w:rsidR="002258F5" w:rsidRPr="00C757B4" w:rsidRDefault="002258F5" w:rsidP="001B24F4">
      <w:pPr>
        <w:pStyle w:val="ListParagraph"/>
        <w:numPr>
          <w:ilvl w:val="0"/>
          <w:numId w:val="31"/>
        </w:numPr>
        <w:spacing w:after="120" w:line="240" w:lineRule="auto"/>
        <w:contextualSpacing w:val="0"/>
        <w:rPr>
          <w:bCs/>
          <w:iCs/>
          <w:sz w:val="18"/>
          <w:szCs w:val="18"/>
        </w:rPr>
      </w:pPr>
      <w:bookmarkStart w:id="31" w:name="_Toc118729471"/>
      <w:r w:rsidRPr="00C757B4">
        <w:rPr>
          <w:bCs/>
          <w:iCs/>
          <w:sz w:val="18"/>
          <w:szCs w:val="18"/>
        </w:rPr>
        <w:t>Simultaneous data and L3 /L1 measurements:</w:t>
      </w:r>
      <w:bookmarkEnd w:id="31"/>
    </w:p>
    <w:p w14:paraId="65D2ED35" w14:textId="77777777" w:rsidR="002258F5" w:rsidRPr="00C757B4" w:rsidRDefault="002258F5" w:rsidP="00161528">
      <w:pPr>
        <w:pStyle w:val="ListParagraph"/>
        <w:numPr>
          <w:ilvl w:val="1"/>
          <w:numId w:val="31"/>
        </w:numPr>
        <w:spacing w:after="120" w:line="240" w:lineRule="auto"/>
        <w:contextualSpacing w:val="0"/>
        <w:rPr>
          <w:bCs/>
          <w:iCs/>
          <w:sz w:val="18"/>
          <w:szCs w:val="18"/>
        </w:rPr>
      </w:pPr>
      <w:bookmarkStart w:id="32" w:name="_Toc118729472"/>
      <w:r w:rsidRPr="00C757B4">
        <w:rPr>
          <w:bCs/>
          <w:iCs/>
          <w:sz w:val="18"/>
          <w:szCs w:val="18"/>
        </w:rPr>
        <w:t>L1 SSB + data</w:t>
      </w:r>
      <w:bookmarkEnd w:id="32"/>
    </w:p>
    <w:p w14:paraId="67E2F52D" w14:textId="77777777" w:rsidR="002258F5" w:rsidRPr="00C757B4" w:rsidRDefault="002258F5" w:rsidP="001B24F4">
      <w:pPr>
        <w:pStyle w:val="ListParagraph"/>
        <w:numPr>
          <w:ilvl w:val="1"/>
          <w:numId w:val="31"/>
        </w:numPr>
        <w:spacing w:after="120" w:line="240" w:lineRule="auto"/>
        <w:contextualSpacing w:val="0"/>
        <w:rPr>
          <w:bCs/>
          <w:iCs/>
          <w:sz w:val="18"/>
          <w:szCs w:val="18"/>
        </w:rPr>
      </w:pPr>
      <w:bookmarkStart w:id="33" w:name="_Toc118729473"/>
      <w:r w:rsidRPr="00C757B4">
        <w:rPr>
          <w:bCs/>
          <w:iCs/>
          <w:sz w:val="18"/>
          <w:szCs w:val="18"/>
        </w:rPr>
        <w:t>L1 CSI-RS + data</w:t>
      </w:r>
      <w:bookmarkEnd w:id="33"/>
    </w:p>
    <w:p w14:paraId="08E4A0E8" w14:textId="77777777" w:rsidR="002258F5" w:rsidRPr="00C757B4" w:rsidRDefault="002258F5" w:rsidP="001B24F4">
      <w:pPr>
        <w:pStyle w:val="ListParagraph"/>
        <w:numPr>
          <w:ilvl w:val="1"/>
          <w:numId w:val="31"/>
        </w:numPr>
        <w:spacing w:after="120" w:line="240" w:lineRule="auto"/>
        <w:contextualSpacing w:val="0"/>
        <w:rPr>
          <w:bCs/>
          <w:iCs/>
          <w:sz w:val="18"/>
          <w:szCs w:val="18"/>
        </w:rPr>
      </w:pPr>
      <w:bookmarkStart w:id="34" w:name="_Toc118729474"/>
      <w:r w:rsidRPr="00C757B4">
        <w:rPr>
          <w:bCs/>
          <w:iCs/>
          <w:sz w:val="18"/>
          <w:szCs w:val="18"/>
        </w:rPr>
        <w:t>L3 SSB + data</w:t>
      </w:r>
      <w:bookmarkEnd w:id="34"/>
    </w:p>
    <w:p w14:paraId="0175B960" w14:textId="77777777" w:rsidR="00AA5C5E" w:rsidRDefault="00AA5C5E" w:rsidP="00AA5C5E">
      <w:pPr>
        <w:spacing w:after="120" w:line="240" w:lineRule="auto"/>
        <w:rPr>
          <w:rFonts w:eastAsia="SimSun"/>
          <w:color w:val="0070C0"/>
          <w:szCs w:val="24"/>
          <w:lang w:eastAsia="zh-CN"/>
        </w:rPr>
      </w:pPr>
    </w:p>
    <w:p w14:paraId="63A96114" w14:textId="782CDD0B" w:rsidR="00B8093C" w:rsidRDefault="00AA5C5E" w:rsidP="00161528">
      <w:pPr>
        <w:keepNext/>
        <w:tabs>
          <w:tab w:val="left" w:pos="7941"/>
        </w:tabs>
        <w:spacing w:after="120" w:line="240" w:lineRule="auto"/>
        <w:ind w:left="2160"/>
      </w:pPr>
      <w:r>
        <w:rPr>
          <w:rFonts w:eastAsia="SimSun"/>
          <w:color w:val="0070C0"/>
          <w:szCs w:val="24"/>
          <w:lang w:eastAsia="zh-CN"/>
        </w:rPr>
        <w:t xml:space="preserve">         </w:t>
      </w:r>
    </w:p>
    <w:p w14:paraId="21833230" w14:textId="0F1A1F3B" w:rsidR="00161528" w:rsidRDefault="00B8093C" w:rsidP="00161528">
      <w:pPr>
        <w:keepNext/>
        <w:tabs>
          <w:tab w:val="left" w:pos="7941"/>
        </w:tabs>
        <w:spacing w:after="120" w:line="240" w:lineRule="auto"/>
        <w:ind w:left="2160"/>
      </w:pPr>
      <w:r w:rsidRPr="00B8093C">
        <w:rPr>
          <w:noProof/>
        </w:rPr>
        <w:drawing>
          <wp:inline distT="0" distB="0" distL="0" distR="0" wp14:anchorId="7B165A91" wp14:editId="52909111">
            <wp:extent cx="2085975" cy="2105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85975" cy="2105025"/>
                    </a:xfrm>
                    <a:prstGeom prst="rect">
                      <a:avLst/>
                    </a:prstGeom>
                    <a:noFill/>
                    <a:ln>
                      <a:noFill/>
                    </a:ln>
                  </pic:spPr>
                </pic:pic>
              </a:graphicData>
            </a:graphic>
          </wp:inline>
        </w:drawing>
      </w:r>
      <w:r w:rsidR="00161528">
        <w:tab/>
      </w:r>
    </w:p>
    <w:p w14:paraId="1F2AC2F1" w14:textId="2FC796B2" w:rsidR="00AA5C5E" w:rsidRDefault="00161528" w:rsidP="00161528">
      <w:pPr>
        <w:pStyle w:val="Caption"/>
        <w:ind w:left="2160"/>
        <w:jc w:val="left"/>
      </w:pPr>
      <w:r>
        <w:t xml:space="preserve">Figure </w:t>
      </w:r>
      <w:r w:rsidR="00E912E8">
        <w:t xml:space="preserve">8 </w:t>
      </w:r>
      <w:r>
        <w:fldChar w:fldCharType="begin"/>
      </w:r>
      <w:r>
        <w:instrText>SEQ Figure \* ARABIC</w:instrText>
      </w:r>
      <w:r>
        <w:fldChar w:fldCharType="separate"/>
      </w:r>
      <w:r w:rsidR="006C6044">
        <w:rPr>
          <w:noProof/>
        </w:rPr>
        <w:t>9</w:t>
      </w:r>
      <w:r>
        <w:fldChar w:fldCharType="end"/>
      </w:r>
      <w:r w:rsidR="00484FC0">
        <w:t>: multi-RX simultaneous L1 measurements (L3 SSB + data)</w:t>
      </w:r>
    </w:p>
    <w:p w14:paraId="135E20B5" w14:textId="1D303794" w:rsidR="00836B2E" w:rsidRDefault="001C2E19" w:rsidP="00836B2E">
      <w:r>
        <w:t xml:space="preserve">Considering the scenarios above, the UE might be using </w:t>
      </w:r>
      <w:r w:rsidDel="00011B7B">
        <w:t>multi</w:t>
      </w:r>
      <w:r w:rsidR="00011B7B">
        <w:t>-Rx</w:t>
      </w:r>
      <w:r>
        <w:t xml:space="preserve"> </w:t>
      </w:r>
      <w:r w:rsidR="00AC13D7">
        <w:t xml:space="preserve">for </w:t>
      </w:r>
      <w:r w:rsidR="008746C6">
        <w:t xml:space="preserve">receiving data with an increased number of layers, for performing faster measurements, or for </w:t>
      </w:r>
      <w:r w:rsidR="00804430">
        <w:t xml:space="preserve">reduction of scheduling restrictions. In some of those cases, those enhancements </w:t>
      </w:r>
      <w:r w:rsidR="00D34E7F">
        <w:t>may be only needed when the UE has higher traffic demands</w:t>
      </w:r>
      <w:r w:rsidR="00A25519">
        <w:t xml:space="preserve">, or they may be avoided when the UE </w:t>
      </w:r>
      <w:r w:rsidR="00D8324E">
        <w:t xml:space="preserve">needs to save power. It is clear that some of those enhancements can </w:t>
      </w:r>
      <w:r w:rsidR="00726021">
        <w:t xml:space="preserve">push higher power consumption demand form the UE, and therefore </w:t>
      </w:r>
      <w:r w:rsidR="003A6DF3">
        <w:t>some flexibility on enabling and/or disabling those is desirable.</w:t>
      </w:r>
      <w:r w:rsidR="00836B2E">
        <w:t xml:space="preserve"> We understand that RRM enhancements may provide important benefits in the sense of optimizing UE and network performance. However, such improvements may not always justify UE always being required to use </w:t>
      </w:r>
      <w:r w:rsidR="00836B2E" w:rsidDel="00011B7B">
        <w:t>multi</w:t>
      </w:r>
      <w:r w:rsidR="00011B7B">
        <w:t>-Rx</w:t>
      </w:r>
      <w:r w:rsidR="00836B2E">
        <w:t xml:space="preserve"> reception. </w:t>
      </w:r>
    </w:p>
    <w:p w14:paraId="1D198763" w14:textId="77777777" w:rsidR="00836B2E" w:rsidRDefault="00836B2E" w:rsidP="00B256E6">
      <w:pPr>
        <w:pStyle w:val="RAN4observation0"/>
        <w:jc w:val="both"/>
      </w:pPr>
      <w:bookmarkStart w:id="35" w:name="_Toc118729486"/>
      <w:bookmarkStart w:id="36" w:name="_Toc127525209"/>
      <w:r>
        <w:t xml:space="preserve">Reduction of </w:t>
      </w:r>
      <w:r w:rsidRPr="0042341B">
        <w:t>scheduling</w:t>
      </w:r>
      <w:r>
        <w:t xml:space="preserve"> restrictions can enhance throughput and reduce of latency in data reception.</w:t>
      </w:r>
      <w:bookmarkEnd w:id="35"/>
      <w:bookmarkEnd w:id="36"/>
      <w:r>
        <w:t xml:space="preserve"> </w:t>
      </w:r>
    </w:p>
    <w:p w14:paraId="719DF63F" w14:textId="0B4F7E04" w:rsidR="00836B2E" w:rsidRPr="00CA6AFB" w:rsidRDefault="00836B2E" w:rsidP="00B256E6">
      <w:pPr>
        <w:pStyle w:val="RAN4observation0"/>
        <w:ind w:left="0" w:firstLine="0"/>
        <w:jc w:val="both"/>
      </w:pPr>
      <w:bookmarkStart w:id="37" w:name="_Toc127525210"/>
      <w:r>
        <w:rPr>
          <w:rStyle w:val="ui-provider"/>
        </w:rPr>
        <w:t>In a multi-TCI, multi-TRP scenario, if the AoA separation between data reception and the measurement RS is sufficient, then multi-RX UE should be able to simultaneously receive data and perform L1/L3 measurements.</w:t>
      </w:r>
      <w:bookmarkEnd w:id="37"/>
    </w:p>
    <w:p w14:paraId="78E4D9C9" w14:textId="40F1D4F1" w:rsidR="00836B2E" w:rsidRDefault="00836B2E" w:rsidP="00836B2E">
      <w:pPr>
        <w:pStyle w:val="RAN4proposal"/>
      </w:pPr>
      <w:bookmarkStart w:id="38" w:name="_Toc118729488"/>
      <w:bookmarkStart w:id="39" w:name="_Toc127525211"/>
      <w:r w:rsidRPr="00637DC9">
        <w:t>RAN4 to study if use of single Rx chain or multiple Rx chain can be adapted over time</w:t>
      </w:r>
      <w:r>
        <w:t>.</w:t>
      </w:r>
      <w:bookmarkEnd w:id="38"/>
      <w:bookmarkEnd w:id="39"/>
      <w:r>
        <w:t xml:space="preserve"> </w:t>
      </w:r>
    </w:p>
    <w:p w14:paraId="23602CF2" w14:textId="77777777" w:rsidR="00836B2E" w:rsidRDefault="00836B2E" w:rsidP="00836B2E">
      <w:pPr>
        <w:pStyle w:val="RAN4proposal"/>
      </w:pPr>
      <w:bookmarkStart w:id="40" w:name="_Toc118393439"/>
      <w:bookmarkStart w:id="41" w:name="_Toc127525212"/>
      <w:r>
        <w:t>A UE capable of multi-Rx reception and the network should be aware of when the UE is using 2 Rx chains for reducing measurement times or reducing scheduling restrictions or when it is using a single Rx chain.</w:t>
      </w:r>
      <w:bookmarkEnd w:id="40"/>
      <w:bookmarkEnd w:id="41"/>
      <w:r>
        <w:t xml:space="preserve"> </w:t>
      </w:r>
    </w:p>
    <w:p w14:paraId="02CCE49E" w14:textId="19D0AC36" w:rsidR="00EB7C83" w:rsidRDefault="00E467DC" w:rsidP="003F0CCA">
      <w:pPr>
        <w:pStyle w:val="RAN4proposal"/>
      </w:pPr>
      <w:bookmarkStart w:id="42" w:name="_Toc127525213"/>
      <w:r>
        <w:t xml:space="preserve">RAN4 to discuss new signaling for </w:t>
      </w:r>
      <w:r w:rsidR="0069143A">
        <w:t>UE indication of use of 2 Rx chains</w:t>
      </w:r>
      <w:r w:rsidR="00906AE3">
        <w:t>.</w:t>
      </w:r>
      <w:bookmarkEnd w:id="42"/>
    </w:p>
    <w:p w14:paraId="64D0ED2A" w14:textId="0F550800" w:rsidR="00EB7C83" w:rsidRDefault="00C46CA7" w:rsidP="003F0CCA">
      <w:pPr>
        <w:pStyle w:val="RAN4H2"/>
        <w:ind w:left="0" w:firstLine="0"/>
      </w:pPr>
      <w:r w:rsidRPr="00C46CA7">
        <w:t>UE capability</w:t>
      </w:r>
    </w:p>
    <w:p w14:paraId="056F25E1" w14:textId="27CDD7BE" w:rsidR="00C62561" w:rsidRPr="007B6C1E" w:rsidRDefault="00C93EC7" w:rsidP="00F55EE7">
      <w:pPr>
        <w:jc w:val="both"/>
        <w:rPr>
          <w:sz w:val="18"/>
          <w:szCs w:val="18"/>
        </w:rPr>
      </w:pPr>
      <w:r w:rsidRPr="007B6C1E">
        <w:rPr>
          <w:sz w:val="18"/>
          <w:szCs w:val="18"/>
        </w:rPr>
        <w:t xml:space="preserve">In section 2.1, we proposed that R-18 multi-Rx UEs should be capable of supporting both </w:t>
      </w:r>
      <w:r w:rsidR="00527413" w:rsidRPr="007B6C1E">
        <w:rPr>
          <w:sz w:val="18"/>
          <w:szCs w:val="18"/>
        </w:rPr>
        <w:t xml:space="preserve">single-DCI and multi-DCI modes of operation in a multi-TRP scenario. In section 2.2, </w:t>
      </w:r>
      <w:r w:rsidR="00866A05" w:rsidRPr="007B6C1E">
        <w:rPr>
          <w:sz w:val="18"/>
          <w:szCs w:val="18"/>
        </w:rPr>
        <w:t>we proposed that</w:t>
      </w:r>
      <w:r w:rsidR="00527413" w:rsidRPr="007B6C1E">
        <w:rPr>
          <w:sz w:val="18"/>
          <w:szCs w:val="18"/>
        </w:rPr>
        <w:t xml:space="preserve"> group-based Beam reporting </w:t>
      </w:r>
      <w:r w:rsidR="008A2C37" w:rsidRPr="007B6C1E">
        <w:rPr>
          <w:sz w:val="18"/>
          <w:szCs w:val="18"/>
        </w:rPr>
        <w:t xml:space="preserve">should be mandatory </w:t>
      </w:r>
      <w:r w:rsidR="00866A05" w:rsidRPr="007B6C1E">
        <w:rPr>
          <w:sz w:val="18"/>
          <w:szCs w:val="18"/>
        </w:rPr>
        <w:t>for both single-DCI and multi-DCI modes of operation.</w:t>
      </w:r>
    </w:p>
    <w:p w14:paraId="4386A86E" w14:textId="02E32239" w:rsidR="008A2C37" w:rsidRPr="00B64FF1" w:rsidRDefault="00036972" w:rsidP="003F0CCA">
      <w:pPr>
        <w:pStyle w:val="RAN4proposal"/>
      </w:pPr>
      <w:bookmarkStart w:id="43" w:name="_Toc127525214"/>
      <w:r>
        <w:t xml:space="preserve">RAN4 to consider Rel-17 Group-based beam reporting </w:t>
      </w:r>
      <w:r w:rsidR="00841839">
        <w:t>as a pre-requisite</w:t>
      </w:r>
      <w:r>
        <w:t xml:space="preserve"> for multi-Rx </w:t>
      </w:r>
      <w:r w:rsidR="006427E4">
        <w:t>capability</w:t>
      </w:r>
      <w:r w:rsidR="00BD35F7">
        <w:t>.</w:t>
      </w:r>
      <w:bookmarkEnd w:id="43"/>
    </w:p>
    <w:p w14:paraId="0CB96DA4" w14:textId="25AEA8E4" w:rsidR="00547EDE" w:rsidRPr="007B6C1E" w:rsidRDefault="001A607A" w:rsidP="00F55EE7">
      <w:pPr>
        <w:jc w:val="both"/>
        <w:rPr>
          <w:sz w:val="18"/>
          <w:szCs w:val="18"/>
          <w:lang w:val="en-GB"/>
        </w:rPr>
      </w:pPr>
      <w:r w:rsidRPr="007B6C1E">
        <w:rPr>
          <w:sz w:val="18"/>
          <w:szCs w:val="18"/>
          <w:lang w:val="en-GB"/>
        </w:rPr>
        <w:t xml:space="preserve">In section 2.4, </w:t>
      </w:r>
      <w:r w:rsidR="005D72F4" w:rsidRPr="007B6C1E">
        <w:rPr>
          <w:sz w:val="18"/>
          <w:szCs w:val="18"/>
          <w:lang w:val="en-GB"/>
        </w:rPr>
        <w:t xml:space="preserve">we proposed modes of simultaneous reception that should be supported for </w:t>
      </w:r>
      <w:r w:rsidR="00102348" w:rsidRPr="007B6C1E">
        <w:rPr>
          <w:sz w:val="18"/>
          <w:szCs w:val="18"/>
          <w:lang w:val="en-GB"/>
        </w:rPr>
        <w:t>R-18 multi-Rx UEs</w:t>
      </w:r>
      <w:r w:rsidR="00164AB4" w:rsidRPr="007B6C1E">
        <w:rPr>
          <w:sz w:val="18"/>
          <w:szCs w:val="18"/>
          <w:lang w:val="en-GB"/>
        </w:rPr>
        <w:t xml:space="preserve">. An important set of </w:t>
      </w:r>
      <w:r w:rsidR="00C65267" w:rsidRPr="007B6C1E">
        <w:rPr>
          <w:sz w:val="18"/>
          <w:szCs w:val="18"/>
          <w:lang w:val="en-GB"/>
        </w:rPr>
        <w:t xml:space="preserve">simultaneous reception </w:t>
      </w:r>
      <w:r w:rsidR="00164AB4" w:rsidRPr="007B6C1E">
        <w:rPr>
          <w:sz w:val="18"/>
          <w:szCs w:val="18"/>
          <w:lang w:val="en-GB"/>
        </w:rPr>
        <w:t xml:space="preserve">modes for RRM enhancements </w:t>
      </w:r>
      <w:r w:rsidR="00C65267" w:rsidRPr="007B6C1E">
        <w:rPr>
          <w:sz w:val="18"/>
          <w:szCs w:val="18"/>
          <w:lang w:val="en-GB"/>
        </w:rPr>
        <w:t>are those involving</w:t>
      </w:r>
      <w:r w:rsidR="00164AB4" w:rsidRPr="007B6C1E">
        <w:rPr>
          <w:sz w:val="18"/>
          <w:szCs w:val="18"/>
          <w:lang w:val="en-GB"/>
        </w:rPr>
        <w:t xml:space="preserve"> simultaneous data</w:t>
      </w:r>
      <w:r w:rsidR="00C65267" w:rsidRPr="007B6C1E">
        <w:rPr>
          <w:sz w:val="18"/>
          <w:szCs w:val="18"/>
          <w:lang w:val="en-GB"/>
        </w:rPr>
        <w:t xml:space="preserve"> reception</w:t>
      </w:r>
      <w:r w:rsidR="00164AB4" w:rsidRPr="007B6C1E">
        <w:rPr>
          <w:sz w:val="18"/>
          <w:szCs w:val="18"/>
          <w:lang w:val="en-GB"/>
        </w:rPr>
        <w:t xml:space="preserve"> and RS measurements.</w:t>
      </w:r>
    </w:p>
    <w:p w14:paraId="463D8171" w14:textId="318A9100" w:rsidR="00164AB4" w:rsidRDefault="00164AB4" w:rsidP="00B256E6">
      <w:pPr>
        <w:pStyle w:val="RAN4Observation"/>
        <w:ind w:left="0" w:firstLine="0"/>
        <w:jc w:val="both"/>
      </w:pPr>
      <w:r w:rsidRPr="00B256E6">
        <w:t>simultaneousReceptionDiffTypeD</w:t>
      </w:r>
      <w:r w:rsidRPr="7CB9432D">
        <w:rPr>
          <w:rFonts w:eastAsiaTheme="minorEastAsia" w:cstheme="minorBidi"/>
          <w:lang w:val="en-US"/>
        </w:rPr>
        <w:t>-r16</w:t>
      </w:r>
      <w:r>
        <w:t xml:space="preserve"> is a UE capability intended </w:t>
      </w:r>
      <w:r w:rsidR="00803764">
        <w:t xml:space="preserve">to indicate simultaneous data reception from different QCL-D sources. </w:t>
      </w:r>
      <w:r w:rsidR="00C8067D">
        <w:t>To s</w:t>
      </w:r>
      <w:r w:rsidR="00AE6B01">
        <w:t xml:space="preserve">upport </w:t>
      </w:r>
      <w:r w:rsidR="003334C1">
        <w:t>other simultaneous reception modes a new UE capability is required.</w:t>
      </w:r>
    </w:p>
    <w:p w14:paraId="4915FABC" w14:textId="2734DFE8" w:rsidR="00030427" w:rsidRPr="00DC66F7" w:rsidRDefault="00FE6296" w:rsidP="008B2804">
      <w:pPr>
        <w:pStyle w:val="RAN4proposal"/>
        <w:jc w:val="both"/>
      </w:pPr>
      <w:bookmarkStart w:id="44" w:name="_Toc127525215"/>
      <w:r w:rsidRPr="00563DBC">
        <w:t xml:space="preserve">To support R-18 multi-Rx DL </w:t>
      </w:r>
      <w:r w:rsidR="006828EB">
        <w:t>simultaneous reception modes</w:t>
      </w:r>
      <w:r w:rsidR="004420A2">
        <w:t xml:space="preserve">, </w:t>
      </w:r>
      <w:r w:rsidR="00527BBA">
        <w:t>an additional UE capability shall be defined</w:t>
      </w:r>
      <w:r w:rsidR="007B6C1E">
        <w:t>.</w:t>
      </w:r>
      <w:bookmarkEnd w:id="44"/>
    </w:p>
    <w:p w14:paraId="4A370B4D" w14:textId="4CFBC917" w:rsidR="0054450A" w:rsidRDefault="008A5B1F" w:rsidP="00FE564E">
      <w:pPr>
        <w:tabs>
          <w:tab w:val="left" w:pos="4395"/>
        </w:tabs>
      </w:pPr>
      <w:r>
        <w:t>As for the MRTD/MTTD capabilities, it has been already discussed as part of the MIMO_evolution_UL_DL that a new UE capability would be defined related to</w:t>
      </w:r>
      <w:r w:rsidR="00DE612D">
        <w:t xml:space="preserve"> maximum supported RTD. </w:t>
      </w:r>
      <w:r w:rsidR="0054450A">
        <w:t>RAN4 discussed this topic and in RAN4 #104bis, the following has been agreed in the WF</w:t>
      </w:r>
      <w:r w:rsidR="0054450A">
        <w:fldChar w:fldCharType="begin"/>
      </w:r>
      <w:r w:rsidR="0054450A">
        <w:instrText xml:space="preserve"> REF _Ref117254984 \r \h </w:instrText>
      </w:r>
      <w:r w:rsidR="0054450A">
        <w:fldChar w:fldCharType="separate"/>
      </w:r>
      <w:r w:rsidR="0054450A">
        <w:t>[</w:t>
      </w:r>
      <w:r w:rsidR="00B6662F">
        <w:t>15</w:t>
      </w:r>
      <w:r w:rsidR="0054450A">
        <w:t>]</w:t>
      </w:r>
      <w:r w:rsidR="0054450A">
        <w:fldChar w:fldCharType="end"/>
      </w:r>
      <w:r w:rsidR="0054450A">
        <w:t xml:space="preserve">: </w:t>
      </w:r>
    </w:p>
    <w:tbl>
      <w:tblPr>
        <w:tblStyle w:val="TableGrid"/>
        <w:tblW w:w="0" w:type="auto"/>
        <w:tblLook w:val="04A0" w:firstRow="1" w:lastRow="0" w:firstColumn="1" w:lastColumn="0" w:noHBand="0" w:noVBand="1"/>
      </w:tblPr>
      <w:tblGrid>
        <w:gridCol w:w="9617"/>
      </w:tblGrid>
      <w:tr w:rsidR="0054450A" w14:paraId="2EB40FC5" w14:textId="77777777" w:rsidTr="003F022E">
        <w:tc>
          <w:tcPr>
            <w:tcW w:w="9617" w:type="dxa"/>
          </w:tcPr>
          <w:p w14:paraId="3CB972EC" w14:textId="77777777" w:rsidR="0054450A" w:rsidRPr="00FA2CDA" w:rsidRDefault="0054450A" w:rsidP="003F022E">
            <w:pPr>
              <w:spacing w:after="180"/>
              <w:ind w:left="540"/>
              <w:rPr>
                <w:rFonts w:eastAsia="Times New Roman" w:cs="Times New Roman"/>
                <w:color w:val="000000"/>
                <w:szCs w:val="20"/>
                <w:lang w:val="en-GB" w:eastAsia="da-DK"/>
              </w:rPr>
            </w:pPr>
            <w:r w:rsidRPr="00FA2CDA">
              <w:rPr>
                <w:rFonts w:eastAsia="Times New Roman" w:cs="Times New Roman"/>
                <w:b/>
                <w:bCs/>
                <w:color w:val="000000"/>
                <w:szCs w:val="20"/>
                <w:u w:val="single"/>
                <w:lang w:val="en-GB" w:eastAsia="da-DK"/>
              </w:rPr>
              <w:t>Issue 1-3: MRTD/MTTD requirement for multi-DCI multi-TRP operation in FR2</w:t>
            </w:r>
          </w:p>
          <w:p w14:paraId="317A9B6E" w14:textId="77777777" w:rsidR="0054450A" w:rsidRPr="00FA2CDA" w:rsidRDefault="0054450A" w:rsidP="003F022E">
            <w:pPr>
              <w:spacing w:after="180"/>
              <w:ind w:left="540"/>
              <w:rPr>
                <w:rFonts w:eastAsia="Times New Roman" w:cs="Times New Roman"/>
                <w:color w:val="000000"/>
                <w:szCs w:val="20"/>
                <w:lang w:val="en-GB" w:eastAsia="da-DK"/>
              </w:rPr>
            </w:pPr>
            <w:r w:rsidRPr="00FA2CDA">
              <w:rPr>
                <w:rFonts w:eastAsia="Times New Roman" w:cs="Times New Roman"/>
                <w:b/>
                <w:bCs/>
                <w:color w:val="000000"/>
                <w:szCs w:val="20"/>
                <w:lang w:val="en-GB" w:eastAsia="da-DK"/>
              </w:rPr>
              <w:t>Agreements:</w:t>
            </w:r>
          </w:p>
          <w:p w14:paraId="47A9A0AE" w14:textId="77777777" w:rsidR="0054450A" w:rsidRPr="00FA2CDA" w:rsidRDefault="0054450A" w:rsidP="0054450A">
            <w:pPr>
              <w:numPr>
                <w:ilvl w:val="0"/>
                <w:numId w:val="39"/>
              </w:numPr>
              <w:spacing w:after="120"/>
              <w:textAlignment w:val="center"/>
              <w:rPr>
                <w:rFonts w:ascii="Calibri" w:eastAsia="Times New Roman" w:hAnsi="Calibri" w:cs="Calibri"/>
                <w:sz w:val="22"/>
                <w:lang w:val="en-GB" w:eastAsia="da-DK"/>
              </w:rPr>
            </w:pPr>
            <w:r w:rsidRPr="00FA2CDA">
              <w:rPr>
                <w:rFonts w:eastAsia="Times New Roman" w:cs="Times New Roman"/>
                <w:color w:val="000000"/>
                <w:szCs w:val="20"/>
                <w:lang w:val="en-GB" w:eastAsia="da-DK"/>
              </w:rPr>
              <w:t>For both intra-cell and inter-cell multi-TRP, the MRTD between multiple TRPs can be assumed within a CP length as baseline. MTTD can be CP + M2 µs for FR2. Where M2 is FFS.</w:t>
            </w:r>
          </w:p>
          <w:p w14:paraId="51860542" w14:textId="77777777" w:rsidR="0054450A" w:rsidRPr="00FA2CDA" w:rsidRDefault="0054450A" w:rsidP="0054450A">
            <w:pPr>
              <w:numPr>
                <w:ilvl w:val="1"/>
                <w:numId w:val="39"/>
              </w:numPr>
              <w:spacing w:after="120"/>
              <w:textAlignment w:val="center"/>
              <w:rPr>
                <w:rFonts w:ascii="Calibri" w:eastAsia="Times New Roman" w:hAnsi="Calibri" w:cs="Calibri"/>
                <w:sz w:val="22"/>
                <w:lang w:val="en-GB" w:eastAsia="da-DK"/>
              </w:rPr>
            </w:pPr>
            <w:r w:rsidRPr="00FA2CDA">
              <w:rPr>
                <w:rFonts w:eastAsia="Times New Roman" w:cs="Times New Roman"/>
                <w:color w:val="000000"/>
                <w:szCs w:val="20"/>
                <w:lang w:val="en-GB" w:eastAsia="da-DK"/>
              </w:rPr>
              <w:t>FFS whether transient period between 2 UL signals associated with 2 different TAs needs to be considered</w:t>
            </w:r>
          </w:p>
          <w:p w14:paraId="1D848AD9" w14:textId="77777777" w:rsidR="0054450A" w:rsidRPr="00FA2CDA" w:rsidRDefault="0054450A" w:rsidP="0054450A">
            <w:pPr>
              <w:numPr>
                <w:ilvl w:val="0"/>
                <w:numId w:val="39"/>
              </w:numPr>
              <w:spacing w:after="120"/>
              <w:textAlignment w:val="center"/>
              <w:rPr>
                <w:rFonts w:ascii="Calibri" w:eastAsia="Times New Roman" w:hAnsi="Calibri" w:cs="Calibri"/>
                <w:sz w:val="22"/>
                <w:lang w:val="en-GB" w:eastAsia="da-DK"/>
              </w:rPr>
            </w:pPr>
            <w:r w:rsidRPr="3DAE1AD1">
              <w:rPr>
                <w:rFonts w:eastAsia="Times New Roman" w:cs="Times New Roman"/>
                <w:color w:val="000000" w:themeColor="text1"/>
                <w:lang w:val="en-GB" w:eastAsia="da-DK"/>
              </w:rPr>
              <w:t>For a UE capable of supporting RTD&gt;CP (as an optional UE capability), MRTD/MTTD value is 8/8.5 µs.</w:t>
            </w:r>
          </w:p>
          <w:p w14:paraId="00CF6075" w14:textId="77777777" w:rsidR="0054450A" w:rsidRPr="00FA2CDA" w:rsidRDefault="0054450A" w:rsidP="003F022E">
            <w:pPr>
              <w:rPr>
                <w:lang w:val="en-GB"/>
              </w:rPr>
            </w:pPr>
          </w:p>
        </w:tc>
      </w:tr>
    </w:tbl>
    <w:p w14:paraId="4BDF2263" w14:textId="77777777" w:rsidR="0054450A" w:rsidRDefault="0054450A" w:rsidP="008B2804">
      <w:pPr>
        <w:jc w:val="both"/>
      </w:pPr>
    </w:p>
    <w:p w14:paraId="0C3F0BD8" w14:textId="323ACA22" w:rsidR="00DE612D" w:rsidRDefault="00DE612D" w:rsidP="008B2804">
      <w:pPr>
        <w:jc w:val="both"/>
      </w:pPr>
      <w:r>
        <w:t xml:space="preserve">As part of the agreement above, </w:t>
      </w:r>
      <w:r w:rsidR="002305C1">
        <w:t xml:space="preserve">a new UE capability related to supporting RTD&gt;CP is to </w:t>
      </w:r>
      <w:r w:rsidR="00090842">
        <w:t xml:space="preserve">be defined. </w:t>
      </w:r>
      <w:r w:rsidR="00EE30B4">
        <w:t xml:space="preserve">Even though the motivation for such a feature is for the UL transmission in MIMO_evo, the same reasoning regarding deployment impact </w:t>
      </w:r>
      <w:r w:rsidR="00C01D7B">
        <w:t xml:space="preserve">for supporting RTD&gt;CP applies for all the multi TRP scenarios. </w:t>
      </w:r>
    </w:p>
    <w:p w14:paraId="7AF287E0" w14:textId="1067183B" w:rsidR="00C01D7B" w:rsidRDefault="00C01D7B" w:rsidP="00FE564E">
      <w:pPr>
        <w:pStyle w:val="RAN4observation0"/>
        <w:ind w:left="0" w:firstLine="0"/>
      </w:pPr>
      <w:bookmarkStart w:id="45" w:name="_Toc127525216"/>
      <w:r>
        <w:t>As part of MIMO_evo_UL_DL it was decided to define a new UE capability related to supporting RTD&gt;CP.</w:t>
      </w:r>
      <w:bookmarkEnd w:id="45"/>
      <w:r>
        <w:t xml:space="preserve"> </w:t>
      </w:r>
    </w:p>
    <w:p w14:paraId="468228E0" w14:textId="53AF5C83" w:rsidR="006F7104" w:rsidRDefault="00090842" w:rsidP="005F565D">
      <w:pPr>
        <w:pStyle w:val="RAN4proposal"/>
      </w:pPr>
      <w:bookmarkStart w:id="46" w:name="_Toc127525217"/>
      <w:r>
        <w:t xml:space="preserve">RAN4 to reuse UE capability to be defined as part of </w:t>
      </w:r>
      <w:r w:rsidR="00AC250A" w:rsidRPr="00AC250A">
        <w:t>NR_MIMO_evo_DL_UL</w:t>
      </w:r>
      <w:r w:rsidR="00AC250A">
        <w:t xml:space="preserve"> for UE capable of supporting RTD&gt;CP as part of the </w:t>
      </w:r>
      <w:r w:rsidR="00AC250A" w:rsidDel="009B3910">
        <w:t>multi</w:t>
      </w:r>
      <w:r w:rsidR="009B3910">
        <w:t>-Rx</w:t>
      </w:r>
      <w:r w:rsidR="00EE30B4">
        <w:t xml:space="preserve"> work.</w:t>
      </w:r>
      <w:bookmarkEnd w:id="46"/>
      <w:r w:rsidR="00EE30B4">
        <w:t xml:space="preserve"> </w:t>
      </w:r>
    </w:p>
    <w:p w14:paraId="3AAE2F48" w14:textId="761F2C32" w:rsidR="0060543D" w:rsidRPr="000411E7" w:rsidRDefault="0060543D" w:rsidP="0060543D">
      <w:pPr>
        <w:rPr>
          <w:lang w:val="en-GB"/>
        </w:rPr>
      </w:pPr>
    </w:p>
    <w:p w14:paraId="4758B100" w14:textId="3352B763" w:rsidR="00CD7492" w:rsidRPr="00EF698B" w:rsidRDefault="00CD7492" w:rsidP="00A37002">
      <w:pPr>
        <w:pStyle w:val="RAN4H1"/>
        <w:rPr>
          <w:lang w:val="en-US"/>
        </w:rPr>
      </w:pPr>
      <w:bookmarkStart w:id="47" w:name="_Toc116995848"/>
      <w:r w:rsidRPr="00EF698B">
        <w:rPr>
          <w:lang w:val="en-US"/>
        </w:rPr>
        <w:t>Conclusion</w:t>
      </w:r>
      <w:bookmarkEnd w:id="47"/>
    </w:p>
    <w:p w14:paraId="308B30A8" w14:textId="374736D1" w:rsidR="008B0961" w:rsidRDefault="00B64EA9" w:rsidP="009A5011">
      <w:pPr>
        <w:jc w:val="both"/>
      </w:pPr>
      <w:r>
        <w:t xml:space="preserve">In this paper, </w:t>
      </w:r>
      <w:r w:rsidR="00CB424D">
        <w:t>R-18 multi-Rx UE architectures supporting Independent Beam Management</w:t>
      </w:r>
      <w:r w:rsidR="00465E60">
        <w:t xml:space="preserve">, </w:t>
      </w:r>
      <w:r w:rsidR="00501D92">
        <w:t>Group Based Beam reporting</w:t>
      </w:r>
      <w:r w:rsidR="00431E0B">
        <w:t xml:space="preserve">, </w:t>
      </w:r>
      <w:r w:rsidR="00501D92">
        <w:t>simultaneous data and measurement reception modes</w:t>
      </w:r>
      <w:r w:rsidR="00431E0B">
        <w:t xml:space="preserve"> and UE capabilities to support the</w:t>
      </w:r>
      <w:r w:rsidR="00EE6FA8">
        <w:t xml:space="preserve">m were analyzed and discussed. The following Observations and Proposals </w:t>
      </w:r>
      <w:r w:rsidR="009A5011">
        <w:t>are</w:t>
      </w:r>
      <w:r w:rsidR="00EE6FA8">
        <w:t xml:space="preserve"> made:</w:t>
      </w:r>
    </w:p>
    <w:p w14:paraId="02D3CB50" w14:textId="36E8F974" w:rsidR="000E33C4" w:rsidRDefault="00A4355E">
      <w:pPr>
        <w:pStyle w:val="TOC5"/>
        <w:rPr>
          <w:rFonts w:asciiTheme="minorHAnsi" w:eastAsiaTheme="minorEastAsia" w:hAnsiTheme="minorHAnsi"/>
          <w:b w:val="0"/>
          <w:noProof/>
          <w:sz w:val="22"/>
          <w:lang w:val="en-DK" w:eastAsia="en-DK"/>
        </w:rPr>
      </w:pPr>
      <w:r>
        <w:rPr>
          <w:i/>
        </w:rPr>
        <w:fldChar w:fldCharType="begin"/>
      </w:r>
      <w:r>
        <w:rPr>
          <w:i/>
          <w:iCs/>
          <w:noProof/>
          <w:u w:val="single"/>
        </w:rPr>
        <w:instrText xml:space="preserve"> TOC \n \h \z \t "RAN4 proposal,5,RAN4 observation,4" </w:instrText>
      </w:r>
      <w:r>
        <w:rPr>
          <w:i/>
        </w:rPr>
        <w:fldChar w:fldCharType="separate"/>
      </w:r>
      <w:hyperlink w:anchor="_Toc127525197" w:history="1">
        <w:r w:rsidR="000E33C4" w:rsidRPr="00391A11">
          <w:rPr>
            <w:rStyle w:val="Hyperlink"/>
            <w:noProof/>
          </w:rPr>
          <w:t>Proposal 1: Multi Rx architecture to assume that each Rx chain can process at an independent FFT window, and independent time tracking per Rx chain.</w:t>
        </w:r>
      </w:hyperlink>
    </w:p>
    <w:p w14:paraId="122B6893" w14:textId="5188CEB5" w:rsidR="000E33C4" w:rsidRDefault="00326378">
      <w:pPr>
        <w:pStyle w:val="TOC5"/>
        <w:rPr>
          <w:rFonts w:asciiTheme="minorHAnsi" w:eastAsiaTheme="minorEastAsia" w:hAnsiTheme="minorHAnsi"/>
          <w:b w:val="0"/>
          <w:noProof/>
          <w:sz w:val="22"/>
          <w:lang w:val="en-DK" w:eastAsia="en-DK"/>
        </w:rPr>
      </w:pPr>
      <w:hyperlink w:anchor="_Toc127525198" w:history="1">
        <w:r w:rsidR="000E33C4" w:rsidRPr="00391A11">
          <w:rPr>
            <w:rStyle w:val="Hyperlink"/>
            <w:noProof/>
          </w:rPr>
          <w:t>Proposal 2: Multi Rx architecture to assume that each Rx chain can perform independent demodulation and independent RRM measurements.</w:t>
        </w:r>
      </w:hyperlink>
    </w:p>
    <w:p w14:paraId="26577ED6" w14:textId="1C97DD7B" w:rsidR="000E33C4" w:rsidRDefault="00326378">
      <w:pPr>
        <w:pStyle w:val="TOC4"/>
        <w:tabs>
          <w:tab w:val="right" w:leader="dot" w:pos="9617"/>
        </w:tabs>
        <w:rPr>
          <w:rFonts w:asciiTheme="minorHAnsi" w:eastAsiaTheme="minorEastAsia" w:hAnsiTheme="minorHAnsi"/>
          <w:noProof/>
          <w:sz w:val="22"/>
          <w:lang w:val="en-DK" w:eastAsia="en-DK"/>
        </w:rPr>
      </w:pPr>
      <w:hyperlink w:anchor="_Toc127525199" w:history="1">
        <w:r w:rsidR="000E33C4" w:rsidRPr="00391A11">
          <w:rPr>
            <w:rStyle w:val="Hyperlink"/>
            <w:b/>
            <w:noProof/>
          </w:rPr>
          <w:t>Observation 2:</w:t>
        </w:r>
        <w:r w:rsidR="000E33C4" w:rsidRPr="00391A11">
          <w:rPr>
            <w:rStyle w:val="Hyperlink"/>
            <w:noProof/>
            <w:shd w:val="clear" w:color="auto" w:fill="FFFFFF"/>
          </w:rPr>
          <w:t xml:space="preserve"> Since the searchers may need independent control of the spatial filters, it can be assumed that IBM must be extended to intra-band multi-TRP scenarios.</w:t>
        </w:r>
      </w:hyperlink>
    </w:p>
    <w:p w14:paraId="05A9A167" w14:textId="0C436DFF" w:rsidR="000E33C4" w:rsidRDefault="00326378">
      <w:pPr>
        <w:pStyle w:val="TOC4"/>
        <w:tabs>
          <w:tab w:val="right" w:leader="dot" w:pos="9617"/>
        </w:tabs>
        <w:rPr>
          <w:rFonts w:asciiTheme="minorHAnsi" w:eastAsiaTheme="minorEastAsia" w:hAnsiTheme="minorHAnsi"/>
          <w:noProof/>
          <w:sz w:val="22"/>
          <w:lang w:val="en-DK" w:eastAsia="en-DK"/>
        </w:rPr>
      </w:pPr>
      <w:hyperlink w:anchor="_Toc127525200" w:history="1">
        <w:r w:rsidR="000E33C4" w:rsidRPr="00391A11">
          <w:rPr>
            <w:rStyle w:val="Hyperlink"/>
            <w:b/>
            <w:noProof/>
          </w:rPr>
          <w:t>Observation 3:</w:t>
        </w:r>
        <w:r w:rsidR="000E33C4" w:rsidRPr="00391A11">
          <w:rPr>
            <w:rStyle w:val="Hyperlink"/>
            <w:noProof/>
            <w:shd w:val="clear" w:color="auto" w:fill="FFFFFF"/>
          </w:rPr>
          <w:t xml:space="preserve"> Independent Beam Management on different Rx chains would improve RRM measurements.</w:t>
        </w:r>
      </w:hyperlink>
    </w:p>
    <w:p w14:paraId="57A18EBC" w14:textId="47623973" w:rsidR="000E33C4" w:rsidRDefault="00326378">
      <w:pPr>
        <w:pStyle w:val="TOC5"/>
        <w:rPr>
          <w:rFonts w:asciiTheme="minorHAnsi" w:eastAsiaTheme="minorEastAsia" w:hAnsiTheme="minorHAnsi"/>
          <w:b w:val="0"/>
          <w:noProof/>
          <w:sz w:val="22"/>
          <w:lang w:val="en-DK" w:eastAsia="en-DK"/>
        </w:rPr>
      </w:pPr>
      <w:hyperlink w:anchor="_Toc127525201" w:history="1">
        <w:r w:rsidR="000E33C4" w:rsidRPr="00391A11">
          <w:rPr>
            <w:rStyle w:val="Hyperlink"/>
            <w:noProof/>
            <w:lang w:val="en-GB"/>
          </w:rPr>
          <w:t>Proposal 3:</w:t>
        </w:r>
        <w:r w:rsidR="000E33C4" w:rsidRPr="00391A11">
          <w:rPr>
            <w:rStyle w:val="Hyperlink"/>
            <w:noProof/>
            <w:shd w:val="clear" w:color="auto" w:fill="FFFFFF"/>
          </w:rPr>
          <w:t xml:space="preserve"> RAN4 to define requirements assuming independent beam management across multiple Rx chains on the same carrier.</w:t>
        </w:r>
      </w:hyperlink>
    </w:p>
    <w:p w14:paraId="6BEDA37A" w14:textId="00C33F56" w:rsidR="000E33C4" w:rsidRDefault="00326378">
      <w:pPr>
        <w:pStyle w:val="TOC4"/>
        <w:tabs>
          <w:tab w:val="right" w:leader="dot" w:pos="9617"/>
        </w:tabs>
        <w:rPr>
          <w:rFonts w:asciiTheme="minorHAnsi" w:eastAsiaTheme="minorEastAsia" w:hAnsiTheme="minorHAnsi"/>
          <w:noProof/>
          <w:sz w:val="22"/>
          <w:lang w:val="en-DK" w:eastAsia="en-DK"/>
        </w:rPr>
      </w:pPr>
      <w:hyperlink w:anchor="_Toc127525202" w:history="1">
        <w:r w:rsidR="000E33C4" w:rsidRPr="00391A11">
          <w:rPr>
            <w:rStyle w:val="Hyperlink"/>
            <w:b/>
            <w:noProof/>
          </w:rPr>
          <w:t>Observation 6:</w:t>
        </w:r>
        <w:r w:rsidR="000E33C4" w:rsidRPr="00391A11">
          <w:rPr>
            <w:rStyle w:val="Hyperlink"/>
            <w:noProof/>
          </w:rPr>
          <w:t xml:space="preserve"> Group based beam reporting is not providing network with any indication regarding achievable rank of the reported pairs.</w:t>
        </w:r>
      </w:hyperlink>
    </w:p>
    <w:p w14:paraId="16A56FB7" w14:textId="003F513E" w:rsidR="000E33C4" w:rsidRDefault="00326378">
      <w:pPr>
        <w:pStyle w:val="TOC5"/>
        <w:rPr>
          <w:rFonts w:asciiTheme="minorHAnsi" w:eastAsiaTheme="minorEastAsia" w:hAnsiTheme="minorHAnsi"/>
          <w:b w:val="0"/>
          <w:noProof/>
          <w:sz w:val="22"/>
          <w:lang w:val="en-DK" w:eastAsia="en-DK"/>
        </w:rPr>
      </w:pPr>
      <w:hyperlink w:anchor="_Toc127525203" w:history="1">
        <w:r w:rsidR="000E33C4" w:rsidRPr="00391A11">
          <w:rPr>
            <w:rStyle w:val="Hyperlink"/>
            <w:noProof/>
            <w:lang w:val="en-GB"/>
          </w:rPr>
          <w:t>Proposal 4: Study how to provide network with UE indication of achievable rank of the beam pairs of the group-based beam reporting.</w:t>
        </w:r>
      </w:hyperlink>
    </w:p>
    <w:p w14:paraId="63BB84A3" w14:textId="17A03563" w:rsidR="000E33C4" w:rsidRDefault="00326378">
      <w:pPr>
        <w:pStyle w:val="TOC4"/>
        <w:tabs>
          <w:tab w:val="right" w:leader="dot" w:pos="9617"/>
        </w:tabs>
        <w:rPr>
          <w:rFonts w:asciiTheme="minorHAnsi" w:eastAsiaTheme="minorEastAsia" w:hAnsiTheme="minorHAnsi"/>
          <w:noProof/>
          <w:sz w:val="22"/>
          <w:lang w:val="en-DK" w:eastAsia="en-DK"/>
        </w:rPr>
      </w:pPr>
      <w:hyperlink w:anchor="_Toc127525204" w:history="1">
        <w:r w:rsidR="000E33C4" w:rsidRPr="00391A11">
          <w:rPr>
            <w:rStyle w:val="Hyperlink"/>
            <w:b/>
            <w:noProof/>
          </w:rPr>
          <w:t>Observation 7:</w:t>
        </w:r>
        <w:r w:rsidR="000E33C4" w:rsidRPr="00391A11">
          <w:rPr>
            <w:rStyle w:val="Hyperlink"/>
            <w:noProof/>
          </w:rPr>
          <w:t xml:space="preserve"> L1-RSRP requirements for groupbasedbeamreporting-r17 enabled do not include requirements on the conditions for reporting groups of reference signals.</w:t>
        </w:r>
      </w:hyperlink>
    </w:p>
    <w:p w14:paraId="2BDC5428" w14:textId="6D609C95" w:rsidR="000E33C4" w:rsidRDefault="00326378">
      <w:pPr>
        <w:pStyle w:val="TOC5"/>
        <w:rPr>
          <w:rFonts w:asciiTheme="minorHAnsi" w:eastAsiaTheme="minorEastAsia" w:hAnsiTheme="minorHAnsi"/>
          <w:b w:val="0"/>
          <w:noProof/>
          <w:sz w:val="22"/>
          <w:lang w:val="en-DK" w:eastAsia="en-DK"/>
        </w:rPr>
      </w:pPr>
      <w:hyperlink w:anchor="_Toc127525205" w:history="1">
        <w:r w:rsidR="000E33C4" w:rsidRPr="00391A11">
          <w:rPr>
            <w:rStyle w:val="Hyperlink"/>
            <w:noProof/>
            <w:lang w:val="en-GB"/>
          </w:rPr>
          <w:t>Proposal 5: RAN4 to discuss the conditions under which a group should be reported using GBBR.</w:t>
        </w:r>
      </w:hyperlink>
    </w:p>
    <w:p w14:paraId="3E954E6F" w14:textId="4CF4D40F" w:rsidR="000E33C4" w:rsidRDefault="00326378">
      <w:pPr>
        <w:pStyle w:val="TOC5"/>
        <w:rPr>
          <w:rFonts w:asciiTheme="minorHAnsi" w:eastAsiaTheme="minorEastAsia" w:hAnsiTheme="minorHAnsi"/>
          <w:b w:val="0"/>
          <w:noProof/>
          <w:sz w:val="22"/>
          <w:lang w:val="en-DK" w:eastAsia="en-DK"/>
        </w:rPr>
      </w:pPr>
      <w:hyperlink w:anchor="_Toc127525206" w:history="1">
        <w:r w:rsidR="000E33C4" w:rsidRPr="00391A11">
          <w:rPr>
            <w:rStyle w:val="Hyperlink"/>
            <w:noProof/>
            <w:lang w:val="en-GB"/>
          </w:rPr>
          <w:t>Proposal 6: RAN4 to define requirements related to the reporting of groups in group-based beam reporting.</w:t>
        </w:r>
      </w:hyperlink>
    </w:p>
    <w:p w14:paraId="00EED23E" w14:textId="0433E6A4" w:rsidR="000E33C4" w:rsidRDefault="00326378">
      <w:pPr>
        <w:pStyle w:val="TOC4"/>
        <w:tabs>
          <w:tab w:val="right" w:leader="dot" w:pos="9617"/>
        </w:tabs>
        <w:rPr>
          <w:rFonts w:asciiTheme="minorHAnsi" w:eastAsiaTheme="minorEastAsia" w:hAnsiTheme="minorHAnsi"/>
          <w:noProof/>
          <w:sz w:val="22"/>
          <w:lang w:val="en-DK" w:eastAsia="en-DK"/>
        </w:rPr>
      </w:pPr>
      <w:hyperlink w:anchor="_Toc127525207" w:history="1">
        <w:r w:rsidR="000E33C4" w:rsidRPr="00391A11">
          <w:rPr>
            <w:rStyle w:val="Hyperlink"/>
            <w:b/>
            <w:noProof/>
          </w:rPr>
          <w:t>Observation 8:</w:t>
        </w:r>
        <w:r w:rsidR="000E33C4" w:rsidRPr="00391A11">
          <w:rPr>
            <w:rStyle w:val="Hyperlink"/>
            <w:noProof/>
          </w:rPr>
          <w:t xml:space="preserve"> QCL-A and QCL-C relation is used in existing RAN4 RRM requirements in TCI state switching delay, for the determination of the first SSB available for the UE to acquire timing.</w:t>
        </w:r>
      </w:hyperlink>
    </w:p>
    <w:p w14:paraId="650446CC" w14:textId="34CE8CFF" w:rsidR="000E33C4" w:rsidRDefault="00326378">
      <w:pPr>
        <w:pStyle w:val="TOC5"/>
        <w:rPr>
          <w:rFonts w:asciiTheme="minorHAnsi" w:eastAsiaTheme="minorEastAsia" w:hAnsiTheme="minorHAnsi"/>
          <w:b w:val="0"/>
          <w:noProof/>
          <w:sz w:val="22"/>
          <w:lang w:val="en-DK" w:eastAsia="en-DK"/>
        </w:rPr>
      </w:pPr>
      <w:hyperlink w:anchor="_Toc127525208" w:history="1">
        <w:r w:rsidR="000E33C4" w:rsidRPr="00391A11">
          <w:rPr>
            <w:rStyle w:val="Hyperlink"/>
            <w:rFonts w:eastAsia="Times New Roman"/>
            <w:noProof/>
          </w:rPr>
          <w:t>Proposal 7:</w:t>
        </w:r>
        <w:r w:rsidR="000E33C4" w:rsidRPr="00391A11">
          <w:rPr>
            <w:rStyle w:val="Hyperlink"/>
            <w:noProof/>
          </w:rPr>
          <w:t xml:space="preserve"> RAN4 should discuss QCL relations as part of requirements of TCI state switching delay.</w:t>
        </w:r>
      </w:hyperlink>
    </w:p>
    <w:p w14:paraId="701CFBBD" w14:textId="7640D0C2" w:rsidR="000E33C4" w:rsidRDefault="00326378">
      <w:pPr>
        <w:pStyle w:val="TOC4"/>
        <w:tabs>
          <w:tab w:val="right" w:leader="dot" w:pos="9617"/>
        </w:tabs>
        <w:rPr>
          <w:rFonts w:asciiTheme="minorHAnsi" w:eastAsiaTheme="minorEastAsia" w:hAnsiTheme="minorHAnsi"/>
          <w:noProof/>
          <w:sz w:val="22"/>
          <w:lang w:val="en-DK" w:eastAsia="en-DK"/>
        </w:rPr>
      </w:pPr>
      <w:hyperlink w:anchor="_Toc127525209" w:history="1">
        <w:r w:rsidR="000E33C4" w:rsidRPr="00391A11">
          <w:rPr>
            <w:rStyle w:val="Hyperlink"/>
            <w:b/>
            <w:noProof/>
          </w:rPr>
          <w:t>Observation 9:</w:t>
        </w:r>
        <w:r w:rsidR="000E33C4" w:rsidRPr="00391A11">
          <w:rPr>
            <w:rStyle w:val="Hyperlink"/>
            <w:noProof/>
          </w:rPr>
          <w:t xml:space="preserve"> Reduction of scheduling restrictions can enhance throughput and reduce of latency in data reception.</w:t>
        </w:r>
      </w:hyperlink>
    </w:p>
    <w:p w14:paraId="22F28217" w14:textId="1BDC2FF5" w:rsidR="000E33C4" w:rsidRDefault="00326378">
      <w:pPr>
        <w:pStyle w:val="TOC4"/>
        <w:tabs>
          <w:tab w:val="right" w:leader="dot" w:pos="9617"/>
        </w:tabs>
        <w:rPr>
          <w:rFonts w:asciiTheme="minorHAnsi" w:eastAsiaTheme="minorEastAsia" w:hAnsiTheme="minorHAnsi"/>
          <w:noProof/>
          <w:sz w:val="22"/>
          <w:lang w:val="en-DK" w:eastAsia="en-DK"/>
        </w:rPr>
      </w:pPr>
      <w:hyperlink w:anchor="_Toc127525210" w:history="1">
        <w:r w:rsidR="000E33C4" w:rsidRPr="00391A11">
          <w:rPr>
            <w:rStyle w:val="Hyperlink"/>
            <w:b/>
            <w:noProof/>
          </w:rPr>
          <w:t>Observation 10:</w:t>
        </w:r>
        <w:r w:rsidR="000E33C4" w:rsidRPr="00391A11">
          <w:rPr>
            <w:rStyle w:val="Hyperlink"/>
            <w:noProof/>
          </w:rPr>
          <w:t xml:space="preserve"> In a multi-TCI, multi-TRP scenario, if the AoA separation between data reception and the measurement RS is sufficient, then multi-RX UE should be able to simultaneously receive data and perform L1/L3 measurements.</w:t>
        </w:r>
      </w:hyperlink>
    </w:p>
    <w:p w14:paraId="4C756CB8" w14:textId="55761A69" w:rsidR="000E33C4" w:rsidRDefault="00326378">
      <w:pPr>
        <w:pStyle w:val="TOC5"/>
        <w:rPr>
          <w:rFonts w:asciiTheme="minorHAnsi" w:eastAsiaTheme="minorEastAsia" w:hAnsiTheme="minorHAnsi"/>
          <w:b w:val="0"/>
          <w:noProof/>
          <w:sz w:val="22"/>
          <w:lang w:val="en-DK" w:eastAsia="en-DK"/>
        </w:rPr>
      </w:pPr>
      <w:hyperlink w:anchor="_Toc127525211" w:history="1">
        <w:r w:rsidR="000E33C4" w:rsidRPr="00391A11">
          <w:rPr>
            <w:rStyle w:val="Hyperlink"/>
            <w:noProof/>
          </w:rPr>
          <w:t>Proposal 8: RAN4 to study if use of single Rx chain or multiple Rx chain can be adapted over time.</w:t>
        </w:r>
      </w:hyperlink>
    </w:p>
    <w:p w14:paraId="4FD8A9CE" w14:textId="6396809B" w:rsidR="000E33C4" w:rsidRDefault="00326378">
      <w:pPr>
        <w:pStyle w:val="TOC5"/>
        <w:rPr>
          <w:rFonts w:asciiTheme="minorHAnsi" w:eastAsiaTheme="minorEastAsia" w:hAnsiTheme="minorHAnsi"/>
          <w:b w:val="0"/>
          <w:noProof/>
          <w:sz w:val="22"/>
          <w:lang w:val="en-DK" w:eastAsia="en-DK"/>
        </w:rPr>
      </w:pPr>
      <w:hyperlink w:anchor="_Toc127525212" w:history="1">
        <w:r w:rsidR="000E33C4" w:rsidRPr="00391A11">
          <w:rPr>
            <w:rStyle w:val="Hyperlink"/>
            <w:noProof/>
          </w:rPr>
          <w:t>Proposal 9: A UE capable of multi-Rx reception and the network should be aware of when the UE is using 2 Rx chains for reducing measurement times or reducing scheduling restrictions or when it is using a single Rx chain.</w:t>
        </w:r>
      </w:hyperlink>
    </w:p>
    <w:p w14:paraId="45F7314E" w14:textId="219952EA" w:rsidR="000E33C4" w:rsidRDefault="00326378">
      <w:pPr>
        <w:pStyle w:val="TOC5"/>
        <w:rPr>
          <w:rFonts w:asciiTheme="minorHAnsi" w:eastAsiaTheme="minorEastAsia" w:hAnsiTheme="minorHAnsi"/>
          <w:b w:val="0"/>
          <w:noProof/>
          <w:sz w:val="22"/>
          <w:lang w:val="en-DK" w:eastAsia="en-DK"/>
        </w:rPr>
      </w:pPr>
      <w:hyperlink w:anchor="_Toc127525213" w:history="1">
        <w:r w:rsidR="000E33C4" w:rsidRPr="00391A11">
          <w:rPr>
            <w:rStyle w:val="Hyperlink"/>
            <w:noProof/>
          </w:rPr>
          <w:t>Proposal 10: RAN4 to discuss new signaling for UE indication of use of 2 Rx chains.</w:t>
        </w:r>
      </w:hyperlink>
    </w:p>
    <w:p w14:paraId="372B65A3" w14:textId="58B5A095" w:rsidR="000E33C4" w:rsidRDefault="00326378">
      <w:pPr>
        <w:pStyle w:val="TOC5"/>
        <w:rPr>
          <w:rFonts w:asciiTheme="minorHAnsi" w:eastAsiaTheme="minorEastAsia" w:hAnsiTheme="minorHAnsi"/>
          <w:b w:val="0"/>
          <w:noProof/>
          <w:sz w:val="22"/>
          <w:lang w:val="en-DK" w:eastAsia="en-DK"/>
        </w:rPr>
      </w:pPr>
      <w:hyperlink w:anchor="_Toc127525214" w:history="1">
        <w:r w:rsidR="000E33C4" w:rsidRPr="00391A11">
          <w:rPr>
            <w:rStyle w:val="Hyperlink"/>
            <w:noProof/>
          </w:rPr>
          <w:t>Proposal 11: RAN4 to consider Rel-17 Group-based beam reporting as a pre-requisite for multi-Rx capability.</w:t>
        </w:r>
      </w:hyperlink>
    </w:p>
    <w:p w14:paraId="16E6F210" w14:textId="4D98924F" w:rsidR="000E33C4" w:rsidRDefault="00326378">
      <w:pPr>
        <w:pStyle w:val="TOC5"/>
        <w:rPr>
          <w:rFonts w:asciiTheme="minorHAnsi" w:eastAsiaTheme="minorEastAsia" w:hAnsiTheme="minorHAnsi"/>
          <w:b w:val="0"/>
          <w:noProof/>
          <w:sz w:val="22"/>
          <w:lang w:val="en-DK" w:eastAsia="en-DK"/>
        </w:rPr>
      </w:pPr>
      <w:hyperlink w:anchor="_Toc127525215" w:history="1">
        <w:r w:rsidR="000E33C4" w:rsidRPr="00391A11">
          <w:rPr>
            <w:rStyle w:val="Hyperlink"/>
            <w:noProof/>
          </w:rPr>
          <w:t>Proposal 12: To support R-18 multi-Rx DL simultaneous reception modes, an additional UE capability shall be defined.</w:t>
        </w:r>
      </w:hyperlink>
    </w:p>
    <w:p w14:paraId="34E10D1B" w14:textId="1B80754D" w:rsidR="000E33C4" w:rsidRDefault="00326378">
      <w:pPr>
        <w:pStyle w:val="TOC4"/>
        <w:tabs>
          <w:tab w:val="right" w:leader="dot" w:pos="9617"/>
        </w:tabs>
        <w:rPr>
          <w:rFonts w:asciiTheme="minorHAnsi" w:eastAsiaTheme="minorEastAsia" w:hAnsiTheme="minorHAnsi"/>
          <w:noProof/>
          <w:sz w:val="22"/>
          <w:lang w:val="en-DK" w:eastAsia="en-DK"/>
        </w:rPr>
      </w:pPr>
      <w:hyperlink w:anchor="_Toc127525216" w:history="1">
        <w:r w:rsidR="000E33C4" w:rsidRPr="00391A11">
          <w:rPr>
            <w:rStyle w:val="Hyperlink"/>
            <w:b/>
            <w:noProof/>
          </w:rPr>
          <w:t>Observation 12:</w:t>
        </w:r>
        <w:r w:rsidR="000E33C4" w:rsidRPr="00391A11">
          <w:rPr>
            <w:rStyle w:val="Hyperlink"/>
            <w:noProof/>
          </w:rPr>
          <w:t xml:space="preserve"> As part of MIMO_evo_UL_DL it was decided to define a new UE capability related to supporting RTD&gt;CP.</w:t>
        </w:r>
      </w:hyperlink>
    </w:p>
    <w:p w14:paraId="38C08E9D" w14:textId="44961AB1" w:rsidR="000E33C4" w:rsidRDefault="00326378">
      <w:pPr>
        <w:pStyle w:val="TOC5"/>
        <w:rPr>
          <w:rFonts w:asciiTheme="minorHAnsi" w:eastAsiaTheme="minorEastAsia" w:hAnsiTheme="minorHAnsi"/>
          <w:b w:val="0"/>
          <w:noProof/>
          <w:sz w:val="22"/>
          <w:lang w:val="en-DK" w:eastAsia="en-DK"/>
        </w:rPr>
      </w:pPr>
      <w:hyperlink w:anchor="_Toc127525217" w:history="1">
        <w:r w:rsidR="000E33C4" w:rsidRPr="00391A11">
          <w:rPr>
            <w:rStyle w:val="Hyperlink"/>
            <w:noProof/>
          </w:rPr>
          <w:t>Proposal 13: RAN4 to reuse UE capability to be defined as part of NR_MIMO_evo_DL_UL for UE capable of supporting RTD&gt;CP as part of the multi-Rx work.</w:t>
        </w:r>
      </w:hyperlink>
    </w:p>
    <w:p w14:paraId="5937A230" w14:textId="4E2BF3A7" w:rsidR="003B659E" w:rsidRPr="0060543D" w:rsidRDefault="00A4355E" w:rsidP="0060543D">
      <w:pPr>
        <w:pStyle w:val="RAN4H1"/>
        <w:numPr>
          <w:ilvl w:val="0"/>
          <w:numId w:val="0"/>
        </w:numPr>
        <w:ind w:left="360" w:hanging="360"/>
      </w:pPr>
      <w:r>
        <w:rPr>
          <w:noProof/>
        </w:rPr>
        <w:fldChar w:fldCharType="end"/>
      </w:r>
      <w:bookmarkStart w:id="48" w:name="_Toc116995849"/>
      <w:r w:rsidR="003B659E" w:rsidRPr="00EF698B">
        <w:t>References</w:t>
      </w:r>
      <w:bookmarkEnd w:id="48"/>
    </w:p>
    <w:p w14:paraId="4655FC0E" w14:textId="2AA3B198" w:rsidR="00687FA0" w:rsidRPr="00DC66F7" w:rsidRDefault="00D40288" w:rsidP="00DC66F7">
      <w:pPr>
        <w:pStyle w:val="ListParagraph"/>
        <w:numPr>
          <w:ilvl w:val="0"/>
          <w:numId w:val="21"/>
        </w:numPr>
        <w:ind w:left="426" w:right="-22" w:hanging="11"/>
      </w:pPr>
      <w:bookmarkStart w:id="49" w:name="_Ref114500673"/>
      <w:bookmarkEnd w:id="49"/>
      <w:r w:rsidRPr="00DC66F7">
        <w:t>R4-</w:t>
      </w:r>
      <w:r w:rsidR="00365203" w:rsidRPr="00DC66F7">
        <w:t>2220061</w:t>
      </w:r>
      <w:r w:rsidRPr="00DC66F7">
        <w:t>,</w:t>
      </w:r>
      <w:r w:rsidR="000040DC" w:rsidRPr="00DC66F7">
        <w:t xml:space="preserve"> </w:t>
      </w:r>
      <w:r w:rsidR="00365203" w:rsidRPr="00DC66F7">
        <w:t>Topic summary for [105][215] FR2_multiRx_RRM_part1</w:t>
      </w:r>
      <w:r w:rsidR="000040DC" w:rsidRPr="00DC66F7">
        <w:t xml:space="preserve">, </w:t>
      </w:r>
      <w:r w:rsidRPr="00DC66F7">
        <w:t>RAN4 #105, Toulouse, France, November 14 – November 18, 2022</w:t>
      </w:r>
      <w:r w:rsidR="000040DC" w:rsidRPr="00DC66F7">
        <w:t xml:space="preserve">. </w:t>
      </w:r>
    </w:p>
    <w:p w14:paraId="6BB37F26" w14:textId="2C8DE04C" w:rsidR="000040DC" w:rsidRPr="00DC66F7" w:rsidRDefault="000040DC" w:rsidP="00DC66F7">
      <w:pPr>
        <w:pStyle w:val="ListParagraph"/>
        <w:numPr>
          <w:ilvl w:val="0"/>
          <w:numId w:val="21"/>
        </w:numPr>
        <w:ind w:left="426" w:right="-22" w:hanging="11"/>
      </w:pPr>
      <w:bookmarkStart w:id="50" w:name="_Ref122261966"/>
      <w:r w:rsidRPr="00DC66F7">
        <w:t>R4-</w:t>
      </w:r>
      <w:r w:rsidR="00365203" w:rsidRPr="00DC66F7">
        <w:t>2220742</w:t>
      </w:r>
      <w:r w:rsidRPr="00DC66F7">
        <w:t xml:space="preserve">, </w:t>
      </w:r>
      <w:r w:rsidR="00365203" w:rsidRPr="00DC66F7">
        <w:t>WF on NR FR2 multi-Rx chain DL reception – Part 1</w:t>
      </w:r>
      <w:r w:rsidR="00B408B6" w:rsidRPr="00DC66F7">
        <w:t xml:space="preserve">, </w:t>
      </w:r>
      <w:r w:rsidRPr="00DC66F7">
        <w:t>RAN4 #105, Toulouse, France, November 14 – November 18, 2022.</w:t>
      </w:r>
      <w:bookmarkEnd w:id="50"/>
      <w:r w:rsidRPr="00DC66F7">
        <w:t xml:space="preserve"> </w:t>
      </w:r>
    </w:p>
    <w:p w14:paraId="76E0AD65" w14:textId="58FC68F5" w:rsidR="001F64C6" w:rsidRDefault="00A13094" w:rsidP="00533DD2">
      <w:pPr>
        <w:pStyle w:val="ListParagraph"/>
        <w:numPr>
          <w:ilvl w:val="0"/>
          <w:numId w:val="21"/>
        </w:numPr>
        <w:ind w:left="426" w:right="-22" w:hanging="11"/>
      </w:pPr>
      <w:r>
        <w:t xml:space="preserve">RP-221753, Revised WID: Requirement for NR frequency range 2 (FR2) multi-Rx chain DL reception, </w:t>
      </w:r>
      <w:r w:rsidR="00FF5BE1">
        <w:t>Q</w:t>
      </w:r>
      <w:r>
        <w:t>ualcomm</w:t>
      </w:r>
      <w:bookmarkStart w:id="51" w:name="_Ref127451933"/>
      <w:bookmarkStart w:id="52" w:name="_Ref117788722"/>
    </w:p>
    <w:bookmarkEnd w:id="51"/>
    <w:p w14:paraId="50118AF6" w14:textId="26C3654C" w:rsidR="00A13094" w:rsidRDefault="007F6DE9">
      <w:pPr>
        <w:pStyle w:val="ListParagraph"/>
        <w:numPr>
          <w:ilvl w:val="0"/>
          <w:numId w:val="21"/>
        </w:numPr>
        <w:ind w:left="426" w:right="-22" w:hanging="11"/>
      </w:pPr>
      <w:r w:rsidRPr="007F6DE9">
        <w:t>R4-2220402_RRM_p3_TCI</w:t>
      </w:r>
      <w:r w:rsidR="00A13094">
        <w:t xml:space="preserve">, </w:t>
      </w:r>
      <w:r w:rsidR="001B18C8" w:rsidRPr="00024B1E">
        <w:t xml:space="preserve">WF </w:t>
      </w:r>
      <w:r w:rsidR="001B18C8" w:rsidRPr="00B256E6">
        <w:rPr>
          <w:rFonts w:hint="eastAsia"/>
        </w:rPr>
        <w:t xml:space="preserve">for </w:t>
      </w:r>
      <w:r w:rsidR="001B18C8" w:rsidRPr="00B256E6">
        <w:t>FR2_multiRx_RRM_part3</w:t>
      </w:r>
      <w:r w:rsidR="009345AE">
        <w:t>, Ericsson</w:t>
      </w:r>
      <w:bookmarkEnd w:id="52"/>
    </w:p>
    <w:p w14:paraId="26ECA9C2" w14:textId="54621F10" w:rsidR="00BE2336" w:rsidRPr="00B256E6" w:rsidRDefault="008E200C" w:rsidP="00B256E6">
      <w:pPr>
        <w:pStyle w:val="ListParagraph"/>
        <w:numPr>
          <w:ilvl w:val="0"/>
          <w:numId w:val="21"/>
        </w:numPr>
        <w:ind w:left="426" w:right="-22" w:hanging="11"/>
      </w:pPr>
      <w:r w:rsidRPr="008E200C">
        <w:t>R4-2220742_RRM_p</w:t>
      </w:r>
      <w:r w:rsidR="00621D3A" w:rsidRPr="008E200C">
        <w:t>1</w:t>
      </w:r>
      <w:r w:rsidR="00621D3A">
        <w:t xml:space="preserve">, </w:t>
      </w:r>
      <w:r w:rsidR="00621D3A" w:rsidRPr="00B256E6">
        <w:t>WF</w:t>
      </w:r>
      <w:r w:rsidR="00BE2336" w:rsidRPr="00B256E6">
        <w:t xml:space="preserve"> on NR FR2 multi-Rx chain DL reception – Part 1</w:t>
      </w:r>
      <w:r w:rsidR="00082C22">
        <w:t>, vivo</w:t>
      </w:r>
    </w:p>
    <w:p w14:paraId="25AD6424" w14:textId="4B4A5D4C" w:rsidR="00A13094" w:rsidRDefault="00B05A9A" w:rsidP="00DC66F7">
      <w:pPr>
        <w:pStyle w:val="ListParagraph"/>
        <w:numPr>
          <w:ilvl w:val="0"/>
          <w:numId w:val="21"/>
        </w:numPr>
        <w:ind w:left="426" w:right="-22" w:hanging="11"/>
      </w:pPr>
      <w:r w:rsidRPr="00B05A9A">
        <w:t>R4-2220743_RRM_P2_L1_requirements</w:t>
      </w:r>
      <w:r w:rsidR="00A13094">
        <w:t xml:space="preserve">, </w:t>
      </w:r>
      <w:r w:rsidR="00082C22" w:rsidRPr="00B256E6">
        <w:t>WF on NR FR2 multi-Rx chain DL reception – Part 2</w:t>
      </w:r>
      <w:r w:rsidR="00082C22">
        <w:t>, Qualcomm</w:t>
      </w:r>
    </w:p>
    <w:p w14:paraId="701A9192" w14:textId="77777777" w:rsidR="00861813" w:rsidRDefault="00861813" w:rsidP="00861813">
      <w:pPr>
        <w:pStyle w:val="ListParagraph"/>
        <w:numPr>
          <w:ilvl w:val="0"/>
          <w:numId w:val="21"/>
        </w:numPr>
        <w:ind w:left="709" w:right="-22"/>
      </w:pPr>
      <w:r>
        <w:t>RAN1 chair notes, R1 #110bis, October 10</w:t>
      </w:r>
      <w:r w:rsidRPr="0026752A">
        <w:t>th</w:t>
      </w:r>
      <w:r>
        <w:t>-19</w:t>
      </w:r>
      <w:r w:rsidRPr="0026752A">
        <w:t>th</w:t>
      </w:r>
      <w:r>
        <w:t>, 2022</w:t>
      </w:r>
    </w:p>
    <w:p w14:paraId="5769D0A8" w14:textId="2AEEAE34" w:rsidR="00A13094" w:rsidRDefault="00A13094" w:rsidP="00DC66F7">
      <w:pPr>
        <w:pStyle w:val="ListParagraph"/>
        <w:numPr>
          <w:ilvl w:val="0"/>
          <w:numId w:val="21"/>
        </w:numPr>
        <w:ind w:left="426" w:right="-22" w:firstLine="0"/>
      </w:pPr>
      <w:r>
        <w:t>R4-2213053, Work plan for RRM requirement for NR FR2 multi-Rx chain DL reception, vivo, Qualcomm</w:t>
      </w:r>
    </w:p>
    <w:p w14:paraId="1176AD6D" w14:textId="14AA5E71" w:rsidR="00A13094" w:rsidRDefault="00A13094" w:rsidP="00DC66F7">
      <w:pPr>
        <w:pStyle w:val="ListParagraph"/>
        <w:numPr>
          <w:ilvl w:val="0"/>
          <w:numId w:val="21"/>
        </w:numPr>
        <w:ind w:left="426" w:right="-22" w:hanging="11"/>
      </w:pPr>
      <w:bookmarkStart w:id="53" w:name="_Ref123802928"/>
      <w:r w:rsidRPr="0027681D">
        <w:t>R4-2218408</w:t>
      </w:r>
      <w:r>
        <w:t xml:space="preserve">, </w:t>
      </w:r>
      <w:r w:rsidRPr="00CB3EFA">
        <w:t>Analysis of scope and scenarios, Qualcomm Incorporated</w:t>
      </w:r>
      <w:bookmarkEnd w:id="53"/>
    </w:p>
    <w:p w14:paraId="173FCABE" w14:textId="39C009E6" w:rsidR="0028586F" w:rsidRDefault="00A31841" w:rsidP="00A31841">
      <w:pPr>
        <w:pStyle w:val="ListParagraph"/>
        <w:numPr>
          <w:ilvl w:val="0"/>
          <w:numId w:val="21"/>
        </w:numPr>
        <w:ind w:left="709" w:right="-22"/>
      </w:pPr>
      <w:r w:rsidRPr="00A31841">
        <w:t>R4-2214344, “WF on FR2 multi-Rx RRM”, Vivo </w:t>
      </w:r>
    </w:p>
    <w:p w14:paraId="10E7F3C2" w14:textId="751215B8" w:rsidR="00A13094" w:rsidRDefault="008E3C34" w:rsidP="00DC66F7">
      <w:pPr>
        <w:pStyle w:val="ListParagraph"/>
        <w:numPr>
          <w:ilvl w:val="0"/>
          <w:numId w:val="21"/>
        </w:numPr>
        <w:ind w:left="709" w:right="-22"/>
      </w:pPr>
      <w:bookmarkStart w:id="54" w:name="_Ref123807377"/>
      <w:r>
        <w:t xml:space="preserve"> </w:t>
      </w:r>
      <w:bookmarkStart w:id="55" w:name="_Ref127459260"/>
      <w:r w:rsidR="00A13094">
        <w:t>TS 38.306</w:t>
      </w:r>
      <w:bookmarkEnd w:id="54"/>
      <w:bookmarkEnd w:id="55"/>
      <w:r w:rsidR="007843C5">
        <w:t xml:space="preserve">, </w:t>
      </w:r>
      <w:r w:rsidR="00E5246D" w:rsidRPr="00E5246D">
        <w:t>NR; User Equipment (UE) radio access capabilities</w:t>
      </w:r>
    </w:p>
    <w:p w14:paraId="2D7F260E" w14:textId="6115E74A" w:rsidR="00A13094" w:rsidRDefault="00A13094" w:rsidP="008E3C34">
      <w:pPr>
        <w:pStyle w:val="ListParagraph"/>
        <w:numPr>
          <w:ilvl w:val="0"/>
          <w:numId w:val="21"/>
        </w:numPr>
        <w:ind w:left="709" w:right="-22"/>
      </w:pPr>
      <w:bookmarkStart w:id="56" w:name="_Ref123807385"/>
      <w:r>
        <w:t>TS 38.331</w:t>
      </w:r>
      <w:bookmarkEnd w:id="56"/>
      <w:r w:rsidR="00897DAD">
        <w:t xml:space="preserve">, </w:t>
      </w:r>
      <w:r w:rsidR="00897DAD" w:rsidRPr="00897DAD">
        <w:t>NR; Radio Resource Control (RRC); Protocol specification</w:t>
      </w:r>
    </w:p>
    <w:p w14:paraId="4E4EA6C3" w14:textId="5DCC7CB2" w:rsidR="00C52103" w:rsidRDefault="00C52103" w:rsidP="008E3C34">
      <w:pPr>
        <w:pStyle w:val="ListParagraph"/>
        <w:numPr>
          <w:ilvl w:val="0"/>
          <w:numId w:val="21"/>
        </w:numPr>
        <w:ind w:left="709" w:right="-22"/>
      </w:pPr>
      <w:bookmarkStart w:id="57" w:name="_Ref126083519"/>
      <w:r>
        <w:t>TS 38.133</w:t>
      </w:r>
      <w:bookmarkEnd w:id="57"/>
      <w:r w:rsidR="00897DAD">
        <w:t xml:space="preserve">, </w:t>
      </w:r>
      <w:r w:rsidR="00326378" w:rsidRPr="00326378">
        <w:t>NR; Requirements for support of radio resource management</w:t>
      </w:r>
    </w:p>
    <w:p w14:paraId="2D97575C" w14:textId="537FB23F" w:rsidR="00A13094" w:rsidRPr="0080728C" w:rsidRDefault="00A13094" w:rsidP="00DC66F7">
      <w:pPr>
        <w:pStyle w:val="ListParagraph"/>
        <w:numPr>
          <w:ilvl w:val="0"/>
          <w:numId w:val="21"/>
        </w:numPr>
        <w:ind w:left="709" w:right="-22"/>
      </w:pPr>
      <w:r w:rsidRPr="0080728C">
        <w:t>R4-2217279, “Reply LS on MTTD for multi-DCI multi-TRP with two TAs”, RAN4 #104bis</w:t>
      </w:r>
    </w:p>
    <w:p w14:paraId="58925ABD" w14:textId="0A5C82BE" w:rsidR="00A13094" w:rsidRPr="0026752A" w:rsidRDefault="00A13094" w:rsidP="00DC66F7">
      <w:pPr>
        <w:pStyle w:val="ListParagraph"/>
        <w:numPr>
          <w:ilvl w:val="0"/>
          <w:numId w:val="21"/>
        </w:numPr>
        <w:ind w:left="709" w:right="-22"/>
      </w:pPr>
      <w:bookmarkStart w:id="58" w:name="_Ref117254984"/>
      <w:r w:rsidRPr="0080728C">
        <w:t>R4-2217278, “WF on MRTD/MTTD requirement for multi-TRPs with 2 TAs”, RAN4 #104bis</w:t>
      </w:r>
      <w:bookmarkEnd w:id="58"/>
    </w:p>
    <w:p w14:paraId="61F6B49C" w14:textId="77777777" w:rsidR="0060543D" w:rsidRPr="0060543D" w:rsidRDefault="0060543D" w:rsidP="00B256E6">
      <w:pPr>
        <w:ind w:right="-22"/>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68DA6" w14:textId="77777777" w:rsidR="008561CE" w:rsidRDefault="008561CE" w:rsidP="00001C9B">
      <w:pPr>
        <w:spacing w:after="0" w:line="240" w:lineRule="auto"/>
      </w:pPr>
      <w:r>
        <w:separator/>
      </w:r>
    </w:p>
  </w:endnote>
  <w:endnote w:type="continuationSeparator" w:id="0">
    <w:p w14:paraId="096A9382" w14:textId="77777777" w:rsidR="008561CE" w:rsidRDefault="008561CE" w:rsidP="00001C9B">
      <w:pPr>
        <w:spacing w:after="0" w:line="240" w:lineRule="auto"/>
      </w:pPr>
      <w:r>
        <w:continuationSeparator/>
      </w:r>
    </w:p>
  </w:endnote>
  <w:endnote w:type="continuationNotice" w:id="1">
    <w:p w14:paraId="7B909B31" w14:textId="77777777" w:rsidR="008561CE" w:rsidRDefault="008561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5536B" w14:textId="77777777" w:rsidR="008561CE" w:rsidRDefault="008561CE" w:rsidP="00001C9B">
      <w:pPr>
        <w:spacing w:after="0" w:line="240" w:lineRule="auto"/>
      </w:pPr>
      <w:r>
        <w:separator/>
      </w:r>
    </w:p>
  </w:footnote>
  <w:footnote w:type="continuationSeparator" w:id="0">
    <w:p w14:paraId="08235CFB" w14:textId="77777777" w:rsidR="008561CE" w:rsidRDefault="008561CE" w:rsidP="00001C9B">
      <w:pPr>
        <w:spacing w:after="0" w:line="240" w:lineRule="auto"/>
      </w:pPr>
      <w:r>
        <w:continuationSeparator/>
      </w:r>
    </w:p>
  </w:footnote>
  <w:footnote w:type="continuationNotice" w:id="1">
    <w:p w14:paraId="1794CA37" w14:textId="77777777" w:rsidR="008561CE" w:rsidRDefault="008561C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F92561"/>
    <w:multiLevelType w:val="multilevel"/>
    <w:tmpl w:val="5D68B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590604"/>
    <w:multiLevelType w:val="multilevel"/>
    <w:tmpl w:val="D15EC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9945A4"/>
    <w:multiLevelType w:val="multilevel"/>
    <w:tmpl w:val="B1D60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A41847"/>
    <w:multiLevelType w:val="hybridMultilevel"/>
    <w:tmpl w:val="01881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F766E2"/>
    <w:multiLevelType w:val="multilevel"/>
    <w:tmpl w:val="6CF45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FCE3F4"/>
    <w:multiLevelType w:val="hybridMultilevel"/>
    <w:tmpl w:val="431A93A6"/>
    <w:lvl w:ilvl="0" w:tplc="BBB6EB42">
      <w:start w:val="1"/>
      <w:numFmt w:val="bullet"/>
      <w:lvlText w:val=""/>
      <w:lvlJc w:val="left"/>
      <w:pPr>
        <w:ind w:left="1440" w:hanging="360"/>
      </w:pPr>
      <w:rPr>
        <w:rFonts w:ascii="Symbol" w:hAnsi="Symbol" w:hint="default"/>
      </w:rPr>
    </w:lvl>
    <w:lvl w:ilvl="1" w:tplc="C93A7052">
      <w:start w:val="1"/>
      <w:numFmt w:val="bullet"/>
      <w:lvlText w:val="o"/>
      <w:lvlJc w:val="left"/>
      <w:pPr>
        <w:ind w:left="2160" w:hanging="360"/>
      </w:pPr>
      <w:rPr>
        <w:rFonts w:ascii="Courier New" w:hAnsi="Courier New" w:hint="default"/>
      </w:rPr>
    </w:lvl>
    <w:lvl w:ilvl="2" w:tplc="587CE8A6">
      <w:start w:val="1"/>
      <w:numFmt w:val="bullet"/>
      <w:lvlText w:val=""/>
      <w:lvlJc w:val="left"/>
      <w:pPr>
        <w:ind w:left="2880" w:hanging="360"/>
      </w:pPr>
      <w:rPr>
        <w:rFonts w:ascii="Wingdings" w:hAnsi="Wingdings" w:hint="default"/>
      </w:rPr>
    </w:lvl>
    <w:lvl w:ilvl="3" w:tplc="B484E07E">
      <w:start w:val="1"/>
      <w:numFmt w:val="bullet"/>
      <w:lvlText w:val=""/>
      <w:lvlJc w:val="left"/>
      <w:pPr>
        <w:ind w:left="3600" w:hanging="360"/>
      </w:pPr>
      <w:rPr>
        <w:rFonts w:ascii="Symbol" w:hAnsi="Symbol" w:hint="default"/>
      </w:rPr>
    </w:lvl>
    <w:lvl w:ilvl="4" w:tplc="D5B40318">
      <w:start w:val="1"/>
      <w:numFmt w:val="bullet"/>
      <w:lvlText w:val="o"/>
      <w:lvlJc w:val="left"/>
      <w:pPr>
        <w:ind w:left="4320" w:hanging="360"/>
      </w:pPr>
      <w:rPr>
        <w:rFonts w:ascii="Courier New" w:hAnsi="Courier New" w:hint="default"/>
      </w:rPr>
    </w:lvl>
    <w:lvl w:ilvl="5" w:tplc="2F367A90">
      <w:start w:val="1"/>
      <w:numFmt w:val="bullet"/>
      <w:lvlText w:val=""/>
      <w:lvlJc w:val="left"/>
      <w:pPr>
        <w:ind w:left="5040" w:hanging="360"/>
      </w:pPr>
      <w:rPr>
        <w:rFonts w:ascii="Wingdings" w:hAnsi="Wingdings" w:hint="default"/>
      </w:rPr>
    </w:lvl>
    <w:lvl w:ilvl="6" w:tplc="45308D7C">
      <w:start w:val="1"/>
      <w:numFmt w:val="bullet"/>
      <w:lvlText w:val=""/>
      <w:lvlJc w:val="left"/>
      <w:pPr>
        <w:ind w:left="5760" w:hanging="360"/>
      </w:pPr>
      <w:rPr>
        <w:rFonts w:ascii="Symbol" w:hAnsi="Symbol" w:hint="default"/>
      </w:rPr>
    </w:lvl>
    <w:lvl w:ilvl="7" w:tplc="3C84E316">
      <w:start w:val="1"/>
      <w:numFmt w:val="bullet"/>
      <w:lvlText w:val="o"/>
      <w:lvlJc w:val="left"/>
      <w:pPr>
        <w:ind w:left="6480" w:hanging="360"/>
      </w:pPr>
      <w:rPr>
        <w:rFonts w:ascii="Courier New" w:hAnsi="Courier New" w:hint="default"/>
      </w:rPr>
    </w:lvl>
    <w:lvl w:ilvl="8" w:tplc="6BAAE10E">
      <w:start w:val="1"/>
      <w:numFmt w:val="bullet"/>
      <w:lvlText w:val=""/>
      <w:lvlJc w:val="left"/>
      <w:pPr>
        <w:ind w:left="7200" w:hanging="360"/>
      </w:pPr>
      <w:rPr>
        <w:rFonts w:ascii="Wingdings" w:hAnsi="Wingdings" w:hint="default"/>
      </w:rPr>
    </w:lvl>
  </w:abstractNum>
  <w:abstractNum w:abstractNumId="12" w15:restartNumberingAfterBreak="0">
    <w:nsid w:val="2DC360AC"/>
    <w:multiLevelType w:val="multilevel"/>
    <w:tmpl w:val="FD58E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9744CB"/>
    <w:multiLevelType w:val="multilevel"/>
    <w:tmpl w:val="E8882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B43B9D"/>
    <w:multiLevelType w:val="hybridMultilevel"/>
    <w:tmpl w:val="E4567974"/>
    <w:lvl w:ilvl="0" w:tplc="BC9E9306">
      <w:start w:val="1"/>
      <w:numFmt w:val="decimal"/>
      <w:pStyle w:val="RAN4Observation"/>
      <w:suff w:val="space"/>
      <w:lvlText w:val="Observation %1:"/>
      <w:lvlJc w:val="left"/>
      <w:pPr>
        <w:ind w:left="1353"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773217"/>
    <w:multiLevelType w:val="hybridMultilevel"/>
    <w:tmpl w:val="56DA4A20"/>
    <w:lvl w:ilvl="0" w:tplc="0A9C523A">
      <w:start w:val="1"/>
      <w:numFmt w:val="bullet"/>
      <w:lvlText w:val=""/>
      <w:lvlJc w:val="left"/>
      <w:pPr>
        <w:ind w:left="1440" w:hanging="360"/>
      </w:pPr>
      <w:rPr>
        <w:rFonts w:ascii="Symbol" w:hAnsi="Symbol" w:hint="default"/>
      </w:rPr>
    </w:lvl>
    <w:lvl w:ilvl="1" w:tplc="F52E6B9C">
      <w:start w:val="1"/>
      <w:numFmt w:val="bullet"/>
      <w:lvlText w:val="o"/>
      <w:lvlJc w:val="left"/>
      <w:pPr>
        <w:ind w:left="2160" w:hanging="360"/>
      </w:pPr>
      <w:rPr>
        <w:rFonts w:ascii="Courier New" w:hAnsi="Courier New" w:hint="default"/>
      </w:rPr>
    </w:lvl>
    <w:lvl w:ilvl="2" w:tplc="BB16A9B0">
      <w:start w:val="1"/>
      <w:numFmt w:val="bullet"/>
      <w:lvlText w:val=""/>
      <w:lvlJc w:val="left"/>
      <w:pPr>
        <w:ind w:left="2880" w:hanging="360"/>
      </w:pPr>
      <w:rPr>
        <w:rFonts w:ascii="Wingdings" w:hAnsi="Wingdings" w:hint="default"/>
      </w:rPr>
    </w:lvl>
    <w:lvl w:ilvl="3" w:tplc="3920C874">
      <w:start w:val="1"/>
      <w:numFmt w:val="bullet"/>
      <w:lvlText w:val=""/>
      <w:lvlJc w:val="left"/>
      <w:pPr>
        <w:ind w:left="3600" w:hanging="360"/>
      </w:pPr>
      <w:rPr>
        <w:rFonts w:ascii="Symbol" w:hAnsi="Symbol" w:hint="default"/>
      </w:rPr>
    </w:lvl>
    <w:lvl w:ilvl="4" w:tplc="8B5CF2B6">
      <w:start w:val="1"/>
      <w:numFmt w:val="bullet"/>
      <w:lvlText w:val="o"/>
      <w:lvlJc w:val="left"/>
      <w:pPr>
        <w:ind w:left="4320" w:hanging="360"/>
      </w:pPr>
      <w:rPr>
        <w:rFonts w:ascii="Courier New" w:hAnsi="Courier New" w:hint="default"/>
      </w:rPr>
    </w:lvl>
    <w:lvl w:ilvl="5" w:tplc="DD70BEF8">
      <w:start w:val="1"/>
      <w:numFmt w:val="bullet"/>
      <w:lvlText w:val=""/>
      <w:lvlJc w:val="left"/>
      <w:pPr>
        <w:ind w:left="5040" w:hanging="360"/>
      </w:pPr>
      <w:rPr>
        <w:rFonts w:ascii="Wingdings" w:hAnsi="Wingdings" w:hint="default"/>
      </w:rPr>
    </w:lvl>
    <w:lvl w:ilvl="6" w:tplc="B26A163A">
      <w:start w:val="1"/>
      <w:numFmt w:val="bullet"/>
      <w:lvlText w:val=""/>
      <w:lvlJc w:val="left"/>
      <w:pPr>
        <w:ind w:left="5760" w:hanging="360"/>
      </w:pPr>
      <w:rPr>
        <w:rFonts w:ascii="Symbol" w:hAnsi="Symbol" w:hint="default"/>
      </w:rPr>
    </w:lvl>
    <w:lvl w:ilvl="7" w:tplc="18B0747A">
      <w:start w:val="1"/>
      <w:numFmt w:val="bullet"/>
      <w:lvlText w:val="o"/>
      <w:lvlJc w:val="left"/>
      <w:pPr>
        <w:ind w:left="6480" w:hanging="360"/>
      </w:pPr>
      <w:rPr>
        <w:rFonts w:ascii="Courier New" w:hAnsi="Courier New" w:hint="default"/>
      </w:rPr>
    </w:lvl>
    <w:lvl w:ilvl="8" w:tplc="F1D28C4E">
      <w:start w:val="1"/>
      <w:numFmt w:val="bullet"/>
      <w:lvlText w:val=""/>
      <w:lvlJc w:val="left"/>
      <w:pPr>
        <w:ind w:left="7200" w:hanging="360"/>
      </w:pPr>
      <w:rPr>
        <w:rFonts w:ascii="Wingdings" w:hAnsi="Wingdings" w:hint="default"/>
      </w:rPr>
    </w:lvl>
  </w:abstractNum>
  <w:abstractNum w:abstractNumId="17" w15:restartNumberingAfterBreak="0">
    <w:nsid w:val="4D6E3167"/>
    <w:multiLevelType w:val="hybridMultilevel"/>
    <w:tmpl w:val="381C13BE"/>
    <w:lvl w:ilvl="0" w:tplc="D7BA7BB4">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6C0327"/>
    <w:multiLevelType w:val="hybridMultilevel"/>
    <w:tmpl w:val="F27E7BA2"/>
    <w:lvl w:ilvl="0" w:tplc="04090001">
      <w:numFmt w:val="decimal"/>
      <w:pStyle w:val="Figur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0"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221516"/>
    <w:multiLevelType w:val="hybridMultilevel"/>
    <w:tmpl w:val="9F4C913C"/>
    <w:lvl w:ilvl="0" w:tplc="AA4EF412">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9037DA"/>
    <w:multiLevelType w:val="multilevel"/>
    <w:tmpl w:val="CBA637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E51B77"/>
    <w:multiLevelType w:val="multilevel"/>
    <w:tmpl w:val="B6042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E690131"/>
    <w:multiLevelType w:val="hybridMultilevel"/>
    <w:tmpl w:val="C2CEE34E"/>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3518A0"/>
    <w:multiLevelType w:val="multilevel"/>
    <w:tmpl w:val="B73E5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18"/>
  </w:num>
  <w:num w:numId="4">
    <w:abstractNumId w:val="8"/>
  </w:num>
  <w:num w:numId="5">
    <w:abstractNumId w:val="25"/>
  </w:num>
  <w:num w:numId="6">
    <w:abstractNumId w:val="15"/>
  </w:num>
  <w:num w:numId="7">
    <w:abstractNumId w:val="17"/>
  </w:num>
  <w:num w:numId="8">
    <w:abstractNumId w:val="17"/>
    <w:lvlOverride w:ilvl="0">
      <w:startOverride w:val="1"/>
    </w:lvlOverride>
  </w:num>
  <w:num w:numId="9">
    <w:abstractNumId w:val="17"/>
    <w:lvlOverride w:ilvl="0">
      <w:startOverride w:val="1"/>
    </w:lvlOverride>
  </w:num>
  <w:num w:numId="10">
    <w:abstractNumId w:val="17"/>
    <w:lvlOverride w:ilvl="0">
      <w:startOverride w:val="1"/>
    </w:lvlOverride>
  </w:num>
  <w:num w:numId="11">
    <w:abstractNumId w:val="15"/>
    <w:lvlOverride w:ilvl="0">
      <w:startOverride w:val="1"/>
    </w:lvlOverride>
  </w:num>
  <w:num w:numId="12">
    <w:abstractNumId w:val="17"/>
    <w:lvlOverride w:ilvl="0">
      <w:startOverride w:val="1"/>
    </w:lvlOverride>
  </w:num>
  <w:num w:numId="13">
    <w:abstractNumId w:val="15"/>
    <w:lvlOverride w:ilvl="0">
      <w:startOverride w:val="1"/>
    </w:lvlOverride>
  </w:num>
  <w:num w:numId="14">
    <w:abstractNumId w:val="17"/>
    <w:lvlOverride w:ilvl="0">
      <w:startOverride w:val="1"/>
    </w:lvlOverride>
  </w:num>
  <w:num w:numId="15">
    <w:abstractNumId w:val="28"/>
  </w:num>
  <w:num w:numId="16">
    <w:abstractNumId w:val="5"/>
  </w:num>
  <w:num w:numId="17">
    <w:abstractNumId w:val="23"/>
  </w:num>
  <w:num w:numId="18">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1"/>
  </w:num>
  <w:num w:numId="22">
    <w:abstractNumId w:val="15"/>
    <w:lvlOverride w:ilvl="0">
      <w:startOverride w:val="1"/>
    </w:lvlOverride>
  </w:num>
  <w:num w:numId="23">
    <w:abstractNumId w:val="17"/>
    <w:lvlOverride w:ilvl="0">
      <w:startOverride w:val="1"/>
    </w:lvlOverride>
  </w:num>
  <w:num w:numId="24">
    <w:abstractNumId w:val="2"/>
  </w:num>
  <w:num w:numId="25">
    <w:abstractNumId w:val="0"/>
  </w:num>
  <w:num w:numId="26">
    <w:abstractNumId w:val="0"/>
    <w:lvlOverride w:ilvl="0">
      <w:startOverride w:val="1"/>
    </w:lvlOverride>
  </w:num>
  <w:num w:numId="27">
    <w:abstractNumId w:val="14"/>
  </w:num>
  <w:num w:numId="28">
    <w:abstractNumId w:val="10"/>
  </w:num>
  <w:num w:numId="29">
    <w:abstractNumId w:val="12"/>
  </w:num>
  <w:num w:numId="30">
    <w:abstractNumId w:val="23"/>
  </w:num>
  <w:num w:numId="31">
    <w:abstractNumId w:val="20"/>
  </w:num>
  <w:num w:numId="32">
    <w:abstractNumId w:val="11"/>
  </w:num>
  <w:num w:numId="33">
    <w:abstractNumId w:val="16"/>
  </w:num>
  <w:num w:numId="34">
    <w:abstractNumId w:val="7"/>
  </w:num>
  <w:num w:numId="35">
    <w:abstractNumId w:val="23"/>
  </w:num>
  <w:num w:numId="36">
    <w:abstractNumId w:val="23"/>
  </w:num>
  <w:num w:numId="37">
    <w:abstractNumId w:val="6"/>
  </w:num>
  <w:num w:numId="38">
    <w:abstractNumId w:val="4"/>
  </w:num>
  <w:num w:numId="39">
    <w:abstractNumId w:val="22"/>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3"/>
  </w:num>
  <w:num w:numId="43">
    <w:abstractNumId w:val="26"/>
  </w:num>
  <w:num w:numId="44">
    <w:abstractNumId w:val="27"/>
  </w:num>
  <w:num w:numId="45">
    <w:abstractNumId w:val="24"/>
  </w:num>
  <w:num w:numId="46">
    <w:abstractNumId w:val="15"/>
    <w:lvlOverride w:ilvl="0">
      <w:startOverride w:val="1"/>
    </w:lvlOverride>
  </w:num>
  <w:num w:numId="47">
    <w:abstractNumId w:val="1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B068F"/>
    <w:rsid w:val="00000077"/>
    <w:rsid w:val="00000128"/>
    <w:rsid w:val="00001C9B"/>
    <w:rsid w:val="00002415"/>
    <w:rsid w:val="000040DC"/>
    <w:rsid w:val="0000715C"/>
    <w:rsid w:val="0000720D"/>
    <w:rsid w:val="000078AE"/>
    <w:rsid w:val="00011B7B"/>
    <w:rsid w:val="00011FA3"/>
    <w:rsid w:val="00012559"/>
    <w:rsid w:val="000151EF"/>
    <w:rsid w:val="00016DB1"/>
    <w:rsid w:val="00021D4B"/>
    <w:rsid w:val="000224B6"/>
    <w:rsid w:val="000228FA"/>
    <w:rsid w:val="00023868"/>
    <w:rsid w:val="000239F5"/>
    <w:rsid w:val="00023FA2"/>
    <w:rsid w:val="00024B1E"/>
    <w:rsid w:val="00030427"/>
    <w:rsid w:val="00031F5D"/>
    <w:rsid w:val="00032308"/>
    <w:rsid w:val="00032F39"/>
    <w:rsid w:val="0003494F"/>
    <w:rsid w:val="00036972"/>
    <w:rsid w:val="00036F98"/>
    <w:rsid w:val="000372C3"/>
    <w:rsid w:val="00040133"/>
    <w:rsid w:val="00040598"/>
    <w:rsid w:val="0004074A"/>
    <w:rsid w:val="00040E66"/>
    <w:rsid w:val="000411E7"/>
    <w:rsid w:val="000424AD"/>
    <w:rsid w:val="00042EB1"/>
    <w:rsid w:val="000448C9"/>
    <w:rsid w:val="0004544F"/>
    <w:rsid w:val="00047160"/>
    <w:rsid w:val="000472A3"/>
    <w:rsid w:val="00050293"/>
    <w:rsid w:val="00050926"/>
    <w:rsid w:val="00056A45"/>
    <w:rsid w:val="00060739"/>
    <w:rsid w:val="0006426B"/>
    <w:rsid w:val="00064308"/>
    <w:rsid w:val="0006528A"/>
    <w:rsid w:val="00065B3B"/>
    <w:rsid w:val="0007320D"/>
    <w:rsid w:val="00073A5D"/>
    <w:rsid w:val="000748B6"/>
    <w:rsid w:val="00077E22"/>
    <w:rsid w:val="00081AE4"/>
    <w:rsid w:val="00082012"/>
    <w:rsid w:val="00082C22"/>
    <w:rsid w:val="0008357A"/>
    <w:rsid w:val="00083D1D"/>
    <w:rsid w:val="00085B7C"/>
    <w:rsid w:val="0008612A"/>
    <w:rsid w:val="00087481"/>
    <w:rsid w:val="000877DB"/>
    <w:rsid w:val="00090842"/>
    <w:rsid w:val="00090E18"/>
    <w:rsid w:val="00093855"/>
    <w:rsid w:val="00094809"/>
    <w:rsid w:val="00097296"/>
    <w:rsid w:val="000972E8"/>
    <w:rsid w:val="000976C7"/>
    <w:rsid w:val="00097C35"/>
    <w:rsid w:val="000A0869"/>
    <w:rsid w:val="000A10BC"/>
    <w:rsid w:val="000A1327"/>
    <w:rsid w:val="000A2ADB"/>
    <w:rsid w:val="000A3559"/>
    <w:rsid w:val="000A3833"/>
    <w:rsid w:val="000A4544"/>
    <w:rsid w:val="000A6AFC"/>
    <w:rsid w:val="000A6ECB"/>
    <w:rsid w:val="000A6F79"/>
    <w:rsid w:val="000A736C"/>
    <w:rsid w:val="000B0056"/>
    <w:rsid w:val="000B1B2A"/>
    <w:rsid w:val="000B25BC"/>
    <w:rsid w:val="000B3757"/>
    <w:rsid w:val="000B37C8"/>
    <w:rsid w:val="000B67F6"/>
    <w:rsid w:val="000B6C66"/>
    <w:rsid w:val="000C04CF"/>
    <w:rsid w:val="000C0619"/>
    <w:rsid w:val="000C1595"/>
    <w:rsid w:val="000C3C7B"/>
    <w:rsid w:val="000C426A"/>
    <w:rsid w:val="000D0370"/>
    <w:rsid w:val="000D0F93"/>
    <w:rsid w:val="000D1B28"/>
    <w:rsid w:val="000D4069"/>
    <w:rsid w:val="000D4EB8"/>
    <w:rsid w:val="000D6504"/>
    <w:rsid w:val="000E1FFA"/>
    <w:rsid w:val="000E26C4"/>
    <w:rsid w:val="000E33C4"/>
    <w:rsid w:val="000E45A6"/>
    <w:rsid w:val="000E4910"/>
    <w:rsid w:val="000E7B0B"/>
    <w:rsid w:val="000E7CA8"/>
    <w:rsid w:val="000F2783"/>
    <w:rsid w:val="000F7A36"/>
    <w:rsid w:val="00101EB1"/>
    <w:rsid w:val="00102348"/>
    <w:rsid w:val="00104168"/>
    <w:rsid w:val="00104A2E"/>
    <w:rsid w:val="001057F8"/>
    <w:rsid w:val="00106416"/>
    <w:rsid w:val="001067EE"/>
    <w:rsid w:val="00107B3E"/>
    <w:rsid w:val="00110481"/>
    <w:rsid w:val="001104B6"/>
    <w:rsid w:val="00110AAA"/>
    <w:rsid w:val="00111B54"/>
    <w:rsid w:val="00111C67"/>
    <w:rsid w:val="001127C9"/>
    <w:rsid w:val="001132BC"/>
    <w:rsid w:val="00114CB1"/>
    <w:rsid w:val="00115B88"/>
    <w:rsid w:val="00115F45"/>
    <w:rsid w:val="0011732C"/>
    <w:rsid w:val="00122600"/>
    <w:rsid w:val="00122CC6"/>
    <w:rsid w:val="00127029"/>
    <w:rsid w:val="0013009C"/>
    <w:rsid w:val="00130E72"/>
    <w:rsid w:val="0013252E"/>
    <w:rsid w:val="00132791"/>
    <w:rsid w:val="00132794"/>
    <w:rsid w:val="00132F6A"/>
    <w:rsid w:val="00133913"/>
    <w:rsid w:val="00134882"/>
    <w:rsid w:val="00136027"/>
    <w:rsid w:val="00140221"/>
    <w:rsid w:val="001435C6"/>
    <w:rsid w:val="00143A29"/>
    <w:rsid w:val="00143D86"/>
    <w:rsid w:val="00144A1B"/>
    <w:rsid w:val="00146322"/>
    <w:rsid w:val="00147511"/>
    <w:rsid w:val="00155EE9"/>
    <w:rsid w:val="00157C0F"/>
    <w:rsid w:val="00160029"/>
    <w:rsid w:val="00161528"/>
    <w:rsid w:val="001642FC"/>
    <w:rsid w:val="0016496B"/>
    <w:rsid w:val="00164AB4"/>
    <w:rsid w:val="00164BEC"/>
    <w:rsid w:val="00167223"/>
    <w:rsid w:val="001743E2"/>
    <w:rsid w:val="001745F8"/>
    <w:rsid w:val="00175CE9"/>
    <w:rsid w:val="001762A4"/>
    <w:rsid w:val="001777C4"/>
    <w:rsid w:val="00180D8A"/>
    <w:rsid w:val="001816EF"/>
    <w:rsid w:val="001820BE"/>
    <w:rsid w:val="00182A19"/>
    <w:rsid w:val="001838CF"/>
    <w:rsid w:val="00185A37"/>
    <w:rsid w:val="0018651C"/>
    <w:rsid w:val="001868EE"/>
    <w:rsid w:val="00194499"/>
    <w:rsid w:val="00194CCF"/>
    <w:rsid w:val="00195415"/>
    <w:rsid w:val="00195DAA"/>
    <w:rsid w:val="00196B3B"/>
    <w:rsid w:val="0019768D"/>
    <w:rsid w:val="001A16A9"/>
    <w:rsid w:val="001A21BE"/>
    <w:rsid w:val="001A23B1"/>
    <w:rsid w:val="001A3BA4"/>
    <w:rsid w:val="001A607A"/>
    <w:rsid w:val="001A6D1F"/>
    <w:rsid w:val="001B13EE"/>
    <w:rsid w:val="001B18C8"/>
    <w:rsid w:val="001B24F4"/>
    <w:rsid w:val="001C042F"/>
    <w:rsid w:val="001C0590"/>
    <w:rsid w:val="001C08EE"/>
    <w:rsid w:val="001C2E19"/>
    <w:rsid w:val="001C5574"/>
    <w:rsid w:val="001C696A"/>
    <w:rsid w:val="001C79C6"/>
    <w:rsid w:val="001C7B97"/>
    <w:rsid w:val="001C7BA4"/>
    <w:rsid w:val="001D39CF"/>
    <w:rsid w:val="001D560C"/>
    <w:rsid w:val="001D65A4"/>
    <w:rsid w:val="001E1B28"/>
    <w:rsid w:val="001E2981"/>
    <w:rsid w:val="001E2FD0"/>
    <w:rsid w:val="001E30F6"/>
    <w:rsid w:val="001E3506"/>
    <w:rsid w:val="001E38B0"/>
    <w:rsid w:val="001E476C"/>
    <w:rsid w:val="001E4A21"/>
    <w:rsid w:val="001E6E39"/>
    <w:rsid w:val="001F1E90"/>
    <w:rsid w:val="001F2927"/>
    <w:rsid w:val="001F37ED"/>
    <w:rsid w:val="001F491F"/>
    <w:rsid w:val="001F64C6"/>
    <w:rsid w:val="001F7EE8"/>
    <w:rsid w:val="00200856"/>
    <w:rsid w:val="00200937"/>
    <w:rsid w:val="00200B28"/>
    <w:rsid w:val="00202F6E"/>
    <w:rsid w:val="00203538"/>
    <w:rsid w:val="00204AAD"/>
    <w:rsid w:val="00204E2E"/>
    <w:rsid w:val="00206088"/>
    <w:rsid w:val="0020759B"/>
    <w:rsid w:val="00207B7F"/>
    <w:rsid w:val="0021259E"/>
    <w:rsid w:val="00216F2E"/>
    <w:rsid w:val="002179D2"/>
    <w:rsid w:val="00217CB7"/>
    <w:rsid w:val="00217EE5"/>
    <w:rsid w:val="002215D4"/>
    <w:rsid w:val="00223862"/>
    <w:rsid w:val="00225211"/>
    <w:rsid w:val="002258F5"/>
    <w:rsid w:val="00226E29"/>
    <w:rsid w:val="002305C1"/>
    <w:rsid w:val="002349D6"/>
    <w:rsid w:val="00235F5C"/>
    <w:rsid w:val="002405EC"/>
    <w:rsid w:val="002424D8"/>
    <w:rsid w:val="0024326E"/>
    <w:rsid w:val="00251C2E"/>
    <w:rsid w:val="00255463"/>
    <w:rsid w:val="002564E4"/>
    <w:rsid w:val="00257FA3"/>
    <w:rsid w:val="00260AC3"/>
    <w:rsid w:val="00261565"/>
    <w:rsid w:val="0026163F"/>
    <w:rsid w:val="00261F39"/>
    <w:rsid w:val="00261FE3"/>
    <w:rsid w:val="0026558A"/>
    <w:rsid w:val="00266C59"/>
    <w:rsid w:val="0026752A"/>
    <w:rsid w:val="002677AD"/>
    <w:rsid w:val="00270CE8"/>
    <w:rsid w:val="0027227B"/>
    <w:rsid w:val="002725D5"/>
    <w:rsid w:val="0027336A"/>
    <w:rsid w:val="002738D3"/>
    <w:rsid w:val="00275107"/>
    <w:rsid w:val="00275BD1"/>
    <w:rsid w:val="00277620"/>
    <w:rsid w:val="00277B56"/>
    <w:rsid w:val="002807E0"/>
    <w:rsid w:val="002822C1"/>
    <w:rsid w:val="00282EC0"/>
    <w:rsid w:val="0028586F"/>
    <w:rsid w:val="00290087"/>
    <w:rsid w:val="002906AD"/>
    <w:rsid w:val="00291246"/>
    <w:rsid w:val="0029499E"/>
    <w:rsid w:val="002950B6"/>
    <w:rsid w:val="002956C0"/>
    <w:rsid w:val="002968BE"/>
    <w:rsid w:val="00297C1B"/>
    <w:rsid w:val="002A19F5"/>
    <w:rsid w:val="002A4655"/>
    <w:rsid w:val="002A5F49"/>
    <w:rsid w:val="002A78F6"/>
    <w:rsid w:val="002B0149"/>
    <w:rsid w:val="002B4922"/>
    <w:rsid w:val="002B5990"/>
    <w:rsid w:val="002C16C3"/>
    <w:rsid w:val="002C17D2"/>
    <w:rsid w:val="002C22C3"/>
    <w:rsid w:val="002C2D19"/>
    <w:rsid w:val="002C3F16"/>
    <w:rsid w:val="002C4BE6"/>
    <w:rsid w:val="002C5169"/>
    <w:rsid w:val="002C5257"/>
    <w:rsid w:val="002C73AA"/>
    <w:rsid w:val="002C77F9"/>
    <w:rsid w:val="002C7B8D"/>
    <w:rsid w:val="002D08D8"/>
    <w:rsid w:val="002D0F0C"/>
    <w:rsid w:val="002D10FA"/>
    <w:rsid w:val="002D2D42"/>
    <w:rsid w:val="002D4C55"/>
    <w:rsid w:val="002D65D0"/>
    <w:rsid w:val="002D679D"/>
    <w:rsid w:val="002E0885"/>
    <w:rsid w:val="002E1B79"/>
    <w:rsid w:val="002E6DED"/>
    <w:rsid w:val="002E6FA0"/>
    <w:rsid w:val="002E739C"/>
    <w:rsid w:val="002F2874"/>
    <w:rsid w:val="002F3760"/>
    <w:rsid w:val="002F624C"/>
    <w:rsid w:val="002F74AB"/>
    <w:rsid w:val="00300956"/>
    <w:rsid w:val="00301FF8"/>
    <w:rsid w:val="00302F30"/>
    <w:rsid w:val="00303FF8"/>
    <w:rsid w:val="00304680"/>
    <w:rsid w:val="003051D5"/>
    <w:rsid w:val="003054D3"/>
    <w:rsid w:val="0030589B"/>
    <w:rsid w:val="003076EF"/>
    <w:rsid w:val="00307887"/>
    <w:rsid w:val="00312150"/>
    <w:rsid w:val="0031405E"/>
    <w:rsid w:val="00316CB7"/>
    <w:rsid w:val="00317031"/>
    <w:rsid w:val="00317187"/>
    <w:rsid w:val="00320C52"/>
    <w:rsid w:val="00322C39"/>
    <w:rsid w:val="003238A3"/>
    <w:rsid w:val="0032499A"/>
    <w:rsid w:val="00326378"/>
    <w:rsid w:val="00327864"/>
    <w:rsid w:val="00331E80"/>
    <w:rsid w:val="00332042"/>
    <w:rsid w:val="00332AB8"/>
    <w:rsid w:val="003334C1"/>
    <w:rsid w:val="00333739"/>
    <w:rsid w:val="003341F7"/>
    <w:rsid w:val="00335612"/>
    <w:rsid w:val="0033717F"/>
    <w:rsid w:val="0033776F"/>
    <w:rsid w:val="00337B9F"/>
    <w:rsid w:val="00343072"/>
    <w:rsid w:val="00343A85"/>
    <w:rsid w:val="00343D47"/>
    <w:rsid w:val="00344BE5"/>
    <w:rsid w:val="003457CE"/>
    <w:rsid w:val="003463B2"/>
    <w:rsid w:val="0034711D"/>
    <w:rsid w:val="00347FEC"/>
    <w:rsid w:val="00350980"/>
    <w:rsid w:val="003509D6"/>
    <w:rsid w:val="003510F1"/>
    <w:rsid w:val="00353028"/>
    <w:rsid w:val="003533E8"/>
    <w:rsid w:val="00353882"/>
    <w:rsid w:val="00353CEE"/>
    <w:rsid w:val="00356F45"/>
    <w:rsid w:val="00360069"/>
    <w:rsid w:val="003613F5"/>
    <w:rsid w:val="0036379E"/>
    <w:rsid w:val="00364D8F"/>
    <w:rsid w:val="00364F57"/>
    <w:rsid w:val="00365203"/>
    <w:rsid w:val="00366B74"/>
    <w:rsid w:val="00371264"/>
    <w:rsid w:val="00371B48"/>
    <w:rsid w:val="0037516A"/>
    <w:rsid w:val="00380177"/>
    <w:rsid w:val="003819A0"/>
    <w:rsid w:val="003837A7"/>
    <w:rsid w:val="00384D7B"/>
    <w:rsid w:val="003861E1"/>
    <w:rsid w:val="003866F7"/>
    <w:rsid w:val="00386ACB"/>
    <w:rsid w:val="00387562"/>
    <w:rsid w:val="0039376D"/>
    <w:rsid w:val="003944FA"/>
    <w:rsid w:val="00394B4F"/>
    <w:rsid w:val="003A0241"/>
    <w:rsid w:val="003A27AE"/>
    <w:rsid w:val="003A336A"/>
    <w:rsid w:val="003A39D0"/>
    <w:rsid w:val="003A5887"/>
    <w:rsid w:val="003A6DF3"/>
    <w:rsid w:val="003A710A"/>
    <w:rsid w:val="003B1024"/>
    <w:rsid w:val="003B1647"/>
    <w:rsid w:val="003B3CFA"/>
    <w:rsid w:val="003B635F"/>
    <w:rsid w:val="003B659E"/>
    <w:rsid w:val="003C0FF4"/>
    <w:rsid w:val="003C1E92"/>
    <w:rsid w:val="003C275E"/>
    <w:rsid w:val="003C3471"/>
    <w:rsid w:val="003C4EC3"/>
    <w:rsid w:val="003C5407"/>
    <w:rsid w:val="003C54E6"/>
    <w:rsid w:val="003C7A90"/>
    <w:rsid w:val="003D1A76"/>
    <w:rsid w:val="003D32AD"/>
    <w:rsid w:val="003D5CB4"/>
    <w:rsid w:val="003E373B"/>
    <w:rsid w:val="003E45E0"/>
    <w:rsid w:val="003E5155"/>
    <w:rsid w:val="003E58DF"/>
    <w:rsid w:val="003E781B"/>
    <w:rsid w:val="003E7BC3"/>
    <w:rsid w:val="003F022E"/>
    <w:rsid w:val="003F0CCA"/>
    <w:rsid w:val="003F1B26"/>
    <w:rsid w:val="003F1FC7"/>
    <w:rsid w:val="003F3A03"/>
    <w:rsid w:val="003F4E48"/>
    <w:rsid w:val="003F5E70"/>
    <w:rsid w:val="003F6CA1"/>
    <w:rsid w:val="003F6E1B"/>
    <w:rsid w:val="003F78E0"/>
    <w:rsid w:val="00404C4C"/>
    <w:rsid w:val="00405539"/>
    <w:rsid w:val="00406859"/>
    <w:rsid w:val="00412230"/>
    <w:rsid w:val="00413DBF"/>
    <w:rsid w:val="0041423F"/>
    <w:rsid w:val="00414F81"/>
    <w:rsid w:val="004160A5"/>
    <w:rsid w:val="00417178"/>
    <w:rsid w:val="00417FE7"/>
    <w:rsid w:val="0042078A"/>
    <w:rsid w:val="00421132"/>
    <w:rsid w:val="004227B0"/>
    <w:rsid w:val="00423005"/>
    <w:rsid w:val="0042341B"/>
    <w:rsid w:val="0042452F"/>
    <w:rsid w:val="00430EFA"/>
    <w:rsid w:val="00431A5E"/>
    <w:rsid w:val="00431E0B"/>
    <w:rsid w:val="00431FBF"/>
    <w:rsid w:val="00432D3D"/>
    <w:rsid w:val="00432EE8"/>
    <w:rsid w:val="00434CC7"/>
    <w:rsid w:val="00434DBF"/>
    <w:rsid w:val="0043603E"/>
    <w:rsid w:val="00436A0F"/>
    <w:rsid w:val="00437150"/>
    <w:rsid w:val="0043750A"/>
    <w:rsid w:val="00437DDB"/>
    <w:rsid w:val="00440252"/>
    <w:rsid w:val="00440EBC"/>
    <w:rsid w:val="00441E54"/>
    <w:rsid w:val="004420A2"/>
    <w:rsid w:val="004438AB"/>
    <w:rsid w:val="00444E97"/>
    <w:rsid w:val="004464E3"/>
    <w:rsid w:val="0045073F"/>
    <w:rsid w:val="00452290"/>
    <w:rsid w:val="004528BD"/>
    <w:rsid w:val="004529E4"/>
    <w:rsid w:val="00453E8E"/>
    <w:rsid w:val="00454F29"/>
    <w:rsid w:val="00461A06"/>
    <w:rsid w:val="00461DA6"/>
    <w:rsid w:val="0046243E"/>
    <w:rsid w:val="00464E95"/>
    <w:rsid w:val="00465594"/>
    <w:rsid w:val="00465E60"/>
    <w:rsid w:val="00466FF1"/>
    <w:rsid w:val="00467619"/>
    <w:rsid w:val="00471BED"/>
    <w:rsid w:val="004732E9"/>
    <w:rsid w:val="0047394B"/>
    <w:rsid w:val="0047396C"/>
    <w:rsid w:val="00476DFA"/>
    <w:rsid w:val="00480E02"/>
    <w:rsid w:val="0048157B"/>
    <w:rsid w:val="00481A99"/>
    <w:rsid w:val="00484FC0"/>
    <w:rsid w:val="004854BB"/>
    <w:rsid w:val="0048655C"/>
    <w:rsid w:val="00486A03"/>
    <w:rsid w:val="00487AC9"/>
    <w:rsid w:val="00487EAA"/>
    <w:rsid w:val="00490C12"/>
    <w:rsid w:val="00491607"/>
    <w:rsid w:val="00494245"/>
    <w:rsid w:val="0049537A"/>
    <w:rsid w:val="00496606"/>
    <w:rsid w:val="004A0A86"/>
    <w:rsid w:val="004A1330"/>
    <w:rsid w:val="004A1F88"/>
    <w:rsid w:val="004A7489"/>
    <w:rsid w:val="004B1E6E"/>
    <w:rsid w:val="004B7766"/>
    <w:rsid w:val="004B7CE4"/>
    <w:rsid w:val="004C448B"/>
    <w:rsid w:val="004C515A"/>
    <w:rsid w:val="004C6230"/>
    <w:rsid w:val="004C67E9"/>
    <w:rsid w:val="004C6C32"/>
    <w:rsid w:val="004C6D27"/>
    <w:rsid w:val="004D3BB8"/>
    <w:rsid w:val="004D5306"/>
    <w:rsid w:val="004D59FE"/>
    <w:rsid w:val="004D725B"/>
    <w:rsid w:val="004D7E76"/>
    <w:rsid w:val="004E1766"/>
    <w:rsid w:val="004E3734"/>
    <w:rsid w:val="004E39AE"/>
    <w:rsid w:val="004E419D"/>
    <w:rsid w:val="004E4592"/>
    <w:rsid w:val="004E4611"/>
    <w:rsid w:val="004E50C3"/>
    <w:rsid w:val="004E5E66"/>
    <w:rsid w:val="004E6834"/>
    <w:rsid w:val="004E7ADB"/>
    <w:rsid w:val="004F01D0"/>
    <w:rsid w:val="004F1B00"/>
    <w:rsid w:val="004F45F7"/>
    <w:rsid w:val="004F7790"/>
    <w:rsid w:val="00501D92"/>
    <w:rsid w:val="00502446"/>
    <w:rsid w:val="00502DD0"/>
    <w:rsid w:val="00503726"/>
    <w:rsid w:val="00503B4D"/>
    <w:rsid w:val="00504EE9"/>
    <w:rsid w:val="00506674"/>
    <w:rsid w:val="00507A8F"/>
    <w:rsid w:val="00507DE4"/>
    <w:rsid w:val="005111B1"/>
    <w:rsid w:val="0051490F"/>
    <w:rsid w:val="00515C8A"/>
    <w:rsid w:val="00521576"/>
    <w:rsid w:val="005222D4"/>
    <w:rsid w:val="00522565"/>
    <w:rsid w:val="005231F8"/>
    <w:rsid w:val="00523595"/>
    <w:rsid w:val="005250E6"/>
    <w:rsid w:val="005258C0"/>
    <w:rsid w:val="00526240"/>
    <w:rsid w:val="00526380"/>
    <w:rsid w:val="00527413"/>
    <w:rsid w:val="00527765"/>
    <w:rsid w:val="005278EA"/>
    <w:rsid w:val="0052796E"/>
    <w:rsid w:val="00527BBA"/>
    <w:rsid w:val="005321AD"/>
    <w:rsid w:val="00532399"/>
    <w:rsid w:val="00533DD2"/>
    <w:rsid w:val="00534426"/>
    <w:rsid w:val="005345E3"/>
    <w:rsid w:val="00534C0B"/>
    <w:rsid w:val="0054100E"/>
    <w:rsid w:val="005418F0"/>
    <w:rsid w:val="00542A65"/>
    <w:rsid w:val="00542D23"/>
    <w:rsid w:val="00542E3E"/>
    <w:rsid w:val="0054442C"/>
    <w:rsid w:val="0054450A"/>
    <w:rsid w:val="00546069"/>
    <w:rsid w:val="00546D25"/>
    <w:rsid w:val="00547EDE"/>
    <w:rsid w:val="00550285"/>
    <w:rsid w:val="005514ED"/>
    <w:rsid w:val="00551A32"/>
    <w:rsid w:val="0055399A"/>
    <w:rsid w:val="00553BC2"/>
    <w:rsid w:val="00554D89"/>
    <w:rsid w:val="00557564"/>
    <w:rsid w:val="00560803"/>
    <w:rsid w:val="00560969"/>
    <w:rsid w:val="00562492"/>
    <w:rsid w:val="0056319F"/>
    <w:rsid w:val="00563DBC"/>
    <w:rsid w:val="0056410D"/>
    <w:rsid w:val="00566F6C"/>
    <w:rsid w:val="00570CE0"/>
    <w:rsid w:val="00572A20"/>
    <w:rsid w:val="00572DD2"/>
    <w:rsid w:val="0057537D"/>
    <w:rsid w:val="00575601"/>
    <w:rsid w:val="00577A53"/>
    <w:rsid w:val="0058293E"/>
    <w:rsid w:val="005836F8"/>
    <w:rsid w:val="00583D7E"/>
    <w:rsid w:val="00587B98"/>
    <w:rsid w:val="005918FA"/>
    <w:rsid w:val="0059254E"/>
    <w:rsid w:val="00592A86"/>
    <w:rsid w:val="005A0FB5"/>
    <w:rsid w:val="005A158A"/>
    <w:rsid w:val="005A3B60"/>
    <w:rsid w:val="005A58CB"/>
    <w:rsid w:val="005B0237"/>
    <w:rsid w:val="005B19E1"/>
    <w:rsid w:val="005B4801"/>
    <w:rsid w:val="005B4E8D"/>
    <w:rsid w:val="005B72EF"/>
    <w:rsid w:val="005C1B8A"/>
    <w:rsid w:val="005C1F21"/>
    <w:rsid w:val="005C20A3"/>
    <w:rsid w:val="005C23A4"/>
    <w:rsid w:val="005C2E4E"/>
    <w:rsid w:val="005C3365"/>
    <w:rsid w:val="005C381E"/>
    <w:rsid w:val="005C7DBC"/>
    <w:rsid w:val="005D1CDF"/>
    <w:rsid w:val="005D2BB7"/>
    <w:rsid w:val="005D3B04"/>
    <w:rsid w:val="005D68A0"/>
    <w:rsid w:val="005D72F4"/>
    <w:rsid w:val="005E23AB"/>
    <w:rsid w:val="005E5266"/>
    <w:rsid w:val="005E5A6E"/>
    <w:rsid w:val="005E5A98"/>
    <w:rsid w:val="005E61A8"/>
    <w:rsid w:val="005E6E90"/>
    <w:rsid w:val="005F000A"/>
    <w:rsid w:val="005F1190"/>
    <w:rsid w:val="005F389B"/>
    <w:rsid w:val="005F3C7A"/>
    <w:rsid w:val="005F43D6"/>
    <w:rsid w:val="005F565D"/>
    <w:rsid w:val="005F6419"/>
    <w:rsid w:val="005F71B7"/>
    <w:rsid w:val="005F7E2D"/>
    <w:rsid w:val="00600924"/>
    <w:rsid w:val="00602A79"/>
    <w:rsid w:val="006045EE"/>
    <w:rsid w:val="00604E78"/>
    <w:rsid w:val="0060543D"/>
    <w:rsid w:val="006060D7"/>
    <w:rsid w:val="006061DE"/>
    <w:rsid w:val="00606D1A"/>
    <w:rsid w:val="006070F3"/>
    <w:rsid w:val="006072D4"/>
    <w:rsid w:val="00607D67"/>
    <w:rsid w:val="006104DD"/>
    <w:rsid w:val="00610AC7"/>
    <w:rsid w:val="00611C66"/>
    <w:rsid w:val="006130B5"/>
    <w:rsid w:val="006135A8"/>
    <w:rsid w:val="00616273"/>
    <w:rsid w:val="00616744"/>
    <w:rsid w:val="00616CE1"/>
    <w:rsid w:val="00617400"/>
    <w:rsid w:val="00617614"/>
    <w:rsid w:val="00621D3A"/>
    <w:rsid w:val="00622363"/>
    <w:rsid w:val="00623D10"/>
    <w:rsid w:val="00624935"/>
    <w:rsid w:val="00630F03"/>
    <w:rsid w:val="00631F9E"/>
    <w:rsid w:val="00632D29"/>
    <w:rsid w:val="006343E0"/>
    <w:rsid w:val="006352C3"/>
    <w:rsid w:val="0063599E"/>
    <w:rsid w:val="00635DF5"/>
    <w:rsid w:val="00636C68"/>
    <w:rsid w:val="00640D0B"/>
    <w:rsid w:val="00641150"/>
    <w:rsid w:val="006425A4"/>
    <w:rsid w:val="006427E4"/>
    <w:rsid w:val="00650BBE"/>
    <w:rsid w:val="006523B5"/>
    <w:rsid w:val="00652710"/>
    <w:rsid w:val="00655058"/>
    <w:rsid w:val="00661633"/>
    <w:rsid w:val="00661DDD"/>
    <w:rsid w:val="00663749"/>
    <w:rsid w:val="0066414E"/>
    <w:rsid w:val="00664950"/>
    <w:rsid w:val="0066534D"/>
    <w:rsid w:val="00667302"/>
    <w:rsid w:val="00670260"/>
    <w:rsid w:val="00675C75"/>
    <w:rsid w:val="006828EB"/>
    <w:rsid w:val="00683220"/>
    <w:rsid w:val="006840B2"/>
    <w:rsid w:val="00684878"/>
    <w:rsid w:val="006872F2"/>
    <w:rsid w:val="00687681"/>
    <w:rsid w:val="00687FA0"/>
    <w:rsid w:val="006900AB"/>
    <w:rsid w:val="0069137A"/>
    <w:rsid w:val="0069143A"/>
    <w:rsid w:val="006920AF"/>
    <w:rsid w:val="006922B8"/>
    <w:rsid w:val="00692DF0"/>
    <w:rsid w:val="0069432F"/>
    <w:rsid w:val="006953FD"/>
    <w:rsid w:val="0069691E"/>
    <w:rsid w:val="006A3138"/>
    <w:rsid w:val="006A3414"/>
    <w:rsid w:val="006A39C0"/>
    <w:rsid w:val="006A3C11"/>
    <w:rsid w:val="006A3CC1"/>
    <w:rsid w:val="006A4206"/>
    <w:rsid w:val="006A72A7"/>
    <w:rsid w:val="006A7A7C"/>
    <w:rsid w:val="006B38CC"/>
    <w:rsid w:val="006B427A"/>
    <w:rsid w:val="006B64EF"/>
    <w:rsid w:val="006B7010"/>
    <w:rsid w:val="006C1462"/>
    <w:rsid w:val="006C1C08"/>
    <w:rsid w:val="006C20B0"/>
    <w:rsid w:val="006C3095"/>
    <w:rsid w:val="006C33E3"/>
    <w:rsid w:val="006C4051"/>
    <w:rsid w:val="006C6044"/>
    <w:rsid w:val="006C727F"/>
    <w:rsid w:val="006C7C58"/>
    <w:rsid w:val="006D4BFD"/>
    <w:rsid w:val="006D6CA1"/>
    <w:rsid w:val="006D70D1"/>
    <w:rsid w:val="006D7E2F"/>
    <w:rsid w:val="006E1151"/>
    <w:rsid w:val="006E1AC9"/>
    <w:rsid w:val="006E20FF"/>
    <w:rsid w:val="006E266E"/>
    <w:rsid w:val="006E6311"/>
    <w:rsid w:val="006E7BBB"/>
    <w:rsid w:val="006E7FDE"/>
    <w:rsid w:val="006F0E8F"/>
    <w:rsid w:val="006F4EFC"/>
    <w:rsid w:val="006F7104"/>
    <w:rsid w:val="00703C98"/>
    <w:rsid w:val="00705635"/>
    <w:rsid w:val="00706755"/>
    <w:rsid w:val="00710D51"/>
    <w:rsid w:val="00713FFC"/>
    <w:rsid w:val="007145FF"/>
    <w:rsid w:val="00715B2A"/>
    <w:rsid w:val="00715CB0"/>
    <w:rsid w:val="0071678B"/>
    <w:rsid w:val="00720E39"/>
    <w:rsid w:val="00722780"/>
    <w:rsid w:val="00726021"/>
    <w:rsid w:val="00731285"/>
    <w:rsid w:val="007330F8"/>
    <w:rsid w:val="00733622"/>
    <w:rsid w:val="007357EA"/>
    <w:rsid w:val="007361E5"/>
    <w:rsid w:val="00736270"/>
    <w:rsid w:val="00736FA6"/>
    <w:rsid w:val="00744333"/>
    <w:rsid w:val="00744499"/>
    <w:rsid w:val="00744C9F"/>
    <w:rsid w:val="007450F1"/>
    <w:rsid w:val="0074590C"/>
    <w:rsid w:val="00746063"/>
    <w:rsid w:val="00746675"/>
    <w:rsid w:val="0074782E"/>
    <w:rsid w:val="00750E3F"/>
    <w:rsid w:val="00751515"/>
    <w:rsid w:val="00753006"/>
    <w:rsid w:val="00753593"/>
    <w:rsid w:val="00754715"/>
    <w:rsid w:val="0075484C"/>
    <w:rsid w:val="007605C6"/>
    <w:rsid w:val="007626B7"/>
    <w:rsid w:val="007652FD"/>
    <w:rsid w:val="007739FC"/>
    <w:rsid w:val="00774A72"/>
    <w:rsid w:val="0077547A"/>
    <w:rsid w:val="0078212B"/>
    <w:rsid w:val="007843C5"/>
    <w:rsid w:val="00784DF6"/>
    <w:rsid w:val="00785232"/>
    <w:rsid w:val="00785237"/>
    <w:rsid w:val="00785479"/>
    <w:rsid w:val="007854DC"/>
    <w:rsid w:val="007857AE"/>
    <w:rsid w:val="00785E16"/>
    <w:rsid w:val="00790278"/>
    <w:rsid w:val="0079035B"/>
    <w:rsid w:val="007903E5"/>
    <w:rsid w:val="0079059D"/>
    <w:rsid w:val="00790C59"/>
    <w:rsid w:val="00792051"/>
    <w:rsid w:val="007962B5"/>
    <w:rsid w:val="007A008D"/>
    <w:rsid w:val="007A51EF"/>
    <w:rsid w:val="007A59AF"/>
    <w:rsid w:val="007A6BFF"/>
    <w:rsid w:val="007A78F7"/>
    <w:rsid w:val="007B0130"/>
    <w:rsid w:val="007B186C"/>
    <w:rsid w:val="007B4E42"/>
    <w:rsid w:val="007B5550"/>
    <w:rsid w:val="007B6C1E"/>
    <w:rsid w:val="007C06EB"/>
    <w:rsid w:val="007C0CE3"/>
    <w:rsid w:val="007C1696"/>
    <w:rsid w:val="007C34E9"/>
    <w:rsid w:val="007C3819"/>
    <w:rsid w:val="007C3ED0"/>
    <w:rsid w:val="007C5971"/>
    <w:rsid w:val="007C7184"/>
    <w:rsid w:val="007C7875"/>
    <w:rsid w:val="007D042C"/>
    <w:rsid w:val="007D0C31"/>
    <w:rsid w:val="007D15BF"/>
    <w:rsid w:val="007D3477"/>
    <w:rsid w:val="007D5BB8"/>
    <w:rsid w:val="007D5DBA"/>
    <w:rsid w:val="007D66B7"/>
    <w:rsid w:val="007D6A56"/>
    <w:rsid w:val="007E168C"/>
    <w:rsid w:val="007E26B6"/>
    <w:rsid w:val="007E3142"/>
    <w:rsid w:val="007E3F20"/>
    <w:rsid w:val="007E447D"/>
    <w:rsid w:val="007E4874"/>
    <w:rsid w:val="007E5374"/>
    <w:rsid w:val="007E5A6B"/>
    <w:rsid w:val="007F172E"/>
    <w:rsid w:val="007F54B9"/>
    <w:rsid w:val="007F6899"/>
    <w:rsid w:val="007F69FF"/>
    <w:rsid w:val="007F6DE9"/>
    <w:rsid w:val="007F71E3"/>
    <w:rsid w:val="007F7666"/>
    <w:rsid w:val="00800682"/>
    <w:rsid w:val="008024AD"/>
    <w:rsid w:val="00802E06"/>
    <w:rsid w:val="00803313"/>
    <w:rsid w:val="00803409"/>
    <w:rsid w:val="00803764"/>
    <w:rsid w:val="0080380F"/>
    <w:rsid w:val="00804430"/>
    <w:rsid w:val="00804AB6"/>
    <w:rsid w:val="00804EEE"/>
    <w:rsid w:val="008062CE"/>
    <w:rsid w:val="00806A76"/>
    <w:rsid w:val="00806B52"/>
    <w:rsid w:val="008071B8"/>
    <w:rsid w:val="00807310"/>
    <w:rsid w:val="00811C9D"/>
    <w:rsid w:val="00812BB3"/>
    <w:rsid w:val="00814652"/>
    <w:rsid w:val="0081585E"/>
    <w:rsid w:val="00816C80"/>
    <w:rsid w:val="0081737E"/>
    <w:rsid w:val="00817825"/>
    <w:rsid w:val="00817A04"/>
    <w:rsid w:val="00821DC4"/>
    <w:rsid w:val="008220AE"/>
    <w:rsid w:val="008234C4"/>
    <w:rsid w:val="0082538B"/>
    <w:rsid w:val="00825E54"/>
    <w:rsid w:val="00830DC7"/>
    <w:rsid w:val="00835D26"/>
    <w:rsid w:val="00836598"/>
    <w:rsid w:val="008366CF"/>
    <w:rsid w:val="00836B2E"/>
    <w:rsid w:val="00840514"/>
    <w:rsid w:val="008406A2"/>
    <w:rsid w:val="00841404"/>
    <w:rsid w:val="00841839"/>
    <w:rsid w:val="00841BCD"/>
    <w:rsid w:val="00841F60"/>
    <w:rsid w:val="0084253C"/>
    <w:rsid w:val="008434C5"/>
    <w:rsid w:val="008449F4"/>
    <w:rsid w:val="00847536"/>
    <w:rsid w:val="0085110F"/>
    <w:rsid w:val="008516E6"/>
    <w:rsid w:val="00851A8E"/>
    <w:rsid w:val="0085365B"/>
    <w:rsid w:val="008561CE"/>
    <w:rsid w:val="00861813"/>
    <w:rsid w:val="00862C1B"/>
    <w:rsid w:val="00865846"/>
    <w:rsid w:val="00865B45"/>
    <w:rsid w:val="00865BC3"/>
    <w:rsid w:val="00866A05"/>
    <w:rsid w:val="00866E34"/>
    <w:rsid w:val="00867679"/>
    <w:rsid w:val="0087092B"/>
    <w:rsid w:val="008725D0"/>
    <w:rsid w:val="00874070"/>
    <w:rsid w:val="008746C6"/>
    <w:rsid w:val="00877D2C"/>
    <w:rsid w:val="00880203"/>
    <w:rsid w:val="0088063F"/>
    <w:rsid w:val="008826C1"/>
    <w:rsid w:val="00883D3C"/>
    <w:rsid w:val="00883DFD"/>
    <w:rsid w:val="00883F98"/>
    <w:rsid w:val="0088418A"/>
    <w:rsid w:val="008875E9"/>
    <w:rsid w:val="00887918"/>
    <w:rsid w:val="008879BE"/>
    <w:rsid w:val="00890182"/>
    <w:rsid w:val="00891BD6"/>
    <w:rsid w:val="0089484C"/>
    <w:rsid w:val="00897DAD"/>
    <w:rsid w:val="008A0CA1"/>
    <w:rsid w:val="008A1BF7"/>
    <w:rsid w:val="008A1E93"/>
    <w:rsid w:val="008A2C37"/>
    <w:rsid w:val="008A4CC6"/>
    <w:rsid w:val="008A5B0E"/>
    <w:rsid w:val="008A5B1F"/>
    <w:rsid w:val="008B0961"/>
    <w:rsid w:val="008B2804"/>
    <w:rsid w:val="008B341E"/>
    <w:rsid w:val="008B62DD"/>
    <w:rsid w:val="008B63FD"/>
    <w:rsid w:val="008B7373"/>
    <w:rsid w:val="008B7F72"/>
    <w:rsid w:val="008C23DF"/>
    <w:rsid w:val="008C46B0"/>
    <w:rsid w:val="008C561A"/>
    <w:rsid w:val="008C6B7C"/>
    <w:rsid w:val="008C70AE"/>
    <w:rsid w:val="008D0299"/>
    <w:rsid w:val="008D0BA8"/>
    <w:rsid w:val="008D6CE0"/>
    <w:rsid w:val="008D7492"/>
    <w:rsid w:val="008E0FC2"/>
    <w:rsid w:val="008E10C3"/>
    <w:rsid w:val="008E200C"/>
    <w:rsid w:val="008E26F6"/>
    <w:rsid w:val="008E37BD"/>
    <w:rsid w:val="008E3C34"/>
    <w:rsid w:val="008E4939"/>
    <w:rsid w:val="008E4A93"/>
    <w:rsid w:val="008E6D77"/>
    <w:rsid w:val="008E7C8D"/>
    <w:rsid w:val="008F0008"/>
    <w:rsid w:val="008F4F2D"/>
    <w:rsid w:val="008F5448"/>
    <w:rsid w:val="008F5E54"/>
    <w:rsid w:val="0090091A"/>
    <w:rsid w:val="00901629"/>
    <w:rsid w:val="009042BD"/>
    <w:rsid w:val="00905026"/>
    <w:rsid w:val="0090549A"/>
    <w:rsid w:val="0090569C"/>
    <w:rsid w:val="00906AE3"/>
    <w:rsid w:val="00907F4A"/>
    <w:rsid w:val="009121E4"/>
    <w:rsid w:val="00912757"/>
    <w:rsid w:val="00916587"/>
    <w:rsid w:val="00922F99"/>
    <w:rsid w:val="009234C4"/>
    <w:rsid w:val="0092475A"/>
    <w:rsid w:val="009255EC"/>
    <w:rsid w:val="009270D9"/>
    <w:rsid w:val="00927BD7"/>
    <w:rsid w:val="0093345A"/>
    <w:rsid w:val="009345AE"/>
    <w:rsid w:val="00936159"/>
    <w:rsid w:val="00941CD1"/>
    <w:rsid w:val="00941D35"/>
    <w:rsid w:val="009423A6"/>
    <w:rsid w:val="00944809"/>
    <w:rsid w:val="00944B2D"/>
    <w:rsid w:val="009457D3"/>
    <w:rsid w:val="009457FD"/>
    <w:rsid w:val="00945C85"/>
    <w:rsid w:val="00945E5E"/>
    <w:rsid w:val="00946061"/>
    <w:rsid w:val="0094758A"/>
    <w:rsid w:val="00950011"/>
    <w:rsid w:val="00952288"/>
    <w:rsid w:val="00954F7B"/>
    <w:rsid w:val="009570D6"/>
    <w:rsid w:val="00960F15"/>
    <w:rsid w:val="00961B1B"/>
    <w:rsid w:val="00962B04"/>
    <w:rsid w:val="00962BF8"/>
    <w:rsid w:val="00963E28"/>
    <w:rsid w:val="00964979"/>
    <w:rsid w:val="009705DC"/>
    <w:rsid w:val="00971051"/>
    <w:rsid w:val="009721C4"/>
    <w:rsid w:val="00973F87"/>
    <w:rsid w:val="00974C1A"/>
    <w:rsid w:val="009762D5"/>
    <w:rsid w:val="0097662F"/>
    <w:rsid w:val="00976FC4"/>
    <w:rsid w:val="00977E1D"/>
    <w:rsid w:val="00977F6C"/>
    <w:rsid w:val="00981F3B"/>
    <w:rsid w:val="00985730"/>
    <w:rsid w:val="00987119"/>
    <w:rsid w:val="00987780"/>
    <w:rsid w:val="00991B62"/>
    <w:rsid w:val="00992520"/>
    <w:rsid w:val="0099589D"/>
    <w:rsid w:val="009964D1"/>
    <w:rsid w:val="00997AE8"/>
    <w:rsid w:val="009A2D80"/>
    <w:rsid w:val="009A316D"/>
    <w:rsid w:val="009A4D48"/>
    <w:rsid w:val="009A5011"/>
    <w:rsid w:val="009A5596"/>
    <w:rsid w:val="009A5C02"/>
    <w:rsid w:val="009A6415"/>
    <w:rsid w:val="009A6709"/>
    <w:rsid w:val="009B0573"/>
    <w:rsid w:val="009B267E"/>
    <w:rsid w:val="009B2797"/>
    <w:rsid w:val="009B3910"/>
    <w:rsid w:val="009B3A7E"/>
    <w:rsid w:val="009B3E68"/>
    <w:rsid w:val="009B4C29"/>
    <w:rsid w:val="009B5707"/>
    <w:rsid w:val="009B5A87"/>
    <w:rsid w:val="009B5DF3"/>
    <w:rsid w:val="009B7B4B"/>
    <w:rsid w:val="009B7C21"/>
    <w:rsid w:val="009C283D"/>
    <w:rsid w:val="009C3CD7"/>
    <w:rsid w:val="009C5367"/>
    <w:rsid w:val="009C6D43"/>
    <w:rsid w:val="009D11CB"/>
    <w:rsid w:val="009D249D"/>
    <w:rsid w:val="009D3305"/>
    <w:rsid w:val="009D4A23"/>
    <w:rsid w:val="009D6B49"/>
    <w:rsid w:val="009E1F7E"/>
    <w:rsid w:val="009E403A"/>
    <w:rsid w:val="009E569F"/>
    <w:rsid w:val="009F086C"/>
    <w:rsid w:val="009F2BD2"/>
    <w:rsid w:val="009F2DF6"/>
    <w:rsid w:val="009F4A9C"/>
    <w:rsid w:val="009F7278"/>
    <w:rsid w:val="009F7BEE"/>
    <w:rsid w:val="00A02393"/>
    <w:rsid w:val="00A02BB6"/>
    <w:rsid w:val="00A03421"/>
    <w:rsid w:val="00A04992"/>
    <w:rsid w:val="00A04C14"/>
    <w:rsid w:val="00A05563"/>
    <w:rsid w:val="00A05656"/>
    <w:rsid w:val="00A060B0"/>
    <w:rsid w:val="00A1161A"/>
    <w:rsid w:val="00A11D82"/>
    <w:rsid w:val="00A13094"/>
    <w:rsid w:val="00A141B5"/>
    <w:rsid w:val="00A147AA"/>
    <w:rsid w:val="00A15E5C"/>
    <w:rsid w:val="00A21182"/>
    <w:rsid w:val="00A21D71"/>
    <w:rsid w:val="00A22279"/>
    <w:rsid w:val="00A22B78"/>
    <w:rsid w:val="00A233F3"/>
    <w:rsid w:val="00A23433"/>
    <w:rsid w:val="00A23F20"/>
    <w:rsid w:val="00A25519"/>
    <w:rsid w:val="00A25AE5"/>
    <w:rsid w:val="00A26792"/>
    <w:rsid w:val="00A30524"/>
    <w:rsid w:val="00A31703"/>
    <w:rsid w:val="00A31841"/>
    <w:rsid w:val="00A31B73"/>
    <w:rsid w:val="00A32E7E"/>
    <w:rsid w:val="00A33CB7"/>
    <w:rsid w:val="00A35C8A"/>
    <w:rsid w:val="00A37002"/>
    <w:rsid w:val="00A3792D"/>
    <w:rsid w:val="00A400C9"/>
    <w:rsid w:val="00A40CB5"/>
    <w:rsid w:val="00A426F5"/>
    <w:rsid w:val="00A429BF"/>
    <w:rsid w:val="00A4355E"/>
    <w:rsid w:val="00A43B3E"/>
    <w:rsid w:val="00A4695D"/>
    <w:rsid w:val="00A513B1"/>
    <w:rsid w:val="00A524CC"/>
    <w:rsid w:val="00A5363A"/>
    <w:rsid w:val="00A55E28"/>
    <w:rsid w:val="00A56EF0"/>
    <w:rsid w:val="00A57D7C"/>
    <w:rsid w:val="00A601F1"/>
    <w:rsid w:val="00A619C1"/>
    <w:rsid w:val="00A63920"/>
    <w:rsid w:val="00A6545B"/>
    <w:rsid w:val="00A67210"/>
    <w:rsid w:val="00A67985"/>
    <w:rsid w:val="00A71424"/>
    <w:rsid w:val="00A716BF"/>
    <w:rsid w:val="00A7282A"/>
    <w:rsid w:val="00A80D16"/>
    <w:rsid w:val="00A815D5"/>
    <w:rsid w:val="00A8448B"/>
    <w:rsid w:val="00A86847"/>
    <w:rsid w:val="00A92BCD"/>
    <w:rsid w:val="00A946FB"/>
    <w:rsid w:val="00AA155E"/>
    <w:rsid w:val="00AA1B0E"/>
    <w:rsid w:val="00AA29F3"/>
    <w:rsid w:val="00AA3711"/>
    <w:rsid w:val="00AA393E"/>
    <w:rsid w:val="00AA47B6"/>
    <w:rsid w:val="00AA5C5E"/>
    <w:rsid w:val="00AA62F3"/>
    <w:rsid w:val="00AB5571"/>
    <w:rsid w:val="00AC02EB"/>
    <w:rsid w:val="00AC13D7"/>
    <w:rsid w:val="00AC163B"/>
    <w:rsid w:val="00AC250A"/>
    <w:rsid w:val="00AC5686"/>
    <w:rsid w:val="00AC5CA7"/>
    <w:rsid w:val="00AC5CD8"/>
    <w:rsid w:val="00AC6058"/>
    <w:rsid w:val="00AD0ACD"/>
    <w:rsid w:val="00AD16CB"/>
    <w:rsid w:val="00AD2C0D"/>
    <w:rsid w:val="00AD2C6C"/>
    <w:rsid w:val="00AD44CF"/>
    <w:rsid w:val="00AD5BCD"/>
    <w:rsid w:val="00AE069E"/>
    <w:rsid w:val="00AE23F8"/>
    <w:rsid w:val="00AE2BA5"/>
    <w:rsid w:val="00AE5210"/>
    <w:rsid w:val="00AE5459"/>
    <w:rsid w:val="00AE56B1"/>
    <w:rsid w:val="00AE671B"/>
    <w:rsid w:val="00AE6B01"/>
    <w:rsid w:val="00AE6D09"/>
    <w:rsid w:val="00AF1E30"/>
    <w:rsid w:val="00AF1E75"/>
    <w:rsid w:val="00AF3CF2"/>
    <w:rsid w:val="00AF4C14"/>
    <w:rsid w:val="00AF4FC1"/>
    <w:rsid w:val="00AF552A"/>
    <w:rsid w:val="00AF60C5"/>
    <w:rsid w:val="00AF6369"/>
    <w:rsid w:val="00AF76B9"/>
    <w:rsid w:val="00AF7A6D"/>
    <w:rsid w:val="00AF7A7C"/>
    <w:rsid w:val="00B03218"/>
    <w:rsid w:val="00B03724"/>
    <w:rsid w:val="00B03D90"/>
    <w:rsid w:val="00B0407E"/>
    <w:rsid w:val="00B05A9A"/>
    <w:rsid w:val="00B07387"/>
    <w:rsid w:val="00B10155"/>
    <w:rsid w:val="00B10BE6"/>
    <w:rsid w:val="00B1345C"/>
    <w:rsid w:val="00B13AFC"/>
    <w:rsid w:val="00B15E05"/>
    <w:rsid w:val="00B16CDF"/>
    <w:rsid w:val="00B208E8"/>
    <w:rsid w:val="00B23A6A"/>
    <w:rsid w:val="00B23C74"/>
    <w:rsid w:val="00B2458B"/>
    <w:rsid w:val="00B256E6"/>
    <w:rsid w:val="00B26938"/>
    <w:rsid w:val="00B2738F"/>
    <w:rsid w:val="00B30A22"/>
    <w:rsid w:val="00B32C45"/>
    <w:rsid w:val="00B33350"/>
    <w:rsid w:val="00B34B3B"/>
    <w:rsid w:val="00B35714"/>
    <w:rsid w:val="00B37AD4"/>
    <w:rsid w:val="00B408B6"/>
    <w:rsid w:val="00B416D9"/>
    <w:rsid w:val="00B417C0"/>
    <w:rsid w:val="00B449C9"/>
    <w:rsid w:val="00B458B5"/>
    <w:rsid w:val="00B476BC"/>
    <w:rsid w:val="00B50BC9"/>
    <w:rsid w:val="00B542DA"/>
    <w:rsid w:val="00B558BA"/>
    <w:rsid w:val="00B55B5F"/>
    <w:rsid w:val="00B566F6"/>
    <w:rsid w:val="00B56E29"/>
    <w:rsid w:val="00B60F0F"/>
    <w:rsid w:val="00B618B5"/>
    <w:rsid w:val="00B62FF2"/>
    <w:rsid w:val="00B6407B"/>
    <w:rsid w:val="00B64EA9"/>
    <w:rsid w:val="00B64F95"/>
    <w:rsid w:val="00B64FF1"/>
    <w:rsid w:val="00B6662F"/>
    <w:rsid w:val="00B674C8"/>
    <w:rsid w:val="00B721DA"/>
    <w:rsid w:val="00B72E89"/>
    <w:rsid w:val="00B73862"/>
    <w:rsid w:val="00B73875"/>
    <w:rsid w:val="00B73F43"/>
    <w:rsid w:val="00B745EB"/>
    <w:rsid w:val="00B74CEB"/>
    <w:rsid w:val="00B75C52"/>
    <w:rsid w:val="00B8093C"/>
    <w:rsid w:val="00B84A0F"/>
    <w:rsid w:val="00B85A4F"/>
    <w:rsid w:val="00B87E4F"/>
    <w:rsid w:val="00B9218D"/>
    <w:rsid w:val="00B945A2"/>
    <w:rsid w:val="00BA0726"/>
    <w:rsid w:val="00BA11AD"/>
    <w:rsid w:val="00BA52F3"/>
    <w:rsid w:val="00BA6482"/>
    <w:rsid w:val="00BA6B66"/>
    <w:rsid w:val="00BA6E48"/>
    <w:rsid w:val="00BA732E"/>
    <w:rsid w:val="00BA7F86"/>
    <w:rsid w:val="00BB023A"/>
    <w:rsid w:val="00BB068F"/>
    <w:rsid w:val="00BB38C9"/>
    <w:rsid w:val="00BB3AD2"/>
    <w:rsid w:val="00BB55BC"/>
    <w:rsid w:val="00BB6627"/>
    <w:rsid w:val="00BB76D1"/>
    <w:rsid w:val="00BC0955"/>
    <w:rsid w:val="00BC111D"/>
    <w:rsid w:val="00BC2E74"/>
    <w:rsid w:val="00BC3273"/>
    <w:rsid w:val="00BC4BAF"/>
    <w:rsid w:val="00BD060E"/>
    <w:rsid w:val="00BD35F7"/>
    <w:rsid w:val="00BD36A8"/>
    <w:rsid w:val="00BD61CB"/>
    <w:rsid w:val="00BD637A"/>
    <w:rsid w:val="00BD6A8B"/>
    <w:rsid w:val="00BD7AC2"/>
    <w:rsid w:val="00BE057A"/>
    <w:rsid w:val="00BE0AF6"/>
    <w:rsid w:val="00BE1013"/>
    <w:rsid w:val="00BE1F03"/>
    <w:rsid w:val="00BE2284"/>
    <w:rsid w:val="00BE2336"/>
    <w:rsid w:val="00BE58A7"/>
    <w:rsid w:val="00BF05D8"/>
    <w:rsid w:val="00BF099D"/>
    <w:rsid w:val="00BF2218"/>
    <w:rsid w:val="00BF2AC8"/>
    <w:rsid w:val="00BF4279"/>
    <w:rsid w:val="00BF4305"/>
    <w:rsid w:val="00BF446C"/>
    <w:rsid w:val="00BF5551"/>
    <w:rsid w:val="00BF55B4"/>
    <w:rsid w:val="00BF794A"/>
    <w:rsid w:val="00C01D7B"/>
    <w:rsid w:val="00C022AD"/>
    <w:rsid w:val="00C038C1"/>
    <w:rsid w:val="00C0426B"/>
    <w:rsid w:val="00C045DF"/>
    <w:rsid w:val="00C0485D"/>
    <w:rsid w:val="00C04E57"/>
    <w:rsid w:val="00C0709A"/>
    <w:rsid w:val="00C07183"/>
    <w:rsid w:val="00C07BAC"/>
    <w:rsid w:val="00C109FC"/>
    <w:rsid w:val="00C1358F"/>
    <w:rsid w:val="00C16374"/>
    <w:rsid w:val="00C21926"/>
    <w:rsid w:val="00C23F6C"/>
    <w:rsid w:val="00C2416F"/>
    <w:rsid w:val="00C26D43"/>
    <w:rsid w:val="00C26FAE"/>
    <w:rsid w:val="00C30F77"/>
    <w:rsid w:val="00C3168E"/>
    <w:rsid w:val="00C323F5"/>
    <w:rsid w:val="00C333A6"/>
    <w:rsid w:val="00C34373"/>
    <w:rsid w:val="00C3585E"/>
    <w:rsid w:val="00C40932"/>
    <w:rsid w:val="00C4285C"/>
    <w:rsid w:val="00C434A8"/>
    <w:rsid w:val="00C4463D"/>
    <w:rsid w:val="00C46548"/>
    <w:rsid w:val="00C46CA7"/>
    <w:rsid w:val="00C47365"/>
    <w:rsid w:val="00C47E24"/>
    <w:rsid w:val="00C50443"/>
    <w:rsid w:val="00C50B82"/>
    <w:rsid w:val="00C52103"/>
    <w:rsid w:val="00C53593"/>
    <w:rsid w:val="00C53DC5"/>
    <w:rsid w:val="00C55360"/>
    <w:rsid w:val="00C574D5"/>
    <w:rsid w:val="00C57EB7"/>
    <w:rsid w:val="00C608B4"/>
    <w:rsid w:val="00C62147"/>
    <w:rsid w:val="00C62561"/>
    <w:rsid w:val="00C64505"/>
    <w:rsid w:val="00C647EE"/>
    <w:rsid w:val="00C65267"/>
    <w:rsid w:val="00C668ED"/>
    <w:rsid w:val="00C67166"/>
    <w:rsid w:val="00C679A1"/>
    <w:rsid w:val="00C67C1A"/>
    <w:rsid w:val="00C702A7"/>
    <w:rsid w:val="00C719BF"/>
    <w:rsid w:val="00C73F32"/>
    <w:rsid w:val="00C7442D"/>
    <w:rsid w:val="00C757B4"/>
    <w:rsid w:val="00C758B5"/>
    <w:rsid w:val="00C75A1F"/>
    <w:rsid w:val="00C77CD5"/>
    <w:rsid w:val="00C8067D"/>
    <w:rsid w:val="00C81774"/>
    <w:rsid w:val="00C853E4"/>
    <w:rsid w:val="00C87462"/>
    <w:rsid w:val="00C93EC7"/>
    <w:rsid w:val="00C94043"/>
    <w:rsid w:val="00C9523B"/>
    <w:rsid w:val="00C9531B"/>
    <w:rsid w:val="00C9555B"/>
    <w:rsid w:val="00C97CF7"/>
    <w:rsid w:val="00CA1318"/>
    <w:rsid w:val="00CA180C"/>
    <w:rsid w:val="00CA415A"/>
    <w:rsid w:val="00CA5D6D"/>
    <w:rsid w:val="00CA6AFB"/>
    <w:rsid w:val="00CA70E8"/>
    <w:rsid w:val="00CA7AED"/>
    <w:rsid w:val="00CB013E"/>
    <w:rsid w:val="00CB01B7"/>
    <w:rsid w:val="00CB01D6"/>
    <w:rsid w:val="00CB22B2"/>
    <w:rsid w:val="00CB424D"/>
    <w:rsid w:val="00CB465F"/>
    <w:rsid w:val="00CB4B9A"/>
    <w:rsid w:val="00CC01C8"/>
    <w:rsid w:val="00CC0482"/>
    <w:rsid w:val="00CC2B87"/>
    <w:rsid w:val="00CC3EE2"/>
    <w:rsid w:val="00CC5691"/>
    <w:rsid w:val="00CC6180"/>
    <w:rsid w:val="00CC6A02"/>
    <w:rsid w:val="00CC6B3E"/>
    <w:rsid w:val="00CC7DFE"/>
    <w:rsid w:val="00CD14EB"/>
    <w:rsid w:val="00CD1BB8"/>
    <w:rsid w:val="00CD5B77"/>
    <w:rsid w:val="00CD603B"/>
    <w:rsid w:val="00CD7392"/>
    <w:rsid w:val="00CD7492"/>
    <w:rsid w:val="00CD7F19"/>
    <w:rsid w:val="00CE0272"/>
    <w:rsid w:val="00CE0390"/>
    <w:rsid w:val="00CE1028"/>
    <w:rsid w:val="00CE3149"/>
    <w:rsid w:val="00CE3957"/>
    <w:rsid w:val="00CE3A6B"/>
    <w:rsid w:val="00CE3DEF"/>
    <w:rsid w:val="00CF1F7A"/>
    <w:rsid w:val="00CF280B"/>
    <w:rsid w:val="00CF3099"/>
    <w:rsid w:val="00CF3F2C"/>
    <w:rsid w:val="00CF452B"/>
    <w:rsid w:val="00CF4795"/>
    <w:rsid w:val="00CF79D0"/>
    <w:rsid w:val="00D00211"/>
    <w:rsid w:val="00D012DE"/>
    <w:rsid w:val="00D01B4E"/>
    <w:rsid w:val="00D031FD"/>
    <w:rsid w:val="00D04D6E"/>
    <w:rsid w:val="00D06309"/>
    <w:rsid w:val="00D107D5"/>
    <w:rsid w:val="00D114CF"/>
    <w:rsid w:val="00D11A29"/>
    <w:rsid w:val="00D15ACC"/>
    <w:rsid w:val="00D170BA"/>
    <w:rsid w:val="00D21D36"/>
    <w:rsid w:val="00D25CC3"/>
    <w:rsid w:val="00D260A3"/>
    <w:rsid w:val="00D266F8"/>
    <w:rsid w:val="00D26B37"/>
    <w:rsid w:val="00D27951"/>
    <w:rsid w:val="00D3134F"/>
    <w:rsid w:val="00D32E9F"/>
    <w:rsid w:val="00D34E7F"/>
    <w:rsid w:val="00D351EA"/>
    <w:rsid w:val="00D40288"/>
    <w:rsid w:val="00D40E04"/>
    <w:rsid w:val="00D42D95"/>
    <w:rsid w:val="00D43403"/>
    <w:rsid w:val="00D4642F"/>
    <w:rsid w:val="00D5037C"/>
    <w:rsid w:val="00D5270B"/>
    <w:rsid w:val="00D53939"/>
    <w:rsid w:val="00D57261"/>
    <w:rsid w:val="00D62517"/>
    <w:rsid w:val="00D62E71"/>
    <w:rsid w:val="00D63C01"/>
    <w:rsid w:val="00D6430D"/>
    <w:rsid w:val="00D65A19"/>
    <w:rsid w:val="00D66188"/>
    <w:rsid w:val="00D67E1C"/>
    <w:rsid w:val="00D70BB3"/>
    <w:rsid w:val="00D70C4A"/>
    <w:rsid w:val="00D7242A"/>
    <w:rsid w:val="00D72CD6"/>
    <w:rsid w:val="00D731F6"/>
    <w:rsid w:val="00D738A6"/>
    <w:rsid w:val="00D740CA"/>
    <w:rsid w:val="00D75156"/>
    <w:rsid w:val="00D757E4"/>
    <w:rsid w:val="00D75A70"/>
    <w:rsid w:val="00D77F1F"/>
    <w:rsid w:val="00D8255A"/>
    <w:rsid w:val="00D8324E"/>
    <w:rsid w:val="00D85728"/>
    <w:rsid w:val="00D86FBC"/>
    <w:rsid w:val="00D87166"/>
    <w:rsid w:val="00D87F32"/>
    <w:rsid w:val="00D90696"/>
    <w:rsid w:val="00D927F4"/>
    <w:rsid w:val="00D9285A"/>
    <w:rsid w:val="00D95481"/>
    <w:rsid w:val="00D959C8"/>
    <w:rsid w:val="00D95B26"/>
    <w:rsid w:val="00D95C79"/>
    <w:rsid w:val="00D96637"/>
    <w:rsid w:val="00D96AA6"/>
    <w:rsid w:val="00D96F83"/>
    <w:rsid w:val="00DA4AAC"/>
    <w:rsid w:val="00DA5D38"/>
    <w:rsid w:val="00DB0A62"/>
    <w:rsid w:val="00DB49F4"/>
    <w:rsid w:val="00DB609B"/>
    <w:rsid w:val="00DB68D5"/>
    <w:rsid w:val="00DB727A"/>
    <w:rsid w:val="00DC1B81"/>
    <w:rsid w:val="00DC66F7"/>
    <w:rsid w:val="00DC67D3"/>
    <w:rsid w:val="00DC6F58"/>
    <w:rsid w:val="00DC7A13"/>
    <w:rsid w:val="00DD260A"/>
    <w:rsid w:val="00DD321A"/>
    <w:rsid w:val="00DD468F"/>
    <w:rsid w:val="00DD5439"/>
    <w:rsid w:val="00DD6352"/>
    <w:rsid w:val="00DE14DC"/>
    <w:rsid w:val="00DE1B5D"/>
    <w:rsid w:val="00DE5C7E"/>
    <w:rsid w:val="00DE612D"/>
    <w:rsid w:val="00DF0456"/>
    <w:rsid w:val="00DF1C62"/>
    <w:rsid w:val="00DF1F49"/>
    <w:rsid w:val="00DF2525"/>
    <w:rsid w:val="00DF2997"/>
    <w:rsid w:val="00DF3725"/>
    <w:rsid w:val="00DF76AE"/>
    <w:rsid w:val="00E01573"/>
    <w:rsid w:val="00E02F1A"/>
    <w:rsid w:val="00E03835"/>
    <w:rsid w:val="00E05403"/>
    <w:rsid w:val="00E07900"/>
    <w:rsid w:val="00E07E88"/>
    <w:rsid w:val="00E10BC4"/>
    <w:rsid w:val="00E1316F"/>
    <w:rsid w:val="00E135F5"/>
    <w:rsid w:val="00E1415D"/>
    <w:rsid w:val="00E1485C"/>
    <w:rsid w:val="00E17999"/>
    <w:rsid w:val="00E20C59"/>
    <w:rsid w:val="00E22796"/>
    <w:rsid w:val="00E275DA"/>
    <w:rsid w:val="00E27EF3"/>
    <w:rsid w:val="00E323E9"/>
    <w:rsid w:val="00E34018"/>
    <w:rsid w:val="00E34140"/>
    <w:rsid w:val="00E3422E"/>
    <w:rsid w:val="00E34AD5"/>
    <w:rsid w:val="00E368D0"/>
    <w:rsid w:val="00E37B63"/>
    <w:rsid w:val="00E37D6B"/>
    <w:rsid w:val="00E40FE5"/>
    <w:rsid w:val="00E437D2"/>
    <w:rsid w:val="00E44F2F"/>
    <w:rsid w:val="00E45165"/>
    <w:rsid w:val="00E45F04"/>
    <w:rsid w:val="00E45F8C"/>
    <w:rsid w:val="00E4659B"/>
    <w:rsid w:val="00E467DC"/>
    <w:rsid w:val="00E4731D"/>
    <w:rsid w:val="00E47A84"/>
    <w:rsid w:val="00E47E66"/>
    <w:rsid w:val="00E519B7"/>
    <w:rsid w:val="00E5206C"/>
    <w:rsid w:val="00E5246D"/>
    <w:rsid w:val="00E52A2A"/>
    <w:rsid w:val="00E53830"/>
    <w:rsid w:val="00E55751"/>
    <w:rsid w:val="00E55DB4"/>
    <w:rsid w:val="00E60024"/>
    <w:rsid w:val="00E62C4E"/>
    <w:rsid w:val="00E63A52"/>
    <w:rsid w:val="00E64ACF"/>
    <w:rsid w:val="00E650FE"/>
    <w:rsid w:val="00E665B9"/>
    <w:rsid w:val="00E7037D"/>
    <w:rsid w:val="00E7043D"/>
    <w:rsid w:val="00E709EF"/>
    <w:rsid w:val="00E70E66"/>
    <w:rsid w:val="00E71543"/>
    <w:rsid w:val="00E7424E"/>
    <w:rsid w:val="00E753D9"/>
    <w:rsid w:val="00E77740"/>
    <w:rsid w:val="00E80DDC"/>
    <w:rsid w:val="00E90DBA"/>
    <w:rsid w:val="00E912E8"/>
    <w:rsid w:val="00E92856"/>
    <w:rsid w:val="00E95676"/>
    <w:rsid w:val="00E95894"/>
    <w:rsid w:val="00E95FD3"/>
    <w:rsid w:val="00E96115"/>
    <w:rsid w:val="00EA2311"/>
    <w:rsid w:val="00EA429D"/>
    <w:rsid w:val="00EA43D0"/>
    <w:rsid w:val="00EA71F7"/>
    <w:rsid w:val="00EA7CC6"/>
    <w:rsid w:val="00EB1889"/>
    <w:rsid w:val="00EB20CC"/>
    <w:rsid w:val="00EB285E"/>
    <w:rsid w:val="00EB2C31"/>
    <w:rsid w:val="00EB3558"/>
    <w:rsid w:val="00EB4046"/>
    <w:rsid w:val="00EB4895"/>
    <w:rsid w:val="00EB5A09"/>
    <w:rsid w:val="00EB68E6"/>
    <w:rsid w:val="00EB7C83"/>
    <w:rsid w:val="00EC5AD9"/>
    <w:rsid w:val="00EC5D85"/>
    <w:rsid w:val="00EC7BC3"/>
    <w:rsid w:val="00ED217E"/>
    <w:rsid w:val="00ED3E20"/>
    <w:rsid w:val="00ED537C"/>
    <w:rsid w:val="00ED6605"/>
    <w:rsid w:val="00ED6D9A"/>
    <w:rsid w:val="00ED7600"/>
    <w:rsid w:val="00ED762E"/>
    <w:rsid w:val="00EE30B4"/>
    <w:rsid w:val="00EE350F"/>
    <w:rsid w:val="00EE4C01"/>
    <w:rsid w:val="00EE6FA8"/>
    <w:rsid w:val="00EF0A0C"/>
    <w:rsid w:val="00EF5076"/>
    <w:rsid w:val="00EF6073"/>
    <w:rsid w:val="00EF698B"/>
    <w:rsid w:val="00EF6E6F"/>
    <w:rsid w:val="00F01D6B"/>
    <w:rsid w:val="00F032E7"/>
    <w:rsid w:val="00F03458"/>
    <w:rsid w:val="00F038F2"/>
    <w:rsid w:val="00F04664"/>
    <w:rsid w:val="00F064D7"/>
    <w:rsid w:val="00F06970"/>
    <w:rsid w:val="00F0750A"/>
    <w:rsid w:val="00F10888"/>
    <w:rsid w:val="00F123B6"/>
    <w:rsid w:val="00F12B37"/>
    <w:rsid w:val="00F1362C"/>
    <w:rsid w:val="00F13FDA"/>
    <w:rsid w:val="00F1492D"/>
    <w:rsid w:val="00F14FC5"/>
    <w:rsid w:val="00F16023"/>
    <w:rsid w:val="00F16972"/>
    <w:rsid w:val="00F17319"/>
    <w:rsid w:val="00F17BE4"/>
    <w:rsid w:val="00F20C4E"/>
    <w:rsid w:val="00F20D84"/>
    <w:rsid w:val="00F22AF1"/>
    <w:rsid w:val="00F233A1"/>
    <w:rsid w:val="00F2590B"/>
    <w:rsid w:val="00F26157"/>
    <w:rsid w:val="00F26737"/>
    <w:rsid w:val="00F27354"/>
    <w:rsid w:val="00F274AB"/>
    <w:rsid w:val="00F305C4"/>
    <w:rsid w:val="00F3303E"/>
    <w:rsid w:val="00F33437"/>
    <w:rsid w:val="00F33F4B"/>
    <w:rsid w:val="00F348F0"/>
    <w:rsid w:val="00F352F0"/>
    <w:rsid w:val="00F35FDE"/>
    <w:rsid w:val="00F36466"/>
    <w:rsid w:val="00F40171"/>
    <w:rsid w:val="00F40846"/>
    <w:rsid w:val="00F414F1"/>
    <w:rsid w:val="00F443E0"/>
    <w:rsid w:val="00F448F5"/>
    <w:rsid w:val="00F508B8"/>
    <w:rsid w:val="00F51BC6"/>
    <w:rsid w:val="00F55EE7"/>
    <w:rsid w:val="00F61B93"/>
    <w:rsid w:val="00F63175"/>
    <w:rsid w:val="00F633DF"/>
    <w:rsid w:val="00F63CEC"/>
    <w:rsid w:val="00F67BC1"/>
    <w:rsid w:val="00F72CB1"/>
    <w:rsid w:val="00F74C4B"/>
    <w:rsid w:val="00F755C0"/>
    <w:rsid w:val="00F8215E"/>
    <w:rsid w:val="00F824F5"/>
    <w:rsid w:val="00F83ED5"/>
    <w:rsid w:val="00F861A3"/>
    <w:rsid w:val="00F86F42"/>
    <w:rsid w:val="00F8749F"/>
    <w:rsid w:val="00F91850"/>
    <w:rsid w:val="00F9374D"/>
    <w:rsid w:val="00F939A4"/>
    <w:rsid w:val="00F95452"/>
    <w:rsid w:val="00F97BCE"/>
    <w:rsid w:val="00F97D03"/>
    <w:rsid w:val="00FA0C7C"/>
    <w:rsid w:val="00FA0F30"/>
    <w:rsid w:val="00FA31CC"/>
    <w:rsid w:val="00FA355F"/>
    <w:rsid w:val="00FA7D44"/>
    <w:rsid w:val="00FB05A8"/>
    <w:rsid w:val="00FB1241"/>
    <w:rsid w:val="00FB12AC"/>
    <w:rsid w:val="00FB1F0A"/>
    <w:rsid w:val="00FB4523"/>
    <w:rsid w:val="00FC29B9"/>
    <w:rsid w:val="00FC3664"/>
    <w:rsid w:val="00FC3DB3"/>
    <w:rsid w:val="00FC504F"/>
    <w:rsid w:val="00FC6FD3"/>
    <w:rsid w:val="00FC7807"/>
    <w:rsid w:val="00FC7F45"/>
    <w:rsid w:val="00FD023F"/>
    <w:rsid w:val="00FD146C"/>
    <w:rsid w:val="00FD3609"/>
    <w:rsid w:val="00FD47AC"/>
    <w:rsid w:val="00FD51B4"/>
    <w:rsid w:val="00FD76F4"/>
    <w:rsid w:val="00FE054B"/>
    <w:rsid w:val="00FE0E63"/>
    <w:rsid w:val="00FE2875"/>
    <w:rsid w:val="00FE305C"/>
    <w:rsid w:val="00FE564E"/>
    <w:rsid w:val="00FE6296"/>
    <w:rsid w:val="00FF0301"/>
    <w:rsid w:val="00FF2FB9"/>
    <w:rsid w:val="00FF41F3"/>
    <w:rsid w:val="00FF49D2"/>
    <w:rsid w:val="00FF5BE1"/>
    <w:rsid w:val="00FF644C"/>
    <w:rsid w:val="00FF70B5"/>
    <w:rsid w:val="03C4AA6F"/>
    <w:rsid w:val="06C05FA6"/>
    <w:rsid w:val="0A32D7F4"/>
    <w:rsid w:val="12CB3D66"/>
    <w:rsid w:val="1C32F6B9"/>
    <w:rsid w:val="2428A88C"/>
    <w:rsid w:val="2677DBF1"/>
    <w:rsid w:val="2CA17FED"/>
    <w:rsid w:val="2D0F57B7"/>
    <w:rsid w:val="2FF79CED"/>
    <w:rsid w:val="30EC849B"/>
    <w:rsid w:val="39D709DA"/>
    <w:rsid w:val="3C5F7C74"/>
    <w:rsid w:val="3EA39E75"/>
    <w:rsid w:val="400444DF"/>
    <w:rsid w:val="406DF41E"/>
    <w:rsid w:val="424A8231"/>
    <w:rsid w:val="43ED7C8B"/>
    <w:rsid w:val="489F8C13"/>
    <w:rsid w:val="48DB302B"/>
    <w:rsid w:val="4C18BB5A"/>
    <w:rsid w:val="4DC27AFE"/>
    <w:rsid w:val="4FB061BE"/>
    <w:rsid w:val="520C3604"/>
    <w:rsid w:val="57B8D939"/>
    <w:rsid w:val="5963468A"/>
    <w:rsid w:val="69ECD6AE"/>
    <w:rsid w:val="769973C5"/>
    <w:rsid w:val="773208C4"/>
    <w:rsid w:val="77F6F330"/>
    <w:rsid w:val="7AB6875A"/>
    <w:rsid w:val="7CB943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866F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792"/>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1"/>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列出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CC5691"/>
    <w:pPr>
      <w:ind w:left="36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4E4592"/>
    <w:pPr>
      <w:tabs>
        <w:tab w:val="right" w:leader="dot" w:pos="9617"/>
      </w:tabs>
      <w:spacing w:after="100"/>
    </w:pPr>
    <w:rPr>
      <w:b/>
    </w:rPr>
  </w:style>
  <w:style w:type="character" w:customStyle="1" w:styleId="normaltextrun">
    <w:name w:val="normaltextrun"/>
    <w:basedOn w:val="DefaultParagraphFont"/>
    <w:rsid w:val="00365203"/>
  </w:style>
  <w:style w:type="paragraph" w:customStyle="1" w:styleId="paragraph">
    <w:name w:val="paragraph"/>
    <w:basedOn w:val="Normal"/>
    <w:rsid w:val="0047394B"/>
    <w:pPr>
      <w:spacing w:before="100" w:beforeAutospacing="1" w:after="100" w:afterAutospacing="1" w:line="240" w:lineRule="auto"/>
    </w:pPr>
    <w:rPr>
      <w:rFonts w:eastAsia="Times New Roman" w:cs="Times New Roman"/>
      <w:sz w:val="24"/>
      <w:szCs w:val="24"/>
    </w:rPr>
  </w:style>
  <w:style w:type="character" w:customStyle="1" w:styleId="eop">
    <w:name w:val="eop"/>
    <w:basedOn w:val="DefaultParagraphFont"/>
    <w:rsid w:val="0047394B"/>
  </w:style>
  <w:style w:type="paragraph" w:styleId="Header">
    <w:name w:val="header"/>
    <w:basedOn w:val="Normal"/>
    <w:link w:val="HeaderChar"/>
    <w:uiPriority w:val="99"/>
    <w:unhideWhenUsed/>
    <w:rsid w:val="00F874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506674"/>
    <w:rPr>
      <w:rFonts w:ascii="Times New Roman" w:hAnsi="Times New Roman"/>
      <w:sz w:val="20"/>
    </w:rPr>
  </w:style>
  <w:style w:type="paragraph" w:styleId="Footer">
    <w:name w:val="footer"/>
    <w:basedOn w:val="Normal"/>
    <w:link w:val="FooterChar"/>
    <w:uiPriority w:val="99"/>
    <w:unhideWhenUsed/>
    <w:rsid w:val="00F874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506674"/>
    <w:rPr>
      <w:rFonts w:ascii="Times New Roman" w:hAnsi="Times New Roman"/>
      <w:sz w:val="20"/>
    </w:rPr>
  </w:style>
  <w:style w:type="character" w:customStyle="1" w:styleId="ui-provider">
    <w:name w:val="ui-provider"/>
    <w:basedOn w:val="DefaultParagraphFont"/>
    <w:rsid w:val="00A67210"/>
  </w:style>
  <w:style w:type="paragraph" w:customStyle="1" w:styleId="Figure">
    <w:name w:val="Figure"/>
    <w:basedOn w:val="Normal"/>
    <w:rsid w:val="00C679A1"/>
    <w:pPr>
      <w:numPr>
        <w:numId w:val="41"/>
      </w:numPr>
      <w:spacing w:before="180" w:after="240" w:line="280" w:lineRule="atLeast"/>
      <w:jc w:val="center"/>
    </w:pPr>
    <w:rPr>
      <w:rFonts w:ascii="Arial" w:eastAsia="Times New Roman" w:hAnsi="Arial" w:cs="Times New Roman"/>
      <w:b/>
      <w:szCs w:val="20"/>
      <w:lang w:eastAsia="ja-JP"/>
    </w:rPr>
  </w:style>
  <w:style w:type="paragraph" w:customStyle="1" w:styleId="RAN4Figure">
    <w:name w:val="RAN4 Figure"/>
    <w:basedOn w:val="Figure"/>
    <w:link w:val="RAN4FigureChar"/>
    <w:autoRedefine/>
    <w:qFormat/>
    <w:rsid w:val="00C679A1"/>
    <w:pPr>
      <w:ind w:left="1704"/>
    </w:pPr>
  </w:style>
  <w:style w:type="character" w:customStyle="1" w:styleId="RAN4FigureChar">
    <w:name w:val="RAN4 Figure Char"/>
    <w:basedOn w:val="DefaultParagraphFont"/>
    <w:link w:val="RAN4Figure"/>
    <w:rsid w:val="00C679A1"/>
    <w:rPr>
      <w:rFonts w:ascii="Arial" w:eastAsia="Times New Roman" w:hAnsi="Arial" w:cs="Times New Roman"/>
      <w:b/>
      <w:sz w:val="20"/>
      <w:szCs w:val="20"/>
      <w:lang w:eastAsia="ja-JP"/>
    </w:rPr>
  </w:style>
  <w:style w:type="character" w:styleId="Mention">
    <w:name w:val="Mention"/>
    <w:basedOn w:val="DefaultParagraphFont"/>
    <w:uiPriority w:val="99"/>
    <w:unhideWhenUsed/>
    <w:rsid w:val="002A78F6"/>
    <w:rPr>
      <w:color w:val="2B579A"/>
      <w:shd w:val="clear" w:color="auto" w:fill="E1DFDD"/>
    </w:rPr>
  </w:style>
  <w:style w:type="paragraph" w:styleId="Revision">
    <w:name w:val="Revision"/>
    <w:hidden/>
    <w:uiPriority w:val="99"/>
    <w:semiHidden/>
    <w:rsid w:val="00FD76F4"/>
    <w:pPr>
      <w:spacing w:after="0" w:line="240" w:lineRule="auto"/>
    </w:pPr>
    <w:rPr>
      <w:rFonts w:ascii="Times New Roman" w:hAnsi="Times New Roman"/>
      <w:sz w:val="20"/>
    </w:rPr>
  </w:style>
  <w:style w:type="paragraph" w:styleId="NormalWeb">
    <w:name w:val="Normal (Web)"/>
    <w:basedOn w:val="Normal"/>
    <w:uiPriority w:val="99"/>
    <w:semiHidden/>
    <w:unhideWhenUsed/>
    <w:rsid w:val="00FD76F4"/>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7912">
      <w:bodyDiv w:val="1"/>
      <w:marLeft w:val="0"/>
      <w:marRight w:val="0"/>
      <w:marTop w:val="0"/>
      <w:marBottom w:val="0"/>
      <w:divBdr>
        <w:top w:val="none" w:sz="0" w:space="0" w:color="auto"/>
        <w:left w:val="none" w:sz="0" w:space="0" w:color="auto"/>
        <w:bottom w:val="none" w:sz="0" w:space="0" w:color="auto"/>
        <w:right w:val="none" w:sz="0" w:space="0" w:color="auto"/>
      </w:divBdr>
      <w:divsChild>
        <w:div w:id="518157814">
          <w:marLeft w:val="0"/>
          <w:marRight w:val="0"/>
          <w:marTop w:val="0"/>
          <w:marBottom w:val="0"/>
          <w:divBdr>
            <w:top w:val="none" w:sz="0" w:space="0" w:color="auto"/>
            <w:left w:val="none" w:sz="0" w:space="0" w:color="auto"/>
            <w:bottom w:val="none" w:sz="0" w:space="0" w:color="auto"/>
            <w:right w:val="none" w:sz="0" w:space="0" w:color="auto"/>
          </w:divBdr>
        </w:div>
        <w:div w:id="1751806647">
          <w:marLeft w:val="0"/>
          <w:marRight w:val="0"/>
          <w:marTop w:val="0"/>
          <w:marBottom w:val="0"/>
          <w:divBdr>
            <w:top w:val="none" w:sz="0" w:space="0" w:color="auto"/>
            <w:left w:val="none" w:sz="0" w:space="0" w:color="auto"/>
            <w:bottom w:val="none" w:sz="0" w:space="0" w:color="auto"/>
            <w:right w:val="none" w:sz="0" w:space="0" w:color="auto"/>
          </w:divBdr>
        </w:div>
      </w:divsChild>
    </w:div>
    <w:div w:id="233786923">
      <w:bodyDiv w:val="1"/>
      <w:marLeft w:val="0"/>
      <w:marRight w:val="0"/>
      <w:marTop w:val="0"/>
      <w:marBottom w:val="0"/>
      <w:divBdr>
        <w:top w:val="none" w:sz="0" w:space="0" w:color="auto"/>
        <w:left w:val="none" w:sz="0" w:space="0" w:color="auto"/>
        <w:bottom w:val="none" w:sz="0" w:space="0" w:color="auto"/>
        <w:right w:val="none" w:sz="0" w:space="0" w:color="auto"/>
      </w:divBdr>
    </w:div>
    <w:div w:id="1002926441">
      <w:bodyDiv w:val="1"/>
      <w:marLeft w:val="0"/>
      <w:marRight w:val="0"/>
      <w:marTop w:val="0"/>
      <w:marBottom w:val="0"/>
      <w:divBdr>
        <w:top w:val="none" w:sz="0" w:space="0" w:color="auto"/>
        <w:left w:val="none" w:sz="0" w:space="0" w:color="auto"/>
        <w:bottom w:val="none" w:sz="0" w:space="0" w:color="auto"/>
        <w:right w:val="none" w:sz="0" w:space="0" w:color="auto"/>
      </w:divBdr>
    </w:div>
    <w:div w:id="1765033476">
      <w:bodyDiv w:val="1"/>
      <w:marLeft w:val="0"/>
      <w:marRight w:val="0"/>
      <w:marTop w:val="0"/>
      <w:marBottom w:val="0"/>
      <w:divBdr>
        <w:top w:val="none" w:sz="0" w:space="0" w:color="auto"/>
        <w:left w:val="none" w:sz="0" w:space="0" w:color="auto"/>
        <w:bottom w:val="none" w:sz="0" w:space="0" w:color="auto"/>
        <w:right w:val="none" w:sz="0" w:space="0" w:color="auto"/>
      </w:divBdr>
      <w:divsChild>
        <w:div w:id="99497314">
          <w:marLeft w:val="0"/>
          <w:marRight w:val="0"/>
          <w:marTop w:val="0"/>
          <w:marBottom w:val="0"/>
          <w:divBdr>
            <w:top w:val="none" w:sz="0" w:space="0" w:color="auto"/>
            <w:left w:val="none" w:sz="0" w:space="0" w:color="auto"/>
            <w:bottom w:val="none" w:sz="0" w:space="0" w:color="auto"/>
            <w:right w:val="none" w:sz="0" w:space="0" w:color="auto"/>
          </w:divBdr>
          <w:divsChild>
            <w:div w:id="502479527">
              <w:marLeft w:val="0"/>
              <w:marRight w:val="0"/>
              <w:marTop w:val="0"/>
              <w:marBottom w:val="0"/>
              <w:divBdr>
                <w:top w:val="none" w:sz="0" w:space="0" w:color="auto"/>
                <w:left w:val="none" w:sz="0" w:space="0" w:color="auto"/>
                <w:bottom w:val="none" w:sz="0" w:space="0" w:color="auto"/>
                <w:right w:val="none" w:sz="0" w:space="0" w:color="auto"/>
              </w:divBdr>
            </w:div>
            <w:div w:id="653727166">
              <w:marLeft w:val="0"/>
              <w:marRight w:val="0"/>
              <w:marTop w:val="0"/>
              <w:marBottom w:val="0"/>
              <w:divBdr>
                <w:top w:val="none" w:sz="0" w:space="0" w:color="auto"/>
                <w:left w:val="none" w:sz="0" w:space="0" w:color="auto"/>
                <w:bottom w:val="none" w:sz="0" w:space="0" w:color="auto"/>
                <w:right w:val="none" w:sz="0" w:space="0" w:color="auto"/>
              </w:divBdr>
            </w:div>
            <w:div w:id="719477486">
              <w:marLeft w:val="0"/>
              <w:marRight w:val="0"/>
              <w:marTop w:val="0"/>
              <w:marBottom w:val="0"/>
              <w:divBdr>
                <w:top w:val="none" w:sz="0" w:space="0" w:color="auto"/>
                <w:left w:val="none" w:sz="0" w:space="0" w:color="auto"/>
                <w:bottom w:val="none" w:sz="0" w:space="0" w:color="auto"/>
                <w:right w:val="none" w:sz="0" w:space="0" w:color="auto"/>
              </w:divBdr>
            </w:div>
          </w:divsChild>
        </w:div>
        <w:div w:id="364408702">
          <w:marLeft w:val="0"/>
          <w:marRight w:val="0"/>
          <w:marTop w:val="0"/>
          <w:marBottom w:val="0"/>
          <w:divBdr>
            <w:top w:val="none" w:sz="0" w:space="0" w:color="auto"/>
            <w:left w:val="none" w:sz="0" w:space="0" w:color="auto"/>
            <w:bottom w:val="none" w:sz="0" w:space="0" w:color="auto"/>
            <w:right w:val="none" w:sz="0" w:space="0" w:color="auto"/>
          </w:divBdr>
          <w:divsChild>
            <w:div w:id="538325110">
              <w:marLeft w:val="0"/>
              <w:marRight w:val="0"/>
              <w:marTop w:val="0"/>
              <w:marBottom w:val="0"/>
              <w:divBdr>
                <w:top w:val="none" w:sz="0" w:space="0" w:color="auto"/>
                <w:left w:val="none" w:sz="0" w:space="0" w:color="auto"/>
                <w:bottom w:val="none" w:sz="0" w:space="0" w:color="auto"/>
                <w:right w:val="none" w:sz="0" w:space="0" w:color="auto"/>
              </w:divBdr>
            </w:div>
            <w:div w:id="666326811">
              <w:marLeft w:val="0"/>
              <w:marRight w:val="0"/>
              <w:marTop w:val="0"/>
              <w:marBottom w:val="0"/>
              <w:divBdr>
                <w:top w:val="none" w:sz="0" w:space="0" w:color="auto"/>
                <w:left w:val="none" w:sz="0" w:space="0" w:color="auto"/>
                <w:bottom w:val="none" w:sz="0" w:space="0" w:color="auto"/>
                <w:right w:val="none" w:sz="0" w:space="0" w:color="auto"/>
              </w:divBdr>
            </w:div>
            <w:div w:id="1092359790">
              <w:marLeft w:val="0"/>
              <w:marRight w:val="0"/>
              <w:marTop w:val="0"/>
              <w:marBottom w:val="0"/>
              <w:divBdr>
                <w:top w:val="none" w:sz="0" w:space="0" w:color="auto"/>
                <w:left w:val="none" w:sz="0" w:space="0" w:color="auto"/>
                <w:bottom w:val="none" w:sz="0" w:space="0" w:color="auto"/>
                <w:right w:val="none" w:sz="0" w:space="0" w:color="auto"/>
              </w:divBdr>
            </w:div>
            <w:div w:id="1493136719">
              <w:marLeft w:val="0"/>
              <w:marRight w:val="0"/>
              <w:marTop w:val="0"/>
              <w:marBottom w:val="0"/>
              <w:divBdr>
                <w:top w:val="none" w:sz="0" w:space="0" w:color="auto"/>
                <w:left w:val="none" w:sz="0" w:space="0" w:color="auto"/>
                <w:bottom w:val="none" w:sz="0" w:space="0" w:color="auto"/>
                <w:right w:val="none" w:sz="0" w:space="0" w:color="auto"/>
              </w:divBdr>
            </w:div>
            <w:div w:id="167714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742294">
      <w:bodyDiv w:val="1"/>
      <w:marLeft w:val="0"/>
      <w:marRight w:val="0"/>
      <w:marTop w:val="0"/>
      <w:marBottom w:val="0"/>
      <w:divBdr>
        <w:top w:val="none" w:sz="0" w:space="0" w:color="auto"/>
        <w:left w:val="none" w:sz="0" w:space="0" w:color="auto"/>
        <w:bottom w:val="none" w:sz="0" w:space="0" w:color="auto"/>
        <w:right w:val="none" w:sz="0" w:space="0" w:color="auto"/>
      </w:divBdr>
      <w:divsChild>
        <w:div w:id="462114991">
          <w:marLeft w:val="0"/>
          <w:marRight w:val="0"/>
          <w:marTop w:val="0"/>
          <w:marBottom w:val="0"/>
          <w:divBdr>
            <w:top w:val="none" w:sz="0" w:space="0" w:color="auto"/>
            <w:left w:val="none" w:sz="0" w:space="0" w:color="auto"/>
            <w:bottom w:val="none" w:sz="0" w:space="0" w:color="auto"/>
            <w:right w:val="none" w:sz="0" w:space="0" w:color="auto"/>
          </w:divBdr>
          <w:divsChild>
            <w:div w:id="175463668">
              <w:marLeft w:val="0"/>
              <w:marRight w:val="0"/>
              <w:marTop w:val="0"/>
              <w:marBottom w:val="0"/>
              <w:divBdr>
                <w:top w:val="none" w:sz="0" w:space="0" w:color="auto"/>
                <w:left w:val="none" w:sz="0" w:space="0" w:color="auto"/>
                <w:bottom w:val="none" w:sz="0" w:space="0" w:color="auto"/>
                <w:right w:val="none" w:sz="0" w:space="0" w:color="auto"/>
              </w:divBdr>
            </w:div>
            <w:div w:id="503208654">
              <w:marLeft w:val="0"/>
              <w:marRight w:val="0"/>
              <w:marTop w:val="0"/>
              <w:marBottom w:val="0"/>
              <w:divBdr>
                <w:top w:val="none" w:sz="0" w:space="0" w:color="auto"/>
                <w:left w:val="none" w:sz="0" w:space="0" w:color="auto"/>
                <w:bottom w:val="none" w:sz="0" w:space="0" w:color="auto"/>
                <w:right w:val="none" w:sz="0" w:space="0" w:color="auto"/>
              </w:divBdr>
            </w:div>
            <w:div w:id="558714739">
              <w:marLeft w:val="0"/>
              <w:marRight w:val="0"/>
              <w:marTop w:val="0"/>
              <w:marBottom w:val="0"/>
              <w:divBdr>
                <w:top w:val="none" w:sz="0" w:space="0" w:color="auto"/>
                <w:left w:val="none" w:sz="0" w:space="0" w:color="auto"/>
                <w:bottom w:val="none" w:sz="0" w:space="0" w:color="auto"/>
                <w:right w:val="none" w:sz="0" w:space="0" w:color="auto"/>
              </w:divBdr>
            </w:div>
            <w:div w:id="670909639">
              <w:marLeft w:val="0"/>
              <w:marRight w:val="0"/>
              <w:marTop w:val="0"/>
              <w:marBottom w:val="0"/>
              <w:divBdr>
                <w:top w:val="none" w:sz="0" w:space="0" w:color="auto"/>
                <w:left w:val="none" w:sz="0" w:space="0" w:color="auto"/>
                <w:bottom w:val="none" w:sz="0" w:space="0" w:color="auto"/>
                <w:right w:val="none" w:sz="0" w:space="0" w:color="auto"/>
              </w:divBdr>
            </w:div>
            <w:div w:id="2030911296">
              <w:marLeft w:val="0"/>
              <w:marRight w:val="0"/>
              <w:marTop w:val="0"/>
              <w:marBottom w:val="0"/>
              <w:divBdr>
                <w:top w:val="none" w:sz="0" w:space="0" w:color="auto"/>
                <w:left w:val="none" w:sz="0" w:space="0" w:color="auto"/>
                <w:bottom w:val="none" w:sz="0" w:space="0" w:color="auto"/>
                <w:right w:val="none" w:sz="0" w:space="0" w:color="auto"/>
              </w:divBdr>
            </w:div>
          </w:divsChild>
        </w:div>
        <w:div w:id="1112090468">
          <w:marLeft w:val="0"/>
          <w:marRight w:val="0"/>
          <w:marTop w:val="0"/>
          <w:marBottom w:val="0"/>
          <w:divBdr>
            <w:top w:val="none" w:sz="0" w:space="0" w:color="auto"/>
            <w:left w:val="none" w:sz="0" w:space="0" w:color="auto"/>
            <w:bottom w:val="none" w:sz="0" w:space="0" w:color="auto"/>
            <w:right w:val="none" w:sz="0" w:space="0" w:color="auto"/>
          </w:divBdr>
          <w:divsChild>
            <w:div w:id="607931029">
              <w:marLeft w:val="0"/>
              <w:marRight w:val="0"/>
              <w:marTop w:val="0"/>
              <w:marBottom w:val="0"/>
              <w:divBdr>
                <w:top w:val="none" w:sz="0" w:space="0" w:color="auto"/>
                <w:left w:val="none" w:sz="0" w:space="0" w:color="auto"/>
                <w:bottom w:val="none" w:sz="0" w:space="0" w:color="auto"/>
                <w:right w:val="none" w:sz="0" w:space="0" w:color="auto"/>
              </w:divBdr>
            </w:div>
            <w:div w:id="1040591096">
              <w:marLeft w:val="0"/>
              <w:marRight w:val="0"/>
              <w:marTop w:val="0"/>
              <w:marBottom w:val="0"/>
              <w:divBdr>
                <w:top w:val="none" w:sz="0" w:space="0" w:color="auto"/>
                <w:left w:val="none" w:sz="0" w:space="0" w:color="auto"/>
                <w:bottom w:val="none" w:sz="0" w:space="0" w:color="auto"/>
                <w:right w:val="none" w:sz="0" w:space="0" w:color="auto"/>
              </w:divBdr>
            </w:div>
            <w:div w:id="1861091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642797">
      <w:bodyDiv w:val="1"/>
      <w:marLeft w:val="0"/>
      <w:marRight w:val="0"/>
      <w:marTop w:val="0"/>
      <w:marBottom w:val="0"/>
      <w:divBdr>
        <w:top w:val="none" w:sz="0" w:space="0" w:color="auto"/>
        <w:left w:val="none" w:sz="0" w:space="0" w:color="auto"/>
        <w:bottom w:val="none" w:sz="0" w:space="0" w:color="auto"/>
        <w:right w:val="none" w:sz="0" w:space="0" w:color="auto"/>
      </w:divBdr>
      <w:divsChild>
        <w:div w:id="1197546534">
          <w:marLeft w:val="0"/>
          <w:marRight w:val="0"/>
          <w:marTop w:val="0"/>
          <w:marBottom w:val="0"/>
          <w:divBdr>
            <w:top w:val="none" w:sz="0" w:space="0" w:color="auto"/>
            <w:left w:val="none" w:sz="0" w:space="0" w:color="auto"/>
            <w:bottom w:val="none" w:sz="0" w:space="0" w:color="auto"/>
            <w:right w:val="none" w:sz="0" w:space="0" w:color="auto"/>
          </w:divBdr>
          <w:divsChild>
            <w:div w:id="48772307">
              <w:marLeft w:val="0"/>
              <w:marRight w:val="0"/>
              <w:marTop w:val="0"/>
              <w:marBottom w:val="0"/>
              <w:divBdr>
                <w:top w:val="none" w:sz="0" w:space="0" w:color="auto"/>
                <w:left w:val="none" w:sz="0" w:space="0" w:color="auto"/>
                <w:bottom w:val="none" w:sz="0" w:space="0" w:color="auto"/>
                <w:right w:val="none" w:sz="0" w:space="0" w:color="auto"/>
              </w:divBdr>
            </w:div>
            <w:div w:id="847864754">
              <w:marLeft w:val="0"/>
              <w:marRight w:val="0"/>
              <w:marTop w:val="0"/>
              <w:marBottom w:val="0"/>
              <w:divBdr>
                <w:top w:val="none" w:sz="0" w:space="0" w:color="auto"/>
                <w:left w:val="none" w:sz="0" w:space="0" w:color="auto"/>
                <w:bottom w:val="none" w:sz="0" w:space="0" w:color="auto"/>
                <w:right w:val="none" w:sz="0" w:space="0" w:color="auto"/>
              </w:divBdr>
            </w:div>
            <w:div w:id="1157064879">
              <w:marLeft w:val="0"/>
              <w:marRight w:val="0"/>
              <w:marTop w:val="0"/>
              <w:marBottom w:val="0"/>
              <w:divBdr>
                <w:top w:val="none" w:sz="0" w:space="0" w:color="auto"/>
                <w:left w:val="none" w:sz="0" w:space="0" w:color="auto"/>
                <w:bottom w:val="none" w:sz="0" w:space="0" w:color="auto"/>
                <w:right w:val="none" w:sz="0" w:space="0" w:color="auto"/>
              </w:divBdr>
            </w:div>
            <w:div w:id="1574780188">
              <w:marLeft w:val="0"/>
              <w:marRight w:val="0"/>
              <w:marTop w:val="0"/>
              <w:marBottom w:val="0"/>
              <w:divBdr>
                <w:top w:val="none" w:sz="0" w:space="0" w:color="auto"/>
                <w:left w:val="none" w:sz="0" w:space="0" w:color="auto"/>
                <w:bottom w:val="none" w:sz="0" w:space="0" w:color="auto"/>
                <w:right w:val="none" w:sz="0" w:space="0" w:color="auto"/>
              </w:divBdr>
            </w:div>
          </w:divsChild>
        </w:div>
        <w:div w:id="1539468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3455</Words>
  <Characters>19697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23106</CharactersWithSpaces>
  <SharedDoc>false</SharedDoc>
  <HLinks>
    <vt:vector size="132" baseType="variant">
      <vt:variant>
        <vt:i4>1114171</vt:i4>
      </vt:variant>
      <vt:variant>
        <vt:i4>158</vt:i4>
      </vt:variant>
      <vt:variant>
        <vt:i4>0</vt:i4>
      </vt:variant>
      <vt:variant>
        <vt:i4>5</vt:i4>
      </vt:variant>
      <vt:variant>
        <vt:lpwstr/>
      </vt:variant>
      <vt:variant>
        <vt:lpwstr>_Toc127458886</vt:lpwstr>
      </vt:variant>
      <vt:variant>
        <vt:i4>1114171</vt:i4>
      </vt:variant>
      <vt:variant>
        <vt:i4>155</vt:i4>
      </vt:variant>
      <vt:variant>
        <vt:i4>0</vt:i4>
      </vt:variant>
      <vt:variant>
        <vt:i4>5</vt:i4>
      </vt:variant>
      <vt:variant>
        <vt:lpwstr/>
      </vt:variant>
      <vt:variant>
        <vt:lpwstr>_Toc127458885</vt:lpwstr>
      </vt:variant>
      <vt:variant>
        <vt:i4>1114171</vt:i4>
      </vt:variant>
      <vt:variant>
        <vt:i4>152</vt:i4>
      </vt:variant>
      <vt:variant>
        <vt:i4>0</vt:i4>
      </vt:variant>
      <vt:variant>
        <vt:i4>5</vt:i4>
      </vt:variant>
      <vt:variant>
        <vt:lpwstr/>
      </vt:variant>
      <vt:variant>
        <vt:lpwstr>_Toc127458884</vt:lpwstr>
      </vt:variant>
      <vt:variant>
        <vt:i4>1114171</vt:i4>
      </vt:variant>
      <vt:variant>
        <vt:i4>149</vt:i4>
      </vt:variant>
      <vt:variant>
        <vt:i4>0</vt:i4>
      </vt:variant>
      <vt:variant>
        <vt:i4>5</vt:i4>
      </vt:variant>
      <vt:variant>
        <vt:lpwstr/>
      </vt:variant>
      <vt:variant>
        <vt:lpwstr>_Toc127458883</vt:lpwstr>
      </vt:variant>
      <vt:variant>
        <vt:i4>1114171</vt:i4>
      </vt:variant>
      <vt:variant>
        <vt:i4>146</vt:i4>
      </vt:variant>
      <vt:variant>
        <vt:i4>0</vt:i4>
      </vt:variant>
      <vt:variant>
        <vt:i4>5</vt:i4>
      </vt:variant>
      <vt:variant>
        <vt:lpwstr/>
      </vt:variant>
      <vt:variant>
        <vt:lpwstr>_Toc127458882</vt:lpwstr>
      </vt:variant>
      <vt:variant>
        <vt:i4>1114171</vt:i4>
      </vt:variant>
      <vt:variant>
        <vt:i4>143</vt:i4>
      </vt:variant>
      <vt:variant>
        <vt:i4>0</vt:i4>
      </vt:variant>
      <vt:variant>
        <vt:i4>5</vt:i4>
      </vt:variant>
      <vt:variant>
        <vt:lpwstr/>
      </vt:variant>
      <vt:variant>
        <vt:lpwstr>_Toc127458881</vt:lpwstr>
      </vt:variant>
      <vt:variant>
        <vt:i4>1114171</vt:i4>
      </vt:variant>
      <vt:variant>
        <vt:i4>140</vt:i4>
      </vt:variant>
      <vt:variant>
        <vt:i4>0</vt:i4>
      </vt:variant>
      <vt:variant>
        <vt:i4>5</vt:i4>
      </vt:variant>
      <vt:variant>
        <vt:lpwstr/>
      </vt:variant>
      <vt:variant>
        <vt:lpwstr>_Toc127458880</vt:lpwstr>
      </vt:variant>
      <vt:variant>
        <vt:i4>1966139</vt:i4>
      </vt:variant>
      <vt:variant>
        <vt:i4>137</vt:i4>
      </vt:variant>
      <vt:variant>
        <vt:i4>0</vt:i4>
      </vt:variant>
      <vt:variant>
        <vt:i4>5</vt:i4>
      </vt:variant>
      <vt:variant>
        <vt:lpwstr/>
      </vt:variant>
      <vt:variant>
        <vt:lpwstr>_Toc127458879</vt:lpwstr>
      </vt:variant>
      <vt:variant>
        <vt:i4>1966139</vt:i4>
      </vt:variant>
      <vt:variant>
        <vt:i4>134</vt:i4>
      </vt:variant>
      <vt:variant>
        <vt:i4>0</vt:i4>
      </vt:variant>
      <vt:variant>
        <vt:i4>5</vt:i4>
      </vt:variant>
      <vt:variant>
        <vt:lpwstr/>
      </vt:variant>
      <vt:variant>
        <vt:lpwstr>_Toc127458878</vt:lpwstr>
      </vt:variant>
      <vt:variant>
        <vt:i4>1966139</vt:i4>
      </vt:variant>
      <vt:variant>
        <vt:i4>131</vt:i4>
      </vt:variant>
      <vt:variant>
        <vt:i4>0</vt:i4>
      </vt:variant>
      <vt:variant>
        <vt:i4>5</vt:i4>
      </vt:variant>
      <vt:variant>
        <vt:lpwstr/>
      </vt:variant>
      <vt:variant>
        <vt:lpwstr>_Toc127458877</vt:lpwstr>
      </vt:variant>
      <vt:variant>
        <vt:i4>1966139</vt:i4>
      </vt:variant>
      <vt:variant>
        <vt:i4>128</vt:i4>
      </vt:variant>
      <vt:variant>
        <vt:i4>0</vt:i4>
      </vt:variant>
      <vt:variant>
        <vt:i4>5</vt:i4>
      </vt:variant>
      <vt:variant>
        <vt:lpwstr/>
      </vt:variant>
      <vt:variant>
        <vt:lpwstr>_Toc127458876</vt:lpwstr>
      </vt:variant>
      <vt:variant>
        <vt:i4>1966139</vt:i4>
      </vt:variant>
      <vt:variant>
        <vt:i4>125</vt:i4>
      </vt:variant>
      <vt:variant>
        <vt:i4>0</vt:i4>
      </vt:variant>
      <vt:variant>
        <vt:i4>5</vt:i4>
      </vt:variant>
      <vt:variant>
        <vt:lpwstr/>
      </vt:variant>
      <vt:variant>
        <vt:lpwstr>_Toc127458875</vt:lpwstr>
      </vt:variant>
      <vt:variant>
        <vt:i4>1966139</vt:i4>
      </vt:variant>
      <vt:variant>
        <vt:i4>122</vt:i4>
      </vt:variant>
      <vt:variant>
        <vt:i4>0</vt:i4>
      </vt:variant>
      <vt:variant>
        <vt:i4>5</vt:i4>
      </vt:variant>
      <vt:variant>
        <vt:lpwstr/>
      </vt:variant>
      <vt:variant>
        <vt:lpwstr>_Toc127458874</vt:lpwstr>
      </vt:variant>
      <vt:variant>
        <vt:i4>1966139</vt:i4>
      </vt:variant>
      <vt:variant>
        <vt:i4>119</vt:i4>
      </vt:variant>
      <vt:variant>
        <vt:i4>0</vt:i4>
      </vt:variant>
      <vt:variant>
        <vt:i4>5</vt:i4>
      </vt:variant>
      <vt:variant>
        <vt:lpwstr/>
      </vt:variant>
      <vt:variant>
        <vt:lpwstr>_Toc127458873</vt:lpwstr>
      </vt:variant>
      <vt:variant>
        <vt:i4>1966139</vt:i4>
      </vt:variant>
      <vt:variant>
        <vt:i4>116</vt:i4>
      </vt:variant>
      <vt:variant>
        <vt:i4>0</vt:i4>
      </vt:variant>
      <vt:variant>
        <vt:i4>5</vt:i4>
      </vt:variant>
      <vt:variant>
        <vt:lpwstr/>
      </vt:variant>
      <vt:variant>
        <vt:lpwstr>_Toc127458872</vt:lpwstr>
      </vt:variant>
      <vt:variant>
        <vt:i4>1966139</vt:i4>
      </vt:variant>
      <vt:variant>
        <vt:i4>113</vt:i4>
      </vt:variant>
      <vt:variant>
        <vt:i4>0</vt:i4>
      </vt:variant>
      <vt:variant>
        <vt:i4>5</vt:i4>
      </vt:variant>
      <vt:variant>
        <vt:lpwstr/>
      </vt:variant>
      <vt:variant>
        <vt:lpwstr>_Toc127458871</vt:lpwstr>
      </vt:variant>
      <vt:variant>
        <vt:i4>1966139</vt:i4>
      </vt:variant>
      <vt:variant>
        <vt:i4>110</vt:i4>
      </vt:variant>
      <vt:variant>
        <vt:i4>0</vt:i4>
      </vt:variant>
      <vt:variant>
        <vt:i4>5</vt:i4>
      </vt:variant>
      <vt:variant>
        <vt:lpwstr/>
      </vt:variant>
      <vt:variant>
        <vt:lpwstr>_Toc127458870</vt:lpwstr>
      </vt:variant>
      <vt:variant>
        <vt:i4>2031675</vt:i4>
      </vt:variant>
      <vt:variant>
        <vt:i4>107</vt:i4>
      </vt:variant>
      <vt:variant>
        <vt:i4>0</vt:i4>
      </vt:variant>
      <vt:variant>
        <vt:i4>5</vt:i4>
      </vt:variant>
      <vt:variant>
        <vt:lpwstr/>
      </vt:variant>
      <vt:variant>
        <vt:lpwstr>_Toc127458869</vt:lpwstr>
      </vt:variant>
      <vt:variant>
        <vt:i4>2031675</vt:i4>
      </vt:variant>
      <vt:variant>
        <vt:i4>104</vt:i4>
      </vt:variant>
      <vt:variant>
        <vt:i4>0</vt:i4>
      </vt:variant>
      <vt:variant>
        <vt:i4>5</vt:i4>
      </vt:variant>
      <vt:variant>
        <vt:lpwstr/>
      </vt:variant>
      <vt:variant>
        <vt:lpwstr>_Toc127458868</vt:lpwstr>
      </vt:variant>
      <vt:variant>
        <vt:i4>2031675</vt:i4>
      </vt:variant>
      <vt:variant>
        <vt:i4>101</vt:i4>
      </vt:variant>
      <vt:variant>
        <vt:i4>0</vt:i4>
      </vt:variant>
      <vt:variant>
        <vt:i4>5</vt:i4>
      </vt:variant>
      <vt:variant>
        <vt:lpwstr/>
      </vt:variant>
      <vt:variant>
        <vt:lpwstr>_Toc127458867</vt:lpwstr>
      </vt:variant>
      <vt:variant>
        <vt:i4>2031675</vt:i4>
      </vt:variant>
      <vt:variant>
        <vt:i4>98</vt:i4>
      </vt:variant>
      <vt:variant>
        <vt:i4>0</vt:i4>
      </vt:variant>
      <vt:variant>
        <vt:i4>5</vt:i4>
      </vt:variant>
      <vt:variant>
        <vt:lpwstr/>
      </vt:variant>
      <vt:variant>
        <vt:lpwstr>_Toc127458866</vt:lpwstr>
      </vt:variant>
      <vt:variant>
        <vt:i4>2031675</vt:i4>
      </vt:variant>
      <vt:variant>
        <vt:i4>95</vt:i4>
      </vt:variant>
      <vt:variant>
        <vt:i4>0</vt:i4>
      </vt:variant>
      <vt:variant>
        <vt:i4>5</vt:i4>
      </vt:variant>
      <vt:variant>
        <vt:lpwstr/>
      </vt:variant>
      <vt:variant>
        <vt:lpwstr>_Toc127458865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2023-02-17T16:38:00Z</dcterms:created>
  <dcterms:modified xsi:type="dcterms:W3CDTF">2023-02-17T16:43:00Z</dcterms:modified>
</cp:coreProperties>
</file>