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AEF9" w14:textId="68878FE2" w:rsidR="004A4802" w:rsidRPr="00A412D5" w:rsidRDefault="004A4802" w:rsidP="004A4802">
      <w:pPr>
        <w:pStyle w:val="3GPPHeader"/>
        <w:spacing w:after="0"/>
        <w:rPr>
          <w:lang w:val="en-US"/>
        </w:rPr>
      </w:pPr>
      <w:r w:rsidRPr="00DE5DDF">
        <w:rPr>
          <w:lang w:val="en-US"/>
        </w:rPr>
        <w:t>3GPP TSG-RAN4 Meeting #</w:t>
      </w:r>
      <w:r>
        <w:rPr>
          <w:lang w:val="en-US"/>
        </w:rPr>
        <w:t>10</w:t>
      </w:r>
      <w:r w:rsidR="00683CDA">
        <w:rPr>
          <w:lang w:val="en-US"/>
        </w:rPr>
        <w:t>6</w:t>
      </w:r>
      <w:r>
        <w:rPr>
          <w:lang w:val="en-US"/>
        </w:rPr>
        <w:tab/>
      </w:r>
      <w:r w:rsidR="00B16C34" w:rsidRPr="00B16C34">
        <w:rPr>
          <w:lang w:val="en-US"/>
        </w:rPr>
        <w:t>R4-2300215</w:t>
      </w:r>
    </w:p>
    <w:p w14:paraId="765E1C96" w14:textId="22408336" w:rsidR="007F357C" w:rsidRPr="00B23518" w:rsidRDefault="00683CDA" w:rsidP="007F357C">
      <w:pPr>
        <w:pStyle w:val="Header"/>
        <w:tabs>
          <w:tab w:val="right" w:pos="9781"/>
          <w:tab w:val="right" w:pos="13323"/>
        </w:tabs>
        <w:outlineLvl w:val="0"/>
        <w:rPr>
          <w:rFonts w:eastAsia="SimSun" w:cs="Arial"/>
          <w:b w:val="0"/>
          <w:sz w:val="24"/>
          <w:szCs w:val="24"/>
          <w:lang w:eastAsia="zh-CN"/>
        </w:rPr>
      </w:pPr>
      <w:r w:rsidRPr="00683CDA">
        <w:rPr>
          <w:rFonts w:eastAsia="SimSun" w:cs="Arial"/>
          <w:sz w:val="24"/>
          <w:szCs w:val="24"/>
          <w:lang w:eastAsia="zh-CN"/>
        </w:rPr>
        <w:t>Athens, Greece, February 27 – March 3, 2022</w:t>
      </w:r>
    </w:p>
    <w:p w14:paraId="6DBA1303" w14:textId="77777777" w:rsidR="00DB3907" w:rsidRPr="00E53F32" w:rsidRDefault="00DB3907" w:rsidP="00DB3907">
      <w:pPr>
        <w:pStyle w:val="Footer"/>
      </w:pPr>
    </w:p>
    <w:p w14:paraId="16783F2C" w14:textId="7E4F0DF4" w:rsidR="00DB3907" w:rsidRPr="00EC7FFD" w:rsidRDefault="00DB3907" w:rsidP="0E2E4A4E">
      <w:pPr>
        <w:tabs>
          <w:tab w:val="left" w:pos="1985"/>
        </w:tabs>
        <w:rPr>
          <w:rFonts w:ascii="Arial" w:hAnsi="Arial"/>
          <w:sz w:val="24"/>
          <w:szCs w:val="24"/>
          <w:lang w:val="en-US"/>
        </w:rPr>
      </w:pPr>
      <w:r w:rsidRPr="0E2E4A4E">
        <w:rPr>
          <w:rFonts w:ascii="Arial" w:hAnsi="Arial"/>
          <w:b/>
          <w:bCs/>
          <w:sz w:val="24"/>
          <w:szCs w:val="24"/>
          <w:lang w:val="en-US"/>
        </w:rPr>
        <w:t>Agenda item:</w:t>
      </w:r>
      <w:r>
        <w:tab/>
      </w:r>
      <w:r w:rsidR="00683CDA">
        <w:rPr>
          <w:rFonts w:ascii="Arial" w:hAnsi="Arial"/>
          <w:sz w:val="24"/>
          <w:szCs w:val="24"/>
          <w:lang w:val="en-US"/>
        </w:rPr>
        <w:t>9</w:t>
      </w:r>
      <w:r w:rsidR="4CC89367" w:rsidRPr="0E2E4A4E">
        <w:rPr>
          <w:rFonts w:ascii="Arial" w:hAnsi="Arial"/>
          <w:sz w:val="24"/>
          <w:szCs w:val="24"/>
          <w:lang w:val="en-US"/>
        </w:rPr>
        <w:t>.6.</w:t>
      </w:r>
      <w:r w:rsidR="008F52CF">
        <w:rPr>
          <w:rFonts w:ascii="Arial" w:hAnsi="Arial"/>
          <w:sz w:val="24"/>
          <w:szCs w:val="24"/>
          <w:lang w:val="en-US"/>
        </w:rPr>
        <w:t>3</w:t>
      </w:r>
    </w:p>
    <w:p w14:paraId="1E1C2FD0" w14:textId="6B9393E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A4802" w:rsidRPr="004A4802">
        <w:rPr>
          <w:rFonts w:ascii="Arial" w:hAnsi="Arial"/>
          <w:sz w:val="24"/>
          <w:lang w:val="en-US"/>
        </w:rPr>
        <w:t>Nokia, Nokia Shanghai Bell</w:t>
      </w:r>
    </w:p>
    <w:p w14:paraId="3A62F436" w14:textId="40594DAF" w:rsidR="00717421" w:rsidRPr="00EC7FFD" w:rsidRDefault="00DB3907" w:rsidP="0E2E4A4E">
      <w:pPr>
        <w:tabs>
          <w:tab w:val="left" w:pos="1985"/>
        </w:tabs>
        <w:ind w:left="1980" w:hanging="1980"/>
        <w:rPr>
          <w:rFonts w:ascii="Arial" w:hAnsi="Arial"/>
          <w:sz w:val="24"/>
          <w:szCs w:val="24"/>
          <w:lang w:val="en-US"/>
        </w:rPr>
      </w:pPr>
      <w:r w:rsidRPr="0E2E4A4E">
        <w:rPr>
          <w:rFonts w:ascii="Arial" w:hAnsi="Arial"/>
          <w:b/>
          <w:bCs/>
          <w:sz w:val="24"/>
          <w:szCs w:val="24"/>
          <w:lang w:val="en-US"/>
        </w:rPr>
        <w:t>Title:</w:t>
      </w:r>
      <w:r w:rsidRPr="0E2E4A4E">
        <w:rPr>
          <w:rFonts w:ascii="Arial" w:hAnsi="Arial"/>
          <w:sz w:val="24"/>
          <w:szCs w:val="24"/>
          <w:lang w:val="en-US"/>
        </w:rPr>
        <w:t xml:space="preserve"> </w:t>
      </w:r>
      <w:r>
        <w:tab/>
      </w:r>
      <w:r w:rsidR="00683CDA">
        <w:rPr>
          <w:rFonts w:ascii="Arial" w:hAnsi="Arial"/>
          <w:sz w:val="24"/>
          <w:szCs w:val="24"/>
          <w:lang w:val="en-US"/>
        </w:rPr>
        <w:t>Delta</w:t>
      </w:r>
      <w:r w:rsidR="00F1348A" w:rsidRPr="00F1348A">
        <w:rPr>
          <w:rFonts w:ascii="Arial" w:hAnsi="Arial"/>
          <w:sz w:val="24"/>
          <w:szCs w:val="24"/>
          <w:lang w:val="en-US"/>
        </w:rPr>
        <w:t xml:space="preserve"> </w:t>
      </w:r>
      <w:proofErr w:type="spellStart"/>
      <w:r w:rsidR="00F1348A" w:rsidRPr="00F1348A">
        <w:rPr>
          <w:rFonts w:ascii="Arial" w:hAnsi="Arial"/>
          <w:sz w:val="24"/>
          <w:szCs w:val="24"/>
          <w:lang w:val="en-US"/>
        </w:rPr>
        <w:t>T</w:t>
      </w:r>
      <w:r w:rsidR="00F1348A" w:rsidRPr="00683CDA">
        <w:rPr>
          <w:rFonts w:ascii="Arial" w:hAnsi="Arial"/>
          <w:sz w:val="24"/>
          <w:szCs w:val="24"/>
          <w:vertAlign w:val="subscript"/>
          <w:lang w:val="en-US"/>
        </w:rPr>
        <w:t>RxSRS</w:t>
      </w:r>
      <w:proofErr w:type="spellEnd"/>
      <w:r w:rsidR="00683CDA">
        <w:rPr>
          <w:rFonts w:ascii="Arial" w:hAnsi="Arial"/>
          <w:sz w:val="24"/>
          <w:szCs w:val="24"/>
          <w:lang w:val="en-US"/>
        </w:rPr>
        <w:t xml:space="preserve"> handling</w:t>
      </w:r>
      <w:r w:rsidR="008F52CF" w:rsidRPr="008F52CF">
        <w:rPr>
          <w:rFonts w:ascii="Arial" w:hAnsi="Arial"/>
          <w:sz w:val="24"/>
          <w:szCs w:val="24"/>
          <w:lang w:val="en-US"/>
        </w:rPr>
        <w:t xml:space="preserve"> </w:t>
      </w:r>
      <w:r w:rsidR="75A514FE" w:rsidRPr="0E2E4A4E">
        <w:rPr>
          <w:rFonts w:ascii="Arial" w:hAnsi="Arial"/>
          <w:sz w:val="24"/>
          <w:szCs w:val="24"/>
          <w:lang w:val="en-US"/>
        </w:rPr>
        <w:t xml:space="preserve"> </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6CA0A20" w14:textId="77777777" w:rsidR="00471F44" w:rsidRDefault="00F74253" w:rsidP="000161F7">
      <w:r>
        <w:t>RAN4#10</w:t>
      </w:r>
      <w:r w:rsidR="00683CDA">
        <w:t>5</w:t>
      </w:r>
      <w:r>
        <w:t xml:space="preserve"> </w:t>
      </w:r>
      <w:r w:rsidR="00372B91">
        <w:t>approved WF of [1]</w:t>
      </w:r>
      <w:r w:rsidR="00E3098A">
        <w:t>, where</w:t>
      </w:r>
      <w:r w:rsidR="00F1348A">
        <w:t xml:space="preserve"> </w:t>
      </w:r>
      <w:r w:rsidR="00471F44">
        <w:t>following issues were captured.</w:t>
      </w:r>
    </w:p>
    <w:p w14:paraId="58643936" w14:textId="77777777" w:rsidR="00471F44" w:rsidRDefault="00471F44" w:rsidP="00CD36FA">
      <w:pPr>
        <w:pStyle w:val="ListParagraph"/>
        <w:numPr>
          <w:ilvl w:val="0"/>
          <w:numId w:val="44"/>
        </w:numPr>
      </w:pPr>
      <w:r w:rsidRPr="00471F44">
        <w:t xml:space="preserve">Issue 3-1: Value of </w:t>
      </w:r>
      <w:proofErr w:type="spellStart"/>
      <w:r w:rsidRPr="00471F44">
        <w:t>ΔT</w:t>
      </w:r>
      <w:r w:rsidRPr="00CD36FA">
        <w:rPr>
          <w:vertAlign w:val="subscript"/>
        </w:rPr>
        <w:t>RxSRS</w:t>
      </w:r>
      <w:proofErr w:type="spellEnd"/>
      <w:r w:rsidRPr="00471F44">
        <w:t xml:space="preserve"> for antennas other than main branch </w:t>
      </w:r>
    </w:p>
    <w:p w14:paraId="1D36A9F3" w14:textId="4AEF462E" w:rsidR="00471F44" w:rsidRDefault="00471F44" w:rsidP="00CD36FA">
      <w:pPr>
        <w:pStyle w:val="ListParagraph"/>
        <w:numPr>
          <w:ilvl w:val="0"/>
          <w:numId w:val="44"/>
        </w:numPr>
      </w:pPr>
      <w:r w:rsidRPr="00471F44">
        <w:t xml:space="preserve">Issue 3-2: Value of </w:t>
      </w:r>
      <w:proofErr w:type="spellStart"/>
      <w:r w:rsidRPr="00471F44">
        <w:t>ΔT</w:t>
      </w:r>
      <w:r w:rsidRPr="00CD36FA">
        <w:rPr>
          <w:vertAlign w:val="subscript"/>
        </w:rPr>
        <w:t>RxSRS</w:t>
      </w:r>
      <w:proofErr w:type="spellEnd"/>
      <w:r w:rsidRPr="00471F44">
        <w:t xml:space="preserve"> for the main branch </w:t>
      </w:r>
    </w:p>
    <w:p w14:paraId="7C0E8819" w14:textId="77777777" w:rsidR="00471F44" w:rsidRDefault="00471F44" w:rsidP="00CD36FA">
      <w:pPr>
        <w:pStyle w:val="ListParagraph"/>
        <w:numPr>
          <w:ilvl w:val="0"/>
          <w:numId w:val="44"/>
        </w:numPr>
      </w:pPr>
      <w:r w:rsidRPr="00471F44">
        <w:t xml:space="preserve">Issue 3-3: Indication of </w:t>
      </w:r>
      <w:proofErr w:type="spellStart"/>
      <w:r w:rsidRPr="00471F44">
        <w:t>ΔT</w:t>
      </w:r>
      <w:r w:rsidRPr="00CD36FA">
        <w:rPr>
          <w:vertAlign w:val="subscript"/>
        </w:rPr>
        <w:t>RxSRS</w:t>
      </w:r>
      <w:proofErr w:type="spellEnd"/>
    </w:p>
    <w:p w14:paraId="3809024A" w14:textId="77777777" w:rsidR="00471F44" w:rsidRDefault="00471F44" w:rsidP="00CD36FA">
      <w:pPr>
        <w:pStyle w:val="ListParagraph"/>
        <w:numPr>
          <w:ilvl w:val="0"/>
          <w:numId w:val="44"/>
        </w:numPr>
      </w:pPr>
      <w:r w:rsidRPr="00471F44">
        <w:t xml:space="preserve">Issue 3-4: </w:t>
      </w:r>
      <w:proofErr w:type="gramStart"/>
      <w:r w:rsidRPr="00471F44">
        <w:t>Whether or not</w:t>
      </w:r>
      <w:proofErr w:type="gramEnd"/>
      <w:r w:rsidRPr="00471F44">
        <w:t xml:space="preserve"> to approve a draft LS for indication of </w:t>
      </w:r>
      <w:proofErr w:type="spellStart"/>
      <w:r w:rsidRPr="00471F44">
        <w:t>ΔT</w:t>
      </w:r>
      <w:r w:rsidRPr="00CD36FA">
        <w:rPr>
          <w:vertAlign w:val="subscript"/>
        </w:rPr>
        <w:t>RxSRS</w:t>
      </w:r>
      <w:proofErr w:type="spellEnd"/>
      <w:r w:rsidRPr="00471F44">
        <w:t xml:space="preserve"> (Huawei [6])? </w:t>
      </w:r>
    </w:p>
    <w:p w14:paraId="294CC60C" w14:textId="47AE7242" w:rsidR="004A4802" w:rsidRDefault="00471F44" w:rsidP="000161F7">
      <w:r>
        <w:t>This contribution shares our views on Issue 3-2, 3-3 and 3-4.</w:t>
      </w:r>
    </w:p>
    <w:p w14:paraId="5060812A" w14:textId="77777777" w:rsidR="00D62C32" w:rsidRDefault="00D62C32" w:rsidP="0099327E">
      <w:pPr>
        <w:pStyle w:val="Heading1"/>
        <w:tabs>
          <w:tab w:val="clear" w:pos="432"/>
          <w:tab w:val="num" w:pos="522"/>
        </w:tabs>
        <w:ind w:left="522" w:hanging="522"/>
        <w:rPr>
          <w:lang w:val="en-US"/>
        </w:rPr>
      </w:pPr>
      <w:r>
        <w:rPr>
          <w:lang w:val="en-US"/>
        </w:rPr>
        <w:t>Discussion</w:t>
      </w:r>
    </w:p>
    <w:p w14:paraId="10F6602E" w14:textId="06F4212F" w:rsidR="007E1E78" w:rsidRDefault="00471F44" w:rsidP="00D62C32">
      <w:pPr>
        <w:pStyle w:val="Heading2"/>
        <w:rPr>
          <w:lang w:val="en-US"/>
        </w:rPr>
      </w:pPr>
      <w:r w:rsidRPr="00471F44">
        <w:rPr>
          <w:lang w:val="en-US"/>
        </w:rPr>
        <w:t xml:space="preserve">Value of </w:t>
      </w:r>
      <w:proofErr w:type="spellStart"/>
      <w:r w:rsidRPr="00471F44">
        <w:rPr>
          <w:lang w:val="en-US"/>
        </w:rPr>
        <w:t>ΔT</w:t>
      </w:r>
      <w:r w:rsidRPr="00471F44">
        <w:rPr>
          <w:vertAlign w:val="subscript"/>
          <w:lang w:val="en-US"/>
        </w:rPr>
        <w:t>RxSRS</w:t>
      </w:r>
      <w:proofErr w:type="spellEnd"/>
      <w:r w:rsidRPr="00471F44">
        <w:rPr>
          <w:lang w:val="en-US"/>
        </w:rPr>
        <w:t xml:space="preserve"> for the main branch</w:t>
      </w:r>
    </w:p>
    <w:p w14:paraId="4E4F706F" w14:textId="4684E7F9" w:rsidR="00471F44" w:rsidRDefault="00471F44" w:rsidP="00E3098A">
      <w:r>
        <w:t xml:space="preserve">A contribution of </w:t>
      </w:r>
      <w:r w:rsidR="00F1348A">
        <w:t xml:space="preserve">[2] </w:t>
      </w:r>
      <w:r>
        <w:t>had a following proposal.</w:t>
      </w:r>
    </w:p>
    <w:p w14:paraId="73C4185E" w14:textId="2C4A0143" w:rsidR="00471F44" w:rsidRDefault="00471F44" w:rsidP="00E3098A">
      <w:r>
        <w:rPr>
          <w:noProof/>
        </w:rPr>
        <w:drawing>
          <wp:inline distT="0" distB="0" distL="0" distR="0" wp14:anchorId="2E1F2EBF" wp14:editId="222E6478">
            <wp:extent cx="6115685" cy="558165"/>
            <wp:effectExtent l="19050" t="19050" r="18415" b="133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6115685" cy="558165"/>
                    </a:xfrm>
                    <a:prstGeom prst="rect">
                      <a:avLst/>
                    </a:prstGeom>
                    <a:ln>
                      <a:solidFill>
                        <a:schemeClr val="accent1"/>
                      </a:solidFill>
                    </a:ln>
                  </pic:spPr>
                </pic:pic>
              </a:graphicData>
            </a:graphic>
          </wp:inline>
        </w:drawing>
      </w:r>
    </w:p>
    <w:p w14:paraId="1AF95C94" w14:textId="376938CF" w:rsidR="00471F44" w:rsidRDefault="00471F44" w:rsidP="00E3098A">
      <w:r>
        <w:t>Though we understand the background of the proposal in a view of UE RF architecture complexity due to the introduction of 8Rx, maximum output power is one of the most fundamental requirements that directly impacts on radio cell radius coverage as well as capacity coverage.</w:t>
      </w:r>
      <w:r w:rsidR="00A31296" w:rsidRPr="00A31296">
        <w:t xml:space="preserve"> </w:t>
      </w:r>
      <w:r w:rsidR="00A31296">
        <w:t>It must not be reasonable to enhance Rx performance</w:t>
      </w:r>
      <w:r w:rsidR="00CD36FA">
        <w:t xml:space="preserve"> at the sacrifice of </w:t>
      </w:r>
      <w:r w:rsidR="00A31296">
        <w:t>degrad</w:t>
      </w:r>
      <w:r w:rsidR="00CD36FA">
        <w:t xml:space="preserve">ing </w:t>
      </w:r>
      <w:r w:rsidR="00A31296">
        <w:t xml:space="preserve">Tx performance, given that </w:t>
      </w:r>
      <w:r w:rsidR="00CD36FA">
        <w:t xml:space="preserve">it is likely that </w:t>
      </w:r>
      <w:r w:rsidR="00A31296">
        <w:t>UL would be a bottleneck in terms of coverage.</w:t>
      </w:r>
    </w:p>
    <w:p w14:paraId="660F10DF" w14:textId="7800AEDF" w:rsidR="00700BAF" w:rsidRDefault="00CD36FA" w:rsidP="00E3098A">
      <w:r>
        <w:t>Furthermore, e</w:t>
      </w:r>
      <w:r w:rsidR="00700BAF">
        <w:t xml:space="preserve">ven though 3GPP RAN4 specifications are minimum performance requirements, it doesn’t mean that performance requirements relaxations are allowed whenever new challenges are found. </w:t>
      </w:r>
      <w:r>
        <w:t xml:space="preserve">The </w:t>
      </w:r>
      <w:r w:rsidR="00700BAF">
        <w:t xml:space="preserve">minimum requirements themselves are for UE </w:t>
      </w:r>
      <w:r>
        <w:t xml:space="preserve">RF </w:t>
      </w:r>
      <w:r w:rsidR="00700BAF">
        <w:t xml:space="preserve">performance, while the requirements shall take system performance impact into account. </w:t>
      </w:r>
      <w:r>
        <w:t>Otherwise, a</w:t>
      </w:r>
      <w:r w:rsidR="00700BAF">
        <w:t>s an extreme example, if any implementation</w:t>
      </w:r>
      <w:r>
        <w:t>s were</w:t>
      </w:r>
      <w:r w:rsidR="00700BAF">
        <w:t xml:space="preserve"> allowed, we wouldn’t need requirements other than regulator related requirements. As an opposite</w:t>
      </w:r>
      <w:r>
        <w:t xml:space="preserve"> extreme</w:t>
      </w:r>
      <w:r w:rsidR="00700BAF">
        <w:t xml:space="preserve"> example, if too stringent requirements were specified, we wouldn’t be able to see commercial UEs in the field. Hence, 3GPP requirements do exist to make a balance between them.</w:t>
      </w:r>
    </w:p>
    <w:p w14:paraId="042B678D" w14:textId="2E147804" w:rsidR="00A31296" w:rsidRDefault="00700BAF" w:rsidP="00E3098A">
      <w:r>
        <w:t>Back to 1.5 dB relaxation,</w:t>
      </w:r>
      <w:r w:rsidR="0076095B">
        <w:t xml:space="preserve"> i</w:t>
      </w:r>
      <w:r>
        <w:t xml:space="preserve">f this relaxation was introduced, the UE would </w:t>
      </w:r>
      <w:r w:rsidR="005B1E32">
        <w:t xml:space="preserve">also </w:t>
      </w:r>
      <w:r>
        <w:t xml:space="preserve">get an exemption that the UE can meet pass a maximum output power requirement by relaxing </w:t>
      </w:r>
      <w:r w:rsidR="00A31296">
        <w:t xml:space="preserve">nominal maximum output power by 1.5 </w:t>
      </w:r>
      <w:proofErr w:type="spellStart"/>
      <w:r w:rsidR="00A31296">
        <w:t>dB</w:t>
      </w:r>
      <w:r w:rsidR="005B1E32">
        <w:t>.</w:t>
      </w:r>
      <w:proofErr w:type="spellEnd"/>
      <w:r w:rsidR="005B1E32">
        <w:t xml:space="preserve"> This just makes the benefit of UE with 8Rx unclear.</w:t>
      </w:r>
    </w:p>
    <w:p w14:paraId="6FB3ACD2" w14:textId="6BE9F9EA" w:rsidR="00A31296" w:rsidRDefault="00A31296" w:rsidP="00A31296">
      <w:r>
        <w:rPr>
          <w:b/>
          <w:bCs/>
        </w:rPr>
        <w:t xml:space="preserve">Proposal </w:t>
      </w:r>
      <w:r w:rsidRPr="00F1348A">
        <w:rPr>
          <w:b/>
          <w:bCs/>
        </w:rPr>
        <w:t>1</w:t>
      </w:r>
      <w:r>
        <w:t>: Maximum output power for the main Tx chain shall not be relaxed.</w:t>
      </w:r>
    </w:p>
    <w:p w14:paraId="79F13C2F" w14:textId="7EB34C8A" w:rsidR="00D62C32" w:rsidRDefault="00A31296" w:rsidP="00D62C32">
      <w:pPr>
        <w:pStyle w:val="Heading2"/>
        <w:rPr>
          <w:lang w:val="en-US"/>
        </w:rPr>
      </w:pPr>
      <w:r w:rsidRPr="00471F44">
        <w:t xml:space="preserve">Indication of </w:t>
      </w:r>
      <w:proofErr w:type="spellStart"/>
      <w:r w:rsidRPr="00471F44">
        <w:t>ΔT</w:t>
      </w:r>
      <w:r w:rsidRPr="00471F44">
        <w:rPr>
          <w:vertAlign w:val="subscript"/>
        </w:rPr>
        <w:t>RxSRS</w:t>
      </w:r>
      <w:proofErr w:type="spellEnd"/>
    </w:p>
    <w:p w14:paraId="0788D5C9" w14:textId="2F495C57" w:rsidR="00A31296" w:rsidRDefault="00A31296" w:rsidP="00A31296">
      <w:r>
        <w:t xml:space="preserve">The WF [1] captured a following WF for indication of </w:t>
      </w:r>
      <w:proofErr w:type="spellStart"/>
      <w:r w:rsidRPr="00471F44">
        <w:t>ΔT</w:t>
      </w:r>
      <w:r w:rsidRPr="00471F44">
        <w:rPr>
          <w:vertAlign w:val="subscript"/>
        </w:rPr>
        <w:t>RxSRS</w:t>
      </w:r>
      <w:proofErr w:type="spellEnd"/>
      <w:r w:rsidRPr="00A31296">
        <w:t>.</w:t>
      </w:r>
    </w:p>
    <w:p w14:paraId="4DDB5ECD" w14:textId="77777777" w:rsidR="00A31296" w:rsidRDefault="00A31296" w:rsidP="00A31296">
      <w:pPr>
        <w:jc w:val="center"/>
      </w:pPr>
      <w:r>
        <w:rPr>
          <w:noProof/>
        </w:rPr>
        <w:lastRenderedPageBreak/>
        <w:drawing>
          <wp:inline distT="0" distB="0" distL="0" distR="0" wp14:anchorId="581470E9" wp14:editId="0713CBCD">
            <wp:extent cx="4578588" cy="1527306"/>
            <wp:effectExtent l="19050" t="19050" r="12700" b="158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02384" cy="1535244"/>
                    </a:xfrm>
                    <a:prstGeom prst="rect">
                      <a:avLst/>
                    </a:prstGeom>
                    <a:noFill/>
                    <a:ln>
                      <a:solidFill>
                        <a:schemeClr val="accent1"/>
                      </a:solidFill>
                    </a:ln>
                  </pic:spPr>
                </pic:pic>
              </a:graphicData>
            </a:graphic>
          </wp:inline>
        </w:drawing>
      </w:r>
    </w:p>
    <w:p w14:paraId="1BC1EB2A" w14:textId="771ED60C" w:rsidR="00A31296" w:rsidRPr="00A31296" w:rsidRDefault="00716501" w:rsidP="00A31296">
      <w:pPr>
        <w:rPr>
          <w:b/>
          <w:bCs/>
          <w:u w:val="single"/>
        </w:rPr>
      </w:pPr>
      <w:r>
        <w:rPr>
          <w:b/>
          <w:bCs/>
          <w:u w:val="single"/>
        </w:rPr>
        <w:t>Type 3 Power Head Room</w:t>
      </w:r>
    </w:p>
    <w:p w14:paraId="19D849C0" w14:textId="38B11930" w:rsidR="00A31296" w:rsidRDefault="00716501" w:rsidP="00A31296">
      <w:r>
        <w:t>TS38.321 defines Type 3 PHR as “</w:t>
      </w:r>
      <w:r w:rsidRPr="00716501">
        <w:rPr>
          <w:i/>
          <w:iCs/>
        </w:rPr>
        <w:t>the difference between the nominal UE maximum transmit power and the estimated power for SRS transmission per activated Serving Cell</w:t>
      </w:r>
      <w:r>
        <w:t>”.</w:t>
      </w:r>
    </w:p>
    <w:p w14:paraId="7D202452" w14:textId="173A3357" w:rsidR="00716501" w:rsidRDefault="00716501" w:rsidP="00A31296">
      <w:r>
        <w:t>Furthermore, at least the specification clearly allows UE to report as follows.</w:t>
      </w:r>
    </w:p>
    <w:p w14:paraId="166C2748" w14:textId="6F976459" w:rsidR="00716501" w:rsidRDefault="00716501" w:rsidP="00716501">
      <w:pPr>
        <w:jc w:val="center"/>
      </w:pPr>
      <w:r>
        <w:rPr>
          <w:noProof/>
        </w:rPr>
        <w:drawing>
          <wp:inline distT="0" distB="0" distL="0" distR="0" wp14:anchorId="3BC36746" wp14:editId="59226F9E">
            <wp:extent cx="5349994" cy="1074334"/>
            <wp:effectExtent l="19050" t="19050" r="22225" b="1206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83461" cy="1081054"/>
                    </a:xfrm>
                    <a:prstGeom prst="rect">
                      <a:avLst/>
                    </a:prstGeom>
                    <a:noFill/>
                    <a:ln>
                      <a:solidFill>
                        <a:schemeClr val="tx1"/>
                      </a:solidFill>
                    </a:ln>
                  </pic:spPr>
                </pic:pic>
              </a:graphicData>
            </a:graphic>
          </wp:inline>
        </w:drawing>
      </w:r>
    </w:p>
    <w:p w14:paraId="405D3A36" w14:textId="6AF0D1D2" w:rsidR="00716501" w:rsidRDefault="00716501" w:rsidP="00716501">
      <w:r>
        <w:rPr>
          <w:b/>
          <w:bCs/>
        </w:rPr>
        <w:t>Observation 1</w:t>
      </w:r>
      <w:r>
        <w:t xml:space="preserve">: Type 3 PHR allows </w:t>
      </w:r>
      <w:r w:rsidRPr="00716501">
        <w:t xml:space="preserve">UE to report </w:t>
      </w:r>
      <w:proofErr w:type="spellStart"/>
      <w:proofErr w:type="gramStart"/>
      <w:r w:rsidRPr="00716501">
        <w:rPr>
          <w:lang w:eastAsia="ko-KR"/>
        </w:rPr>
        <w:t>P</w:t>
      </w:r>
      <w:r w:rsidRPr="00716501">
        <w:rPr>
          <w:vertAlign w:val="subscript"/>
          <w:lang w:eastAsia="ko-KR"/>
        </w:rPr>
        <w:t>CMAX,f</w:t>
      </w:r>
      <w:proofErr w:type="gramEnd"/>
      <w:r w:rsidRPr="00716501">
        <w:rPr>
          <w:vertAlign w:val="subscript"/>
          <w:lang w:eastAsia="ko-KR"/>
        </w:rPr>
        <w:t>,c</w:t>
      </w:r>
      <w:proofErr w:type="spellEnd"/>
      <w:r>
        <w:t>.</w:t>
      </w:r>
    </w:p>
    <w:p w14:paraId="422DF041" w14:textId="5D7B8860" w:rsidR="00A62C2D" w:rsidRDefault="00716501" w:rsidP="00A31296">
      <w:r>
        <w:t xml:space="preserve">Hence, if a </w:t>
      </w:r>
      <w:proofErr w:type="spellStart"/>
      <w:r>
        <w:t>gNB</w:t>
      </w:r>
      <w:proofErr w:type="spellEnd"/>
      <w:r>
        <w:t xml:space="preserve"> obtains</w:t>
      </w:r>
      <w:r w:rsidR="00A62C2D" w:rsidRPr="00A62C2D">
        <w:rPr>
          <w:lang w:eastAsia="ko-KR"/>
        </w:rPr>
        <w:t xml:space="preserve"> </w:t>
      </w:r>
      <w:proofErr w:type="spellStart"/>
      <w:proofErr w:type="gramStart"/>
      <w:r w:rsidR="00A62C2D" w:rsidRPr="00716501">
        <w:rPr>
          <w:lang w:eastAsia="ko-KR"/>
        </w:rPr>
        <w:t>P</w:t>
      </w:r>
      <w:r w:rsidR="00A62C2D" w:rsidRPr="00716501">
        <w:rPr>
          <w:vertAlign w:val="subscript"/>
          <w:lang w:eastAsia="ko-KR"/>
        </w:rPr>
        <w:t>CMAX,f</w:t>
      </w:r>
      <w:proofErr w:type="gramEnd"/>
      <w:r w:rsidR="00A62C2D" w:rsidRPr="00716501">
        <w:rPr>
          <w:vertAlign w:val="subscript"/>
          <w:lang w:eastAsia="ko-KR"/>
        </w:rPr>
        <w:t>,c</w:t>
      </w:r>
      <w:proofErr w:type="spellEnd"/>
      <w:r w:rsidR="00A62C2D">
        <w:t xml:space="preserve">, perhaps, the </w:t>
      </w:r>
      <w:proofErr w:type="spellStart"/>
      <w:r w:rsidR="00A62C2D">
        <w:t>gNB</w:t>
      </w:r>
      <w:proofErr w:type="spellEnd"/>
      <w:r w:rsidR="00A62C2D">
        <w:t xml:space="preserve"> may be able to obtain expected power differences across antenna ports</w:t>
      </w:r>
      <w:r w:rsidR="004073A4">
        <w:t xml:space="preserve"> by seeing delta, i.e., the highest </w:t>
      </w:r>
      <w:proofErr w:type="spellStart"/>
      <w:r w:rsidR="004073A4" w:rsidRPr="00716501">
        <w:rPr>
          <w:lang w:eastAsia="ko-KR"/>
        </w:rPr>
        <w:t>P</w:t>
      </w:r>
      <w:r w:rsidR="004073A4" w:rsidRPr="00716501">
        <w:rPr>
          <w:vertAlign w:val="subscript"/>
          <w:lang w:eastAsia="ko-KR"/>
        </w:rPr>
        <w:t>CMAX,f,c</w:t>
      </w:r>
      <w:proofErr w:type="spellEnd"/>
      <w:r w:rsidR="004073A4">
        <w:t xml:space="preserve"> port (ref) – </w:t>
      </w:r>
      <w:proofErr w:type="spellStart"/>
      <w:r w:rsidR="004073A4" w:rsidRPr="00716501">
        <w:rPr>
          <w:lang w:eastAsia="ko-KR"/>
        </w:rPr>
        <w:t>P</w:t>
      </w:r>
      <w:r w:rsidR="004073A4" w:rsidRPr="00716501">
        <w:rPr>
          <w:vertAlign w:val="subscript"/>
          <w:lang w:eastAsia="ko-KR"/>
        </w:rPr>
        <w:t>CMAX,f,c</w:t>
      </w:r>
      <w:proofErr w:type="spellEnd"/>
      <w:r w:rsidR="004073A4">
        <w:t xml:space="preserve"> at a different port. </w:t>
      </w:r>
      <w:r w:rsidR="00A62C2D">
        <w:t xml:space="preserve"> In this case, there is no need for mapping between physical antenna connectors and antenna port unlike report of actual </w:t>
      </w:r>
      <w:proofErr w:type="spellStart"/>
      <w:r w:rsidR="00A62C2D" w:rsidRPr="00F1348A">
        <w:t>ΔT</w:t>
      </w:r>
      <w:r w:rsidR="00A62C2D" w:rsidRPr="00F1348A">
        <w:rPr>
          <w:vertAlign w:val="subscript"/>
        </w:rPr>
        <w:t>RxSRS</w:t>
      </w:r>
      <w:proofErr w:type="spellEnd"/>
      <w:r w:rsidR="00A62C2D">
        <w:t>.</w:t>
      </w:r>
      <w:r w:rsidR="005B1E32">
        <w:t xml:space="preserve"> It is, however, still further study on usage of Type 3 PHR is needed since </w:t>
      </w:r>
      <w:proofErr w:type="spellStart"/>
      <w:r w:rsidR="005B1E32">
        <w:t>gNB</w:t>
      </w:r>
      <w:proofErr w:type="spellEnd"/>
      <w:r w:rsidR="005B1E32">
        <w:t xml:space="preserve"> needs to obtain </w:t>
      </w:r>
      <w:proofErr w:type="spellStart"/>
      <w:proofErr w:type="gramStart"/>
      <w:r w:rsidR="005B1E32" w:rsidRPr="00716501">
        <w:rPr>
          <w:lang w:eastAsia="ko-KR"/>
        </w:rPr>
        <w:t>P</w:t>
      </w:r>
      <w:r w:rsidR="005B1E32" w:rsidRPr="00716501">
        <w:rPr>
          <w:vertAlign w:val="subscript"/>
          <w:lang w:eastAsia="ko-KR"/>
        </w:rPr>
        <w:t>CMAX,f</w:t>
      </w:r>
      <w:proofErr w:type="gramEnd"/>
      <w:r w:rsidR="005B1E32" w:rsidRPr="00716501">
        <w:rPr>
          <w:vertAlign w:val="subscript"/>
          <w:lang w:eastAsia="ko-KR"/>
        </w:rPr>
        <w:t>,c</w:t>
      </w:r>
      <w:proofErr w:type="spellEnd"/>
      <w:r w:rsidR="005B1E32">
        <w:t xml:space="preserve"> in a timely manner and with a suitable granularity</w:t>
      </w:r>
      <w:r w:rsidR="000C3A3A">
        <w:t xml:space="preserve"> (e.g., per resource set, per port, per occasion etc.).</w:t>
      </w:r>
    </w:p>
    <w:p w14:paraId="0C7B156F" w14:textId="24364FDD" w:rsidR="00A62C2D" w:rsidRDefault="00A62C2D" w:rsidP="00A62C2D">
      <w:r>
        <w:rPr>
          <w:b/>
          <w:bCs/>
        </w:rPr>
        <w:t>Proposal 2</w:t>
      </w:r>
      <w:r>
        <w:t xml:space="preserve">: If SRS antenna switching enhancement is considered in terms of </w:t>
      </w:r>
      <w:proofErr w:type="spellStart"/>
      <w:r w:rsidRPr="00F1348A">
        <w:t>ΔT</w:t>
      </w:r>
      <w:r w:rsidRPr="00F1348A">
        <w:rPr>
          <w:vertAlign w:val="subscript"/>
        </w:rPr>
        <w:t>RxSRS</w:t>
      </w:r>
      <w:proofErr w:type="spellEnd"/>
      <w:r>
        <w:t xml:space="preserve">, utilization of type 3 PHR should be </w:t>
      </w:r>
      <w:r w:rsidR="004073A4">
        <w:t xml:space="preserve">considered as </w:t>
      </w:r>
      <w:r>
        <w:t>one of the options</w:t>
      </w:r>
      <w:r w:rsidR="000C3A3A">
        <w:t>, while it still requires further study on if the current specifications can work as a better alternative</w:t>
      </w:r>
      <w:r>
        <w:t xml:space="preserve">. </w:t>
      </w:r>
    </w:p>
    <w:p w14:paraId="719F9D2E" w14:textId="419420A0" w:rsidR="00A62C2D" w:rsidRPr="00A31296" w:rsidRDefault="00A62C2D" w:rsidP="00A62C2D">
      <w:pPr>
        <w:rPr>
          <w:b/>
          <w:bCs/>
          <w:u w:val="single"/>
        </w:rPr>
      </w:pPr>
      <w:r>
        <w:rPr>
          <w:b/>
          <w:bCs/>
          <w:u w:val="single"/>
        </w:rPr>
        <w:t>Report of</w:t>
      </w:r>
      <w:r w:rsidRPr="00A62C2D">
        <w:rPr>
          <w:b/>
          <w:bCs/>
          <w:u w:val="single"/>
        </w:rPr>
        <w:t xml:space="preserve"> </w:t>
      </w:r>
      <w:proofErr w:type="spellStart"/>
      <w:r w:rsidRPr="00A62C2D">
        <w:rPr>
          <w:b/>
          <w:bCs/>
        </w:rPr>
        <w:t>ΔT</w:t>
      </w:r>
      <w:r w:rsidRPr="00A62C2D">
        <w:rPr>
          <w:b/>
          <w:bCs/>
          <w:vertAlign w:val="subscript"/>
        </w:rPr>
        <w:t>RxSRS</w:t>
      </w:r>
      <w:proofErr w:type="spellEnd"/>
    </w:p>
    <w:p w14:paraId="48125CA4" w14:textId="62582A2B" w:rsidR="00A62C2D" w:rsidRDefault="00A62C2D" w:rsidP="00A31296">
      <w:r>
        <w:t xml:space="preserve">In our understanding, </w:t>
      </w:r>
      <w:r w:rsidR="004073A4">
        <w:t xml:space="preserve">it would be less likely that </w:t>
      </w:r>
      <w:r>
        <w:t xml:space="preserve">SRS antenna switching itself </w:t>
      </w:r>
      <w:r w:rsidR="004073A4">
        <w:t>is frequently used</w:t>
      </w:r>
      <w:r>
        <w:t xml:space="preserve"> at cell edge, where DL MIMO wouldn’t be a suitable choice given that DL signal </w:t>
      </w:r>
      <w:r w:rsidR="004073A4">
        <w:t xml:space="preserve">quality </w:t>
      </w:r>
      <w:r>
        <w:t xml:space="preserve">is quite lower, but rather this feature would be used where at least DL signal quality is relatively good. Accordingly, uplink power required under such a condition may not be necessarily at maximum. </w:t>
      </w:r>
    </w:p>
    <w:p w14:paraId="045E30CA" w14:textId="2FDDB424" w:rsidR="00A62C2D" w:rsidRDefault="00A62C2D" w:rsidP="00A31296">
      <w:r w:rsidRPr="00F1348A">
        <w:rPr>
          <w:b/>
          <w:bCs/>
        </w:rPr>
        <w:t xml:space="preserve">Observation </w:t>
      </w:r>
      <w:r>
        <w:rPr>
          <w:b/>
          <w:bCs/>
        </w:rPr>
        <w:t>2</w:t>
      </w:r>
      <w:r>
        <w:t>: It would be likely that SRS antenna switch feature would be used when a UE relative</w:t>
      </w:r>
      <w:r w:rsidR="004073A4">
        <w:t>ly</w:t>
      </w:r>
      <w:r>
        <w:t xml:space="preserve"> close to a </w:t>
      </w:r>
      <w:proofErr w:type="spellStart"/>
      <w:r>
        <w:t>gNB</w:t>
      </w:r>
      <w:proofErr w:type="spellEnd"/>
      <w:r>
        <w:t>, where required uplink power is not necessarily at maximum</w:t>
      </w:r>
      <w:r w:rsidR="000C3A3A">
        <w:t xml:space="preserve"> (though more reflection may bring higher power to some extent)</w:t>
      </w:r>
      <w:r>
        <w:t>.</w:t>
      </w:r>
    </w:p>
    <w:p w14:paraId="08102858" w14:textId="64F153D6" w:rsidR="002C1509" w:rsidRDefault="002B1AFF" w:rsidP="00A31296">
      <w:r>
        <w:t>When it comes to system gain, thankfully, a contribution of [2] provided a simulation result, where it showed more precise precoding matri</w:t>
      </w:r>
      <w:r w:rsidR="000C3A3A">
        <w:t>x</w:t>
      </w:r>
      <w:r>
        <w:t xml:space="preserve"> selection is possible with reporting actual power imbalance due to ILs. From Observation 2</w:t>
      </w:r>
      <w:r w:rsidR="004073A4">
        <w:t>,</w:t>
      </w:r>
      <w:r w:rsidR="000C3A3A">
        <w:t xml:space="preserve"> however, </w:t>
      </w:r>
      <w:r>
        <w:t xml:space="preserve">we’d like to </w:t>
      </w:r>
      <w:r w:rsidR="000C3A3A">
        <w:t xml:space="preserve">better </w:t>
      </w:r>
      <w:r>
        <w:t xml:space="preserve">understand that </w:t>
      </w:r>
      <w:r w:rsidR="004073A4">
        <w:t>whether</w:t>
      </w:r>
      <w:r w:rsidR="000C3A3A">
        <w:t xml:space="preserve"> following</w:t>
      </w:r>
      <w:r w:rsidR="004073A4">
        <w:t xml:space="preserve"> </w:t>
      </w:r>
      <w:r>
        <w:t>assumption 1 or 2 is assumed in the simulation or not when UE doesn’t need to transmit maximum output power per port</w:t>
      </w:r>
      <w:r w:rsidR="002C1509">
        <w:t xml:space="preserve"> as shown in Figure 1, where IL per port of (p0, p1, p2, p3) = (Ref, 3 dB, 3 dB, 6 dB) is assumed.</w:t>
      </w:r>
    </w:p>
    <w:p w14:paraId="0338616C" w14:textId="0E495E50" w:rsidR="006F656C" w:rsidRDefault="002C1509" w:rsidP="006F656C">
      <w:pPr>
        <w:pStyle w:val="ListParagraph"/>
        <w:numPr>
          <w:ilvl w:val="0"/>
          <w:numId w:val="43"/>
        </w:numPr>
      </w:pPr>
      <w:r>
        <w:t xml:space="preserve">Assumption 1 is in case </w:t>
      </w:r>
      <w:r w:rsidR="002B1AFF">
        <w:t xml:space="preserve">the UE is close to a </w:t>
      </w:r>
      <w:proofErr w:type="spellStart"/>
      <w:r w:rsidR="002B1AFF">
        <w:t>gNB</w:t>
      </w:r>
      <w:proofErr w:type="spellEnd"/>
      <w:r>
        <w:t xml:space="preserve">, where e.g., 17 dBm is sufficient, still the UE transmits the same output power as </w:t>
      </w:r>
      <w:r w:rsidR="000C3A3A">
        <w:t xml:space="preserve">if the UE was close to </w:t>
      </w:r>
      <w:r>
        <w:t>cell edge</w:t>
      </w:r>
      <w:r w:rsidR="006F656C">
        <w:t>.</w:t>
      </w:r>
    </w:p>
    <w:p w14:paraId="6CD76050" w14:textId="220C145E" w:rsidR="002C1509" w:rsidRDefault="006F656C" w:rsidP="006F656C">
      <w:pPr>
        <w:pStyle w:val="ListParagraph"/>
        <w:numPr>
          <w:ilvl w:val="0"/>
          <w:numId w:val="43"/>
        </w:numPr>
      </w:pPr>
      <w:r>
        <w:t>A</w:t>
      </w:r>
      <w:r w:rsidR="002C1509">
        <w:t>ssumption 2 is the UE transmits 17 dBm as target from all the antenna ports.</w:t>
      </w:r>
    </w:p>
    <w:p w14:paraId="33AE6CFC" w14:textId="18F59023" w:rsidR="006F656C" w:rsidRDefault="006F656C" w:rsidP="006F656C">
      <w:pPr>
        <w:jc w:val="center"/>
      </w:pPr>
      <w:r>
        <w:rPr>
          <w:noProof/>
        </w:rPr>
        <w:lastRenderedPageBreak/>
        <w:drawing>
          <wp:inline distT="0" distB="0" distL="0" distR="0" wp14:anchorId="1FA74138" wp14:editId="3ABD49AE">
            <wp:extent cx="4690862" cy="1648206"/>
            <wp:effectExtent l="19050" t="19050" r="14605" b="28575"/>
            <wp:docPr id="7" name="Picture 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applicati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698517" cy="1650896"/>
                    </a:xfrm>
                    <a:prstGeom prst="rect">
                      <a:avLst/>
                    </a:prstGeom>
                    <a:ln>
                      <a:solidFill>
                        <a:schemeClr val="accent1"/>
                      </a:solidFill>
                    </a:ln>
                  </pic:spPr>
                </pic:pic>
              </a:graphicData>
            </a:graphic>
          </wp:inline>
        </w:drawing>
      </w:r>
    </w:p>
    <w:p w14:paraId="68B6F105" w14:textId="0AB501C3" w:rsidR="00ED330B" w:rsidRPr="00ED330B" w:rsidRDefault="00ED330B" w:rsidP="00ED330B">
      <w:pPr>
        <w:jc w:val="center"/>
        <w:rPr>
          <w:rFonts w:ascii="Arial" w:hAnsi="Arial" w:cs="Arial"/>
        </w:rPr>
      </w:pPr>
      <w:r w:rsidRPr="00ED330B">
        <w:rPr>
          <w:rFonts w:ascii="Arial" w:hAnsi="Arial" w:cs="Arial"/>
        </w:rPr>
        <w:t xml:space="preserve">Figure 1: </w:t>
      </w:r>
      <w:r>
        <w:rPr>
          <w:rFonts w:ascii="Arial" w:hAnsi="Arial" w:cs="Arial"/>
        </w:rPr>
        <w:t>A question on a</w:t>
      </w:r>
      <w:r w:rsidRPr="00ED330B">
        <w:rPr>
          <w:rFonts w:ascii="Arial" w:hAnsi="Arial" w:cs="Arial"/>
        </w:rPr>
        <w:t>ssumed UE power imbalances across ports in a simulation result of [2]</w:t>
      </w:r>
    </w:p>
    <w:p w14:paraId="1B0C2359" w14:textId="4D493CE9" w:rsidR="002C1509" w:rsidRDefault="002C1509" w:rsidP="002C1509">
      <w:r>
        <w:rPr>
          <w:b/>
          <w:bCs/>
        </w:rPr>
        <w:t>Observation 3</w:t>
      </w:r>
      <w:r>
        <w:t xml:space="preserve">: With respect to a simulation result of [2], it is helpful to clarify </w:t>
      </w:r>
      <w:r w:rsidR="00ED330B">
        <w:t xml:space="preserve">if the same </w:t>
      </w:r>
      <w:r>
        <w:t xml:space="preserve">UE’s power </w:t>
      </w:r>
      <w:r w:rsidR="00ED330B">
        <w:t xml:space="preserve">imbalance across ports at cell edge is assumed even if </w:t>
      </w:r>
      <w:r>
        <w:t xml:space="preserve">the UE is close to </w:t>
      </w:r>
      <w:proofErr w:type="spellStart"/>
      <w:r>
        <w:t>gNB</w:t>
      </w:r>
      <w:proofErr w:type="spellEnd"/>
      <w:r>
        <w:t>.</w:t>
      </w:r>
    </w:p>
    <w:p w14:paraId="18755026" w14:textId="77777777" w:rsidR="006F656C" w:rsidRDefault="002C1509" w:rsidP="002C1509">
      <w:r>
        <w:rPr>
          <w:b/>
          <w:bCs/>
        </w:rPr>
        <w:t>Observation 4</w:t>
      </w:r>
      <w:r>
        <w:t>: In ca</w:t>
      </w:r>
      <w:r w:rsidR="006F656C">
        <w:t>se assumption 2 is the answer for a question in observation 3, it is also helpful if the assumption comes from a UE’s autonomous behaviour to transmit the same output power or network control.</w:t>
      </w:r>
    </w:p>
    <w:p w14:paraId="1496D1E5" w14:textId="77777777" w:rsidR="007B2FC0" w:rsidRDefault="006F656C" w:rsidP="00A31296">
      <w:r>
        <w:t xml:space="preserve">Finally, if </w:t>
      </w:r>
      <w:proofErr w:type="spellStart"/>
      <w:r w:rsidRPr="00F1348A">
        <w:t>ΔT</w:t>
      </w:r>
      <w:r w:rsidRPr="00F1348A">
        <w:rPr>
          <w:vertAlign w:val="subscript"/>
        </w:rPr>
        <w:t>RxSRS</w:t>
      </w:r>
      <w:proofErr w:type="spellEnd"/>
      <w:r w:rsidRPr="00F1348A">
        <w:t xml:space="preserve"> values </w:t>
      </w:r>
      <w:r>
        <w:t>are reported, the reported values shall be applied to configured transmitted power formula and the accuracy of the values shall be verified</w:t>
      </w:r>
      <w:r w:rsidR="007B2FC0">
        <w:t>.</w:t>
      </w:r>
    </w:p>
    <w:p w14:paraId="2443E17E" w14:textId="1444DAFF" w:rsidR="007B2FC0" w:rsidRDefault="0088500B" w:rsidP="00A31296">
      <w:r>
        <w:rPr>
          <w:b/>
          <w:bCs/>
        </w:rPr>
        <w:t>Proposal 3</w:t>
      </w:r>
      <w:r w:rsidR="007B2FC0">
        <w:t xml:space="preserve">: In case actual </w:t>
      </w:r>
      <w:proofErr w:type="spellStart"/>
      <w:r w:rsidR="007B2FC0" w:rsidRPr="00F1348A">
        <w:t>ΔT</w:t>
      </w:r>
      <w:r w:rsidR="007B2FC0" w:rsidRPr="00F1348A">
        <w:rPr>
          <w:vertAlign w:val="subscript"/>
        </w:rPr>
        <w:t>RxSRS</w:t>
      </w:r>
      <w:proofErr w:type="spellEnd"/>
      <w:r w:rsidR="007B2FC0" w:rsidRPr="00F1348A">
        <w:t xml:space="preserve"> values </w:t>
      </w:r>
      <w:r w:rsidR="007B2FC0">
        <w:t>are reported, the reported values shall be applied to configured transmitted power formula and the accuracy of the values shall be verified.</w:t>
      </w:r>
    </w:p>
    <w:p w14:paraId="2FC73AF3" w14:textId="63497AEC" w:rsidR="00D62C32" w:rsidRDefault="007B2FC0" w:rsidP="00D62C32">
      <w:pPr>
        <w:rPr>
          <w:b/>
          <w:bCs/>
          <w:u w:val="single"/>
        </w:rPr>
      </w:pPr>
      <w:r>
        <w:rPr>
          <w:b/>
          <w:bCs/>
          <w:u w:val="single"/>
        </w:rPr>
        <w:t>On an LS to RAN1</w:t>
      </w:r>
    </w:p>
    <w:p w14:paraId="3FAC6D9C" w14:textId="0562F089" w:rsidR="007B2FC0" w:rsidRDefault="007B2FC0" w:rsidP="007B2FC0">
      <w:r>
        <w:t>In our view, if we further discuss ho</w:t>
      </w:r>
      <w:r w:rsidR="000C3A3A">
        <w:t>w</w:t>
      </w:r>
      <w:r>
        <w:t xml:space="preserve"> to handle </w:t>
      </w:r>
      <w:proofErr w:type="spellStart"/>
      <w:r w:rsidRPr="00F1348A">
        <w:t>ΔT</w:t>
      </w:r>
      <w:r w:rsidRPr="00F1348A">
        <w:rPr>
          <w:vertAlign w:val="subscript"/>
        </w:rPr>
        <w:t>RxSRS</w:t>
      </w:r>
      <w:proofErr w:type="spellEnd"/>
      <w:r>
        <w:t>, RAN1 involvement is needed</w:t>
      </w:r>
      <w:r w:rsidR="005B6CAA">
        <w:t xml:space="preserve">. If we do so, however, </w:t>
      </w:r>
      <w:r>
        <w:t xml:space="preserve">the content of the LS </w:t>
      </w:r>
      <w:r w:rsidR="005B6CAA">
        <w:t>shoul</w:t>
      </w:r>
      <w:r w:rsidR="0088500B">
        <w:t xml:space="preserve">d make clear that </w:t>
      </w:r>
      <w:r w:rsidR="000C3A3A">
        <w:t>options being discussed in RAN4 open.</w:t>
      </w:r>
      <w:r w:rsidR="0088500B">
        <w:t xml:space="preserve"> </w:t>
      </w:r>
    </w:p>
    <w:p w14:paraId="14FD8D53" w14:textId="6FF4C51D" w:rsidR="007B2FC0" w:rsidRPr="00D62C32" w:rsidRDefault="0088500B" w:rsidP="00D62C32">
      <w:r>
        <w:rPr>
          <w:b/>
          <w:bCs/>
        </w:rPr>
        <w:t>Proposal 4</w:t>
      </w:r>
      <w:r w:rsidR="007B2FC0">
        <w:t xml:space="preserve">: </w:t>
      </w:r>
      <w:r>
        <w:t>If an LS is sent to RAN1, the content should make clear t</w:t>
      </w:r>
      <w:r w:rsidR="008C2C21">
        <w:t>hat</w:t>
      </w:r>
      <w:r>
        <w:t xml:space="preserve"> </w:t>
      </w:r>
      <w:r w:rsidR="000C3A3A">
        <w:t xml:space="preserve">the options being discussed in RAN4 are open and </w:t>
      </w:r>
      <w:r>
        <w:t>there is no agreement on resolution</w:t>
      </w:r>
      <w:r w:rsidR="000C3A3A">
        <w:t xml:space="preserve"> or priority</w:t>
      </w:r>
      <w:r>
        <w:t xml:space="preserve"> in RAN4</w:t>
      </w:r>
      <w:r w:rsidR="000C3A3A">
        <w:t xml:space="preserve"> at least at this stage</w:t>
      </w:r>
      <w:r>
        <w:t>.</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445C6C1A" w:rsidR="006F4C85" w:rsidRPr="006E13D1" w:rsidRDefault="006F4C85" w:rsidP="006F4C85">
      <w:r>
        <w:t>This document has made the following observations</w:t>
      </w:r>
      <w:r w:rsidR="00BA7722">
        <w:t xml:space="preserve"> and proposals</w:t>
      </w:r>
      <w:r>
        <w:t>:</w:t>
      </w:r>
    </w:p>
    <w:p w14:paraId="5393C0EC" w14:textId="77777777" w:rsidR="001315C1" w:rsidRDefault="001315C1" w:rsidP="001315C1">
      <w:pPr>
        <w:pStyle w:val="Heading2"/>
        <w:rPr>
          <w:lang w:val="en-US"/>
        </w:rPr>
      </w:pPr>
      <w:r w:rsidRPr="00471F44">
        <w:rPr>
          <w:lang w:val="en-US"/>
        </w:rPr>
        <w:t xml:space="preserve">Value of </w:t>
      </w:r>
      <w:proofErr w:type="spellStart"/>
      <w:r w:rsidRPr="00471F44">
        <w:rPr>
          <w:lang w:val="en-US"/>
        </w:rPr>
        <w:t>ΔT</w:t>
      </w:r>
      <w:r w:rsidRPr="00471F44">
        <w:rPr>
          <w:vertAlign w:val="subscript"/>
          <w:lang w:val="en-US"/>
        </w:rPr>
        <w:t>RxSRS</w:t>
      </w:r>
      <w:proofErr w:type="spellEnd"/>
      <w:r w:rsidRPr="00471F44">
        <w:rPr>
          <w:lang w:val="en-US"/>
        </w:rPr>
        <w:t xml:space="preserve"> for the main branch</w:t>
      </w:r>
    </w:p>
    <w:p w14:paraId="169E3F12" w14:textId="5A4FCA12" w:rsidR="001315C1" w:rsidRPr="001315C1" w:rsidRDefault="001315C1" w:rsidP="000C3A3A">
      <w:pPr>
        <w:rPr>
          <w:b/>
          <w:bCs/>
          <w:u w:val="single"/>
        </w:rPr>
      </w:pPr>
      <w:r w:rsidRPr="001315C1">
        <w:rPr>
          <w:b/>
          <w:bCs/>
          <w:u w:val="single"/>
          <w:lang w:val="en-US"/>
        </w:rPr>
        <w:t xml:space="preserve">Value of </w:t>
      </w:r>
      <w:proofErr w:type="spellStart"/>
      <w:r w:rsidRPr="001315C1">
        <w:rPr>
          <w:b/>
          <w:bCs/>
          <w:u w:val="single"/>
        </w:rPr>
        <w:t>ΔT</w:t>
      </w:r>
      <w:r w:rsidRPr="001315C1">
        <w:rPr>
          <w:b/>
          <w:bCs/>
          <w:u w:val="single"/>
          <w:vertAlign w:val="subscript"/>
        </w:rPr>
        <w:t>RxSRS</w:t>
      </w:r>
      <w:proofErr w:type="spellEnd"/>
      <w:r w:rsidRPr="001315C1">
        <w:rPr>
          <w:b/>
          <w:bCs/>
          <w:u w:val="single"/>
        </w:rPr>
        <w:t xml:space="preserve"> for the main branch</w:t>
      </w:r>
    </w:p>
    <w:p w14:paraId="72DA84C2" w14:textId="665CF134" w:rsidR="000C3A3A" w:rsidRDefault="000C3A3A" w:rsidP="000C3A3A">
      <w:r>
        <w:rPr>
          <w:b/>
          <w:bCs/>
        </w:rPr>
        <w:t xml:space="preserve">Proposal </w:t>
      </w:r>
      <w:r w:rsidRPr="00F1348A">
        <w:rPr>
          <w:b/>
          <w:bCs/>
        </w:rPr>
        <w:t>1</w:t>
      </w:r>
      <w:r>
        <w:t>: Maximum output power for the main Tx chain shall not be relaxed.</w:t>
      </w:r>
    </w:p>
    <w:p w14:paraId="66D264B1" w14:textId="77777777" w:rsidR="000C3A3A" w:rsidRDefault="000C3A3A" w:rsidP="000C3A3A">
      <w:r>
        <w:rPr>
          <w:b/>
          <w:bCs/>
        </w:rPr>
        <w:t>Observation 1</w:t>
      </w:r>
      <w:r>
        <w:t xml:space="preserve">: Type 3 PHR allows </w:t>
      </w:r>
      <w:r w:rsidRPr="00716501">
        <w:t xml:space="preserve">UE to report </w:t>
      </w:r>
      <w:proofErr w:type="spellStart"/>
      <w:proofErr w:type="gramStart"/>
      <w:r w:rsidRPr="00716501">
        <w:rPr>
          <w:lang w:eastAsia="ko-KR"/>
        </w:rPr>
        <w:t>P</w:t>
      </w:r>
      <w:r w:rsidRPr="00716501">
        <w:rPr>
          <w:vertAlign w:val="subscript"/>
          <w:lang w:eastAsia="ko-KR"/>
        </w:rPr>
        <w:t>CMAX,f</w:t>
      </w:r>
      <w:proofErr w:type="gramEnd"/>
      <w:r w:rsidRPr="00716501">
        <w:rPr>
          <w:vertAlign w:val="subscript"/>
          <w:lang w:eastAsia="ko-KR"/>
        </w:rPr>
        <w:t>,c</w:t>
      </w:r>
      <w:proofErr w:type="spellEnd"/>
      <w:r>
        <w:t>.</w:t>
      </w:r>
    </w:p>
    <w:p w14:paraId="7E117ED0" w14:textId="77777777" w:rsidR="000C3A3A" w:rsidRDefault="000C3A3A" w:rsidP="000C3A3A">
      <w:r>
        <w:rPr>
          <w:b/>
          <w:bCs/>
        </w:rPr>
        <w:t>Proposal 2</w:t>
      </w:r>
      <w:r>
        <w:t xml:space="preserve">: If SRS antenna switching enhancement is considered in terms of </w:t>
      </w:r>
      <w:proofErr w:type="spellStart"/>
      <w:r w:rsidRPr="00F1348A">
        <w:t>ΔT</w:t>
      </w:r>
      <w:r w:rsidRPr="00F1348A">
        <w:rPr>
          <w:vertAlign w:val="subscript"/>
        </w:rPr>
        <w:t>RxSRS</w:t>
      </w:r>
      <w:proofErr w:type="spellEnd"/>
      <w:r>
        <w:t xml:space="preserve">, utilization of type 3 PHR should be considered as one of the options, while it still requires further study on if the current specifications can work as a better alternative. </w:t>
      </w:r>
    </w:p>
    <w:p w14:paraId="003AE987" w14:textId="77777777" w:rsidR="000C3A3A" w:rsidRPr="001315C1" w:rsidRDefault="000C3A3A" w:rsidP="000C3A3A">
      <w:pPr>
        <w:rPr>
          <w:b/>
          <w:bCs/>
          <w:u w:val="single"/>
        </w:rPr>
      </w:pPr>
      <w:r w:rsidRPr="001315C1">
        <w:rPr>
          <w:b/>
          <w:bCs/>
          <w:u w:val="single"/>
        </w:rPr>
        <w:t xml:space="preserve">Report of </w:t>
      </w:r>
      <w:proofErr w:type="spellStart"/>
      <w:r w:rsidRPr="001315C1">
        <w:rPr>
          <w:b/>
          <w:bCs/>
          <w:u w:val="single"/>
        </w:rPr>
        <w:t>ΔT</w:t>
      </w:r>
      <w:r w:rsidRPr="001315C1">
        <w:rPr>
          <w:b/>
          <w:bCs/>
          <w:u w:val="single"/>
          <w:vertAlign w:val="subscript"/>
        </w:rPr>
        <w:t>RxSRS</w:t>
      </w:r>
      <w:proofErr w:type="spellEnd"/>
    </w:p>
    <w:p w14:paraId="5B9773AA" w14:textId="77777777" w:rsidR="000C3A3A" w:rsidRDefault="000C3A3A" w:rsidP="000C3A3A">
      <w:r w:rsidRPr="00F1348A">
        <w:rPr>
          <w:b/>
          <w:bCs/>
        </w:rPr>
        <w:t xml:space="preserve">Observation </w:t>
      </w:r>
      <w:r>
        <w:rPr>
          <w:b/>
          <w:bCs/>
        </w:rPr>
        <w:t>2</w:t>
      </w:r>
      <w:r>
        <w:t xml:space="preserve">: It would be likely that SRS antenna switch feature would be used when a UE relatively close to a </w:t>
      </w:r>
      <w:proofErr w:type="spellStart"/>
      <w:r>
        <w:t>gNB</w:t>
      </w:r>
      <w:proofErr w:type="spellEnd"/>
      <w:r>
        <w:t>, where required uplink power is not necessarily at maximum (though more reflection may bring higher power to some extent).</w:t>
      </w:r>
    </w:p>
    <w:p w14:paraId="38154DE4" w14:textId="77777777" w:rsidR="000C3A3A" w:rsidRDefault="000C3A3A" w:rsidP="000C3A3A">
      <w:r>
        <w:rPr>
          <w:b/>
          <w:bCs/>
        </w:rPr>
        <w:t>Observation 3</w:t>
      </w:r>
      <w:r>
        <w:t xml:space="preserve">: With respect to a simulation result of [2], it is helpful to clarify if the same UE’s power imbalance across ports at cell edge is assumed even if the UE is close to </w:t>
      </w:r>
      <w:proofErr w:type="spellStart"/>
      <w:r>
        <w:t>gNB</w:t>
      </w:r>
      <w:proofErr w:type="spellEnd"/>
      <w:r>
        <w:t>.</w:t>
      </w:r>
    </w:p>
    <w:p w14:paraId="2459E88A" w14:textId="251AE0CA" w:rsidR="000C3A3A" w:rsidRDefault="000C3A3A" w:rsidP="000C3A3A">
      <w:r>
        <w:rPr>
          <w:b/>
          <w:bCs/>
        </w:rPr>
        <w:t>Observation 4</w:t>
      </w:r>
      <w:r>
        <w:t>: In case assumption 2</w:t>
      </w:r>
      <w:r w:rsidR="001315C1">
        <w:t xml:space="preserve"> (i.e., no power differences across ports when UE is close to a </w:t>
      </w:r>
      <w:proofErr w:type="spellStart"/>
      <w:r w:rsidR="001315C1">
        <w:t>gNB</w:t>
      </w:r>
      <w:proofErr w:type="spellEnd"/>
      <w:r w:rsidR="001315C1">
        <w:t>)</w:t>
      </w:r>
      <w:r>
        <w:t xml:space="preserve"> is the answer for a question in observation 3, it is also helpful if the assumption comes from a UE’s autonomous behaviour to transmit the same output power or network control.</w:t>
      </w:r>
    </w:p>
    <w:p w14:paraId="70C851F7" w14:textId="77777777" w:rsidR="000C3A3A" w:rsidRDefault="000C3A3A" w:rsidP="000C3A3A">
      <w:r>
        <w:rPr>
          <w:b/>
          <w:bCs/>
        </w:rPr>
        <w:lastRenderedPageBreak/>
        <w:t>Proposal 3</w:t>
      </w:r>
      <w:r>
        <w:t xml:space="preserve">: In case actual </w:t>
      </w:r>
      <w:proofErr w:type="spellStart"/>
      <w:r w:rsidRPr="00F1348A">
        <w:t>ΔT</w:t>
      </w:r>
      <w:r w:rsidRPr="00F1348A">
        <w:rPr>
          <w:vertAlign w:val="subscript"/>
        </w:rPr>
        <w:t>RxSRS</w:t>
      </w:r>
      <w:proofErr w:type="spellEnd"/>
      <w:r w:rsidRPr="00F1348A">
        <w:t xml:space="preserve"> values </w:t>
      </w:r>
      <w:r>
        <w:t>are reported, the reported values shall be applied to configured transmitted power formula and the accuracy of the values shall be verified.</w:t>
      </w:r>
    </w:p>
    <w:p w14:paraId="4FFD6EC2" w14:textId="77777777" w:rsidR="000C3A3A" w:rsidRDefault="000C3A3A" w:rsidP="000C3A3A">
      <w:pPr>
        <w:rPr>
          <w:b/>
          <w:bCs/>
          <w:u w:val="single"/>
        </w:rPr>
      </w:pPr>
      <w:r>
        <w:rPr>
          <w:b/>
          <w:bCs/>
          <w:u w:val="single"/>
        </w:rPr>
        <w:t>On an LS to RAN1</w:t>
      </w:r>
    </w:p>
    <w:p w14:paraId="41EF17FB" w14:textId="2F8F6C71" w:rsidR="000C3A3A" w:rsidRDefault="000C3A3A" w:rsidP="000C3A3A">
      <w:r>
        <w:rPr>
          <w:b/>
          <w:bCs/>
        </w:rPr>
        <w:t>Proposal 4</w:t>
      </w:r>
      <w:r>
        <w:t>: If an LS is sent to RAN1, the content should make clear that the options being discussed in RAN4 are open and there is no agreement on resolution or priority in RAN4 at least at this stage.</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B98A72A" w14:textId="710328BA" w:rsidR="00EA2496" w:rsidRDefault="00683CDA" w:rsidP="00763887">
      <w:pPr>
        <w:pStyle w:val="ListParagraph"/>
        <w:numPr>
          <w:ilvl w:val="0"/>
          <w:numId w:val="2"/>
        </w:numPr>
        <w:overflowPunct/>
        <w:autoSpaceDE/>
        <w:autoSpaceDN/>
        <w:adjustRightInd/>
        <w:spacing w:after="160" w:line="259" w:lineRule="auto"/>
        <w:ind w:right="-22"/>
        <w:textAlignment w:val="auto"/>
      </w:pPr>
      <w:bookmarkStart w:id="0" w:name="_Hlk859252"/>
      <w:r w:rsidRPr="00683CDA">
        <w:t>R4-2220516</w:t>
      </w:r>
      <w:r w:rsidR="002200B5">
        <w:t xml:space="preserve">, </w:t>
      </w:r>
      <w:r w:rsidRPr="00683CDA">
        <w:t>WF on 8Rx RF requirements</w:t>
      </w:r>
      <w:r w:rsidR="002200B5">
        <w:t>,</w:t>
      </w:r>
      <w:r w:rsidR="002200B5" w:rsidRPr="00F06AEF">
        <w:t xml:space="preserve"> </w:t>
      </w:r>
      <w:r w:rsidRPr="00683CDA">
        <w:t>NTT DOCOMO, INC.</w:t>
      </w:r>
      <w:r w:rsidR="00372B91">
        <w:t xml:space="preserve">, </w:t>
      </w:r>
      <w:r w:rsidR="00372B91" w:rsidRPr="00EF24F2">
        <w:t>TSG-RAN WG4 #10</w:t>
      </w:r>
      <w:r w:rsidR="00471F44">
        <w:t>5</w:t>
      </w:r>
    </w:p>
    <w:p w14:paraId="1685586C" w14:textId="282CC663" w:rsidR="00394AD0" w:rsidRPr="0088500B" w:rsidRDefault="00471F44" w:rsidP="0088500B">
      <w:pPr>
        <w:pStyle w:val="ListParagraph"/>
        <w:numPr>
          <w:ilvl w:val="0"/>
          <w:numId w:val="2"/>
        </w:numPr>
        <w:tabs>
          <w:tab w:val="left" w:pos="1080"/>
        </w:tabs>
        <w:overflowPunct/>
        <w:autoSpaceDE/>
        <w:autoSpaceDN/>
        <w:adjustRightInd/>
        <w:spacing w:after="160" w:line="259" w:lineRule="auto"/>
        <w:ind w:right="-22"/>
        <w:textAlignment w:val="auto"/>
        <w:rPr>
          <w:lang w:val="en-US" w:eastAsia="x-none"/>
        </w:rPr>
      </w:pPr>
      <w:r w:rsidRPr="00471F44">
        <w:t>R4- 2219496</w:t>
      </w:r>
      <w:r w:rsidR="006A4A76">
        <w:rPr>
          <w:rFonts w:hint="eastAsia"/>
          <w:lang w:eastAsia="ja-JP"/>
        </w:rPr>
        <w:t>,</w:t>
      </w:r>
      <w:r w:rsidR="006A4A76">
        <w:rPr>
          <w:lang w:eastAsia="ja-JP"/>
        </w:rPr>
        <w:t xml:space="preserve"> </w:t>
      </w:r>
      <w:r w:rsidRPr="00471F44">
        <w:rPr>
          <w:lang w:eastAsia="ja-JP"/>
        </w:rPr>
        <w:t>On FR1 8Rx UE RF requirements</w:t>
      </w:r>
      <w:r w:rsidR="00EA2496">
        <w:rPr>
          <w:rFonts w:hint="eastAsia"/>
          <w:lang w:eastAsia="ja-JP"/>
        </w:rPr>
        <w:t>,</w:t>
      </w:r>
      <w:r w:rsidR="00EA2496">
        <w:rPr>
          <w:lang w:eastAsia="ja-JP"/>
        </w:rPr>
        <w:t xml:space="preserve"> </w:t>
      </w:r>
      <w:r w:rsidR="005B0276" w:rsidRPr="005B0276">
        <w:rPr>
          <w:lang w:eastAsia="ja-JP"/>
        </w:rPr>
        <w:t xml:space="preserve">Huawei, </w:t>
      </w:r>
      <w:proofErr w:type="spellStart"/>
      <w:r w:rsidR="005B0276" w:rsidRPr="005B0276">
        <w:rPr>
          <w:lang w:eastAsia="ja-JP"/>
        </w:rPr>
        <w:t>HiSilicon</w:t>
      </w:r>
      <w:proofErr w:type="spellEnd"/>
      <w:r w:rsidR="00EA2496">
        <w:rPr>
          <w:rFonts w:hint="eastAsia"/>
          <w:lang w:eastAsia="ja-JP"/>
        </w:rPr>
        <w:t>,</w:t>
      </w:r>
      <w:r w:rsidR="00EA2496">
        <w:rPr>
          <w:lang w:eastAsia="ja-JP"/>
        </w:rPr>
        <w:t xml:space="preserve"> </w:t>
      </w:r>
      <w:r w:rsidR="00EA2496" w:rsidRPr="00EF24F2">
        <w:t>TSG-RAN WG4 #</w:t>
      </w:r>
      <w:r w:rsidR="000161F7">
        <w:t>10</w:t>
      </w:r>
      <w:bookmarkEnd w:id="0"/>
      <w:r>
        <w:t>5</w:t>
      </w:r>
    </w:p>
    <w:sectPr w:rsidR="00394AD0" w:rsidRPr="0088500B"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5069" w14:textId="77777777" w:rsidR="003308B3" w:rsidRDefault="003308B3">
      <w:r>
        <w:separator/>
      </w:r>
    </w:p>
  </w:endnote>
  <w:endnote w:type="continuationSeparator" w:id="0">
    <w:p w14:paraId="6CC13C88" w14:textId="77777777" w:rsidR="003308B3" w:rsidRDefault="003308B3">
      <w:r>
        <w:continuationSeparator/>
      </w:r>
    </w:p>
  </w:endnote>
  <w:endnote w:type="continuationNotice" w:id="1">
    <w:p w14:paraId="3C49C470" w14:textId="77777777" w:rsidR="003308B3" w:rsidRDefault="00330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ì?¡ì??"/>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ì??"/>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CE90B" w14:textId="77777777" w:rsidR="003308B3" w:rsidRDefault="003308B3">
      <w:r>
        <w:separator/>
      </w:r>
    </w:p>
  </w:footnote>
  <w:footnote w:type="continuationSeparator" w:id="0">
    <w:p w14:paraId="63306269" w14:textId="77777777" w:rsidR="003308B3" w:rsidRDefault="003308B3">
      <w:r>
        <w:continuationSeparator/>
      </w:r>
    </w:p>
  </w:footnote>
  <w:footnote w:type="continuationNotice" w:id="1">
    <w:p w14:paraId="6B31BAE5" w14:textId="77777777" w:rsidR="003308B3" w:rsidRDefault="003308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7653CDB"/>
    <w:multiLevelType w:val="hybridMultilevel"/>
    <w:tmpl w:val="E960AA72"/>
    <w:lvl w:ilvl="0" w:tplc="82B85958">
      <w:start w:val="7"/>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9650F4"/>
    <w:multiLevelType w:val="hybridMultilevel"/>
    <w:tmpl w:val="BFCC7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826DA"/>
    <w:multiLevelType w:val="hybridMultilevel"/>
    <w:tmpl w:val="5476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75A6C"/>
    <w:multiLevelType w:val="hybridMultilevel"/>
    <w:tmpl w:val="9D2ADCAE"/>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6050480E">
      <w:start w:val="2"/>
      <w:numFmt w:val="bullet"/>
      <w:lvlText w:val="-"/>
      <w:lvlJc w:val="left"/>
      <w:pPr>
        <w:ind w:left="3600" w:hanging="360"/>
      </w:pPr>
      <w:rPr>
        <w:rFonts w:ascii="Times New Roman" w:eastAsia="MS Mincho" w:hAnsi="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DD1E71"/>
    <w:multiLevelType w:val="hybridMultilevel"/>
    <w:tmpl w:val="C1C64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F2114B"/>
    <w:multiLevelType w:val="hybridMultilevel"/>
    <w:tmpl w:val="9BAEF288"/>
    <w:lvl w:ilvl="0" w:tplc="FA9CDCBC">
      <w:start w:val="4"/>
      <w:numFmt w:val="bullet"/>
      <w:lvlText w:val="-"/>
      <w:lvlJc w:val="left"/>
      <w:pPr>
        <w:ind w:left="644" w:hanging="360"/>
      </w:pPr>
      <w:rPr>
        <w:rFonts w:ascii="Times New Roman" w:eastAsia="MS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FD652C0"/>
    <w:multiLevelType w:val="hybridMultilevel"/>
    <w:tmpl w:val="653AFF5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044654"/>
    <w:multiLevelType w:val="hybridMultilevel"/>
    <w:tmpl w:val="88A6EC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8D260C"/>
    <w:multiLevelType w:val="hybridMultilevel"/>
    <w:tmpl w:val="292269EA"/>
    <w:lvl w:ilvl="0" w:tplc="AE081D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31"/>
  </w:num>
  <w:num w:numId="3">
    <w:abstractNumId w:val="34"/>
  </w:num>
  <w:num w:numId="4">
    <w:abstractNumId w:val="39"/>
  </w:num>
  <w:num w:numId="5">
    <w:abstractNumId w:val="28"/>
  </w:num>
  <w:num w:numId="6">
    <w:abstractNumId w:val="9"/>
  </w:num>
  <w:num w:numId="7">
    <w:abstractNumId w:val="2"/>
  </w:num>
  <w:num w:numId="8">
    <w:abstractNumId w:val="33"/>
  </w:num>
  <w:num w:numId="9">
    <w:abstractNumId w:val="10"/>
  </w:num>
  <w:num w:numId="10">
    <w:abstractNumId w:val="24"/>
  </w:num>
  <w:num w:numId="11">
    <w:abstractNumId w:val="42"/>
  </w:num>
  <w:num w:numId="12">
    <w:abstractNumId w:val="8"/>
  </w:num>
  <w:num w:numId="13">
    <w:abstractNumId w:val="22"/>
  </w:num>
  <w:num w:numId="14">
    <w:abstractNumId w:val="4"/>
  </w:num>
  <w:num w:numId="15">
    <w:abstractNumId w:val="21"/>
  </w:num>
  <w:num w:numId="16">
    <w:abstractNumId w:val="40"/>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1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4"/>
  </w:num>
  <w:num w:numId="23">
    <w:abstractNumId w:val="26"/>
  </w:num>
  <w:num w:numId="24">
    <w:abstractNumId w:val="35"/>
  </w:num>
  <w:num w:numId="25">
    <w:abstractNumId w:val="37"/>
  </w:num>
  <w:num w:numId="26">
    <w:abstractNumId w:val="3"/>
  </w:num>
  <w:num w:numId="27">
    <w:abstractNumId w:val="23"/>
  </w:num>
  <w:num w:numId="28">
    <w:abstractNumId w:val="25"/>
  </w:num>
  <w:num w:numId="29">
    <w:abstractNumId w:val="32"/>
  </w:num>
  <w:num w:numId="30">
    <w:abstractNumId w:val="13"/>
  </w:num>
  <w:num w:numId="31">
    <w:abstractNumId w:val="41"/>
  </w:num>
  <w:num w:numId="32">
    <w:abstractNumId w:val="15"/>
  </w:num>
  <w:num w:numId="33">
    <w:abstractNumId w:val="7"/>
  </w:num>
  <w:num w:numId="34">
    <w:abstractNumId w:val="29"/>
  </w:num>
  <w:num w:numId="35">
    <w:abstractNumId w:val="1"/>
  </w:num>
  <w:num w:numId="36">
    <w:abstractNumId w:val="12"/>
  </w:num>
  <w:num w:numId="37">
    <w:abstractNumId w:val="27"/>
  </w:num>
  <w:num w:numId="38">
    <w:abstractNumId w:val="30"/>
  </w:num>
  <w:num w:numId="39">
    <w:abstractNumId w:val="38"/>
  </w:num>
  <w:num w:numId="40">
    <w:abstractNumId w:val="18"/>
  </w:num>
  <w:num w:numId="41">
    <w:abstractNumId w:val="20"/>
  </w:num>
  <w:num w:numId="42">
    <w:abstractNumId w:val="5"/>
  </w:num>
  <w:num w:numId="43">
    <w:abstractNumId w:val="11"/>
  </w:num>
  <w:num w:numId="44">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1F7"/>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0A39"/>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A3A"/>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5C1"/>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9B9"/>
    <w:rsid w:val="00144026"/>
    <w:rsid w:val="00144095"/>
    <w:rsid w:val="001442A7"/>
    <w:rsid w:val="001445CF"/>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906"/>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A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220"/>
    <w:rsid w:val="002C1343"/>
    <w:rsid w:val="002C1509"/>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0E08"/>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A4"/>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7C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50B"/>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28E5"/>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1F44"/>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276"/>
    <w:rsid w:val="005B047C"/>
    <w:rsid w:val="005B0567"/>
    <w:rsid w:val="005B1E32"/>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CAA"/>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99"/>
    <w:rsid w:val="006258FC"/>
    <w:rsid w:val="0062606D"/>
    <w:rsid w:val="006260B3"/>
    <w:rsid w:val="006261CB"/>
    <w:rsid w:val="0062624E"/>
    <w:rsid w:val="006266D7"/>
    <w:rsid w:val="006268EE"/>
    <w:rsid w:val="006273B4"/>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CDA"/>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56C"/>
    <w:rsid w:val="006F6730"/>
    <w:rsid w:val="006F67E4"/>
    <w:rsid w:val="006F6978"/>
    <w:rsid w:val="006F6AC9"/>
    <w:rsid w:val="006F6B45"/>
    <w:rsid w:val="006F6E6E"/>
    <w:rsid w:val="006F7BA6"/>
    <w:rsid w:val="00700483"/>
    <w:rsid w:val="0070056D"/>
    <w:rsid w:val="00700830"/>
    <w:rsid w:val="00700BAF"/>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65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95B"/>
    <w:rsid w:val="00760F1F"/>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596"/>
    <w:rsid w:val="00782606"/>
    <w:rsid w:val="00782785"/>
    <w:rsid w:val="00783033"/>
    <w:rsid w:val="0078309C"/>
    <w:rsid w:val="007839E0"/>
    <w:rsid w:val="0078443B"/>
    <w:rsid w:val="007846E1"/>
    <w:rsid w:val="007846F4"/>
    <w:rsid w:val="007850F8"/>
    <w:rsid w:val="00785429"/>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2FC0"/>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952"/>
    <w:rsid w:val="00884C9A"/>
    <w:rsid w:val="0088500B"/>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795"/>
    <w:rsid w:val="008A4C71"/>
    <w:rsid w:val="008A54B9"/>
    <w:rsid w:val="008A566E"/>
    <w:rsid w:val="008A6724"/>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9FE"/>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C21"/>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D00"/>
    <w:rsid w:val="008F2D80"/>
    <w:rsid w:val="008F2E34"/>
    <w:rsid w:val="008F2E41"/>
    <w:rsid w:val="008F30A5"/>
    <w:rsid w:val="008F33AA"/>
    <w:rsid w:val="008F38FD"/>
    <w:rsid w:val="008F42BF"/>
    <w:rsid w:val="008F455D"/>
    <w:rsid w:val="008F4D26"/>
    <w:rsid w:val="008F4EFB"/>
    <w:rsid w:val="008F52CF"/>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4A6B"/>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970"/>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296"/>
    <w:rsid w:val="00A31604"/>
    <w:rsid w:val="00A31AD3"/>
    <w:rsid w:val="00A321A2"/>
    <w:rsid w:val="00A32991"/>
    <w:rsid w:val="00A32BA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2C2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CAE"/>
    <w:rsid w:val="00AE0D65"/>
    <w:rsid w:val="00AE0EDD"/>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23F"/>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16C34"/>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ADE"/>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549"/>
    <w:rsid w:val="00CD0B68"/>
    <w:rsid w:val="00CD0C1B"/>
    <w:rsid w:val="00CD0EF0"/>
    <w:rsid w:val="00CD273A"/>
    <w:rsid w:val="00CD2AF4"/>
    <w:rsid w:val="00CD2CE8"/>
    <w:rsid w:val="00CD31FC"/>
    <w:rsid w:val="00CD3343"/>
    <w:rsid w:val="00CD353F"/>
    <w:rsid w:val="00CD36FA"/>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677A"/>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D08"/>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C32"/>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5DB8"/>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0B"/>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D0E"/>
    <w:rsid w:val="00F11D7F"/>
    <w:rsid w:val="00F12617"/>
    <w:rsid w:val="00F12D73"/>
    <w:rsid w:val="00F12E37"/>
    <w:rsid w:val="00F12FCC"/>
    <w:rsid w:val="00F1313D"/>
    <w:rsid w:val="00F1348A"/>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3B0"/>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768EB2-45AA-4983-9447-EF9A4020AB8C}">
  <ds:schemaRefs>
    <ds:schemaRef ds:uri="http://schemas.microsoft.com/office/infopath/2007/PartnerControls"/>
    <ds:schemaRef ds:uri="http://purl.org/dc/elements/1.1/"/>
    <ds:schemaRef ds:uri="http://schemas.openxmlformats.org/package/2006/metadata/core-properties"/>
    <ds:schemaRef ds:uri="http://www.w3.org/XML/1998/namespace"/>
    <ds:schemaRef ds:uri="f8b5121a-2fc9-4746-82cc-cfdb047d4cf0"/>
    <ds:schemaRef ds:uri="3b34c8f0-1ef5-4d1e-bb66-517ce7fe7356"/>
    <ds:schemaRef ds:uri="71c5aaf6-e6ce-465b-b873-5148d2a4c105"/>
    <ds:schemaRef ds:uri="http://schemas.microsoft.com/office/2006/documentManagement/types"/>
    <ds:schemaRef ds:uri="http://schemas.microsoft.com/office/2006/metadata/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1171</Words>
  <Characters>6677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Hiromasa Umeda (Nokia)</cp:lastModifiedBy>
  <cp:revision>2</cp:revision>
  <cp:lastPrinted>2017-09-11T16:45:00Z</cp:lastPrinted>
  <dcterms:created xsi:type="dcterms:W3CDTF">2023-02-16T10:36:00Z</dcterms:created>
  <dcterms:modified xsi:type="dcterms:W3CDTF">2023-02-16T10:36:00Z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