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ECAF88E"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73B7C">
        <w:rPr>
          <w:rFonts w:ascii="Arial" w:eastAsiaTheme="minorEastAsia" w:hAnsi="Arial" w:cs="Arial"/>
          <w:b/>
          <w:sz w:val="24"/>
          <w:szCs w:val="24"/>
          <w:lang w:eastAsia="zh-CN"/>
        </w:rPr>
        <w:t>R4-</w:t>
      </w:r>
      <w:r w:rsidR="003F3A2F" w:rsidRPr="00173B7C">
        <w:rPr>
          <w:rFonts w:ascii="Arial" w:eastAsiaTheme="minorEastAsia" w:hAnsi="Arial" w:cs="Arial"/>
          <w:b/>
          <w:sz w:val="24"/>
          <w:szCs w:val="24"/>
          <w:lang w:eastAsia="zh-CN"/>
        </w:rPr>
        <w:t>2</w:t>
      </w:r>
      <w:r w:rsidR="009B61B4" w:rsidRPr="00173B7C">
        <w:rPr>
          <w:rFonts w:ascii="Arial" w:eastAsiaTheme="minorEastAsia" w:hAnsi="Arial" w:cs="Arial"/>
          <w:b/>
          <w:sz w:val="24"/>
          <w:szCs w:val="24"/>
          <w:lang w:eastAsia="zh-CN"/>
        </w:rPr>
        <w:t>3</w:t>
      </w:r>
      <w:r w:rsidR="00EF3D17" w:rsidRPr="00173B7C">
        <w:rPr>
          <w:rFonts w:ascii="Arial" w:eastAsiaTheme="minorEastAsia" w:hAnsi="Arial" w:cs="Arial"/>
          <w:b/>
          <w:sz w:val="24"/>
          <w:szCs w:val="24"/>
          <w:lang w:eastAsia="zh-CN"/>
        </w:rPr>
        <w:t>0014</w:t>
      </w:r>
      <w:r w:rsidR="007F74CD">
        <w:rPr>
          <w:rFonts w:ascii="Arial" w:eastAsiaTheme="minorEastAsia" w:hAnsi="Arial" w:cs="Arial"/>
          <w:b/>
          <w:sz w:val="24"/>
          <w:szCs w:val="24"/>
          <w:lang w:eastAsia="zh-CN"/>
        </w:rPr>
        <w:t>7</w:t>
      </w:r>
    </w:p>
    <w:p w14:paraId="0E0F466F" w14:textId="528713D3" w:rsidR="00615EBB" w:rsidRDefault="009B61B4" w:rsidP="001E0A28">
      <w:pPr>
        <w:spacing w:after="120"/>
        <w:ind w:left="1985" w:hanging="1985"/>
        <w:rPr>
          <w:rFonts w:ascii="Arial" w:eastAsiaTheme="minorEastAsia" w:hAnsi="Arial" w:cs="Arial"/>
          <w:b/>
          <w:sz w:val="24"/>
          <w:szCs w:val="24"/>
          <w:lang w:eastAsia="zh-CN"/>
        </w:rPr>
      </w:pPr>
      <w:r w:rsidRPr="009B61B4">
        <w:rPr>
          <w:rFonts w:ascii="Arial" w:eastAsiaTheme="minorEastAsia" w:hAnsi="Arial" w:cs="Arial"/>
          <w:b/>
          <w:sz w:val="24"/>
          <w:szCs w:val="24"/>
          <w:lang w:eastAsia="zh-CN"/>
        </w:rPr>
        <w:t xml:space="preserve">Athens, Greece, 27 February –03 </w:t>
      </w:r>
      <w:proofErr w:type="gramStart"/>
      <w:r w:rsidRPr="009B61B4">
        <w:rPr>
          <w:rFonts w:ascii="Arial" w:eastAsiaTheme="minorEastAsia" w:hAnsi="Arial" w:cs="Arial"/>
          <w:b/>
          <w:sz w:val="24"/>
          <w:szCs w:val="24"/>
          <w:lang w:eastAsia="zh-CN"/>
        </w:rPr>
        <w:t>March,</w:t>
      </w:r>
      <w:proofErr w:type="gramEnd"/>
      <w:r w:rsidRPr="009B61B4">
        <w:rPr>
          <w:rFonts w:ascii="Arial" w:eastAsiaTheme="minorEastAsia" w:hAnsi="Arial" w:cs="Arial"/>
          <w:b/>
          <w:sz w:val="24"/>
          <w:szCs w:val="24"/>
          <w:lang w:eastAsia="zh-CN"/>
        </w:rPr>
        <w:t xml:space="preserve"> 2023</w:t>
      </w:r>
    </w:p>
    <w:p w14:paraId="2637FD31" w14:textId="77777777" w:rsidR="001E0A28" w:rsidRDefault="001E0A28" w:rsidP="001E0A28">
      <w:pPr>
        <w:spacing w:after="120"/>
        <w:ind w:left="1985" w:hanging="1985"/>
        <w:rPr>
          <w:rFonts w:ascii="Arial" w:eastAsia="MS Mincho" w:hAnsi="Arial" w:cs="Arial"/>
          <w:b/>
          <w:sz w:val="22"/>
        </w:rPr>
      </w:pPr>
    </w:p>
    <w:p w14:paraId="282755FA" w14:textId="7A19084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A4843">
        <w:rPr>
          <w:rFonts w:ascii="Arial" w:eastAsiaTheme="minorEastAsia" w:hAnsi="Arial" w:cs="Arial"/>
          <w:color w:val="000000"/>
          <w:sz w:val="22"/>
          <w:lang w:eastAsia="zh-CN"/>
        </w:rPr>
        <w:t>9.19.2.1</w:t>
      </w:r>
    </w:p>
    <w:p w14:paraId="50D5329D" w14:textId="5424B45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A4843" w:rsidRPr="004B3E82">
        <w:rPr>
          <w:rFonts w:ascii="Arial" w:hAnsi="Arial" w:cs="Arial"/>
          <w:color w:val="000000"/>
          <w:sz w:val="22"/>
          <w:lang w:eastAsia="zh-CN"/>
        </w:rPr>
        <w:t>CableLabs, Charter Communications</w:t>
      </w:r>
    </w:p>
    <w:p w14:paraId="1E0389E7" w14:textId="2508709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F3EC5" w:rsidRPr="00BF3EC5">
        <w:rPr>
          <w:rFonts w:ascii="Arial" w:eastAsiaTheme="minorEastAsia" w:hAnsi="Arial" w:cs="Arial"/>
          <w:color w:val="000000"/>
          <w:sz w:val="22"/>
          <w:lang w:eastAsia="zh-CN"/>
        </w:rPr>
        <w:t xml:space="preserve">Preliminary </w:t>
      </w:r>
      <w:r w:rsidR="008F014D">
        <w:rPr>
          <w:rFonts w:ascii="Arial" w:eastAsiaTheme="minorEastAsia" w:hAnsi="Arial" w:cs="Arial"/>
          <w:color w:val="000000"/>
          <w:sz w:val="22"/>
          <w:lang w:eastAsia="zh-CN"/>
        </w:rPr>
        <w:t>simulation results</w:t>
      </w:r>
      <w:r w:rsidR="00877448" w:rsidRPr="00877448">
        <w:rPr>
          <w:rFonts w:ascii="Arial" w:eastAsiaTheme="minorEastAsia" w:hAnsi="Arial" w:cs="Arial"/>
          <w:color w:val="000000"/>
          <w:sz w:val="22"/>
          <w:lang w:eastAsia="zh-CN"/>
        </w:rPr>
        <w:t xml:space="preserve"> for </w:t>
      </w:r>
      <w:r w:rsidR="00877448">
        <w:rPr>
          <w:rFonts w:ascii="Arial" w:eastAsiaTheme="minorEastAsia" w:hAnsi="Arial" w:cs="Arial"/>
          <w:color w:val="000000"/>
          <w:sz w:val="22"/>
          <w:lang w:eastAsia="zh-CN"/>
        </w:rPr>
        <w:t xml:space="preserve">SBFD adjacent channel coexistence study on </w:t>
      </w:r>
      <w:r w:rsidR="00BF3EC5">
        <w:rPr>
          <w:rFonts w:ascii="Arial" w:eastAsiaTheme="minorEastAsia" w:hAnsi="Arial" w:cs="Arial"/>
          <w:color w:val="000000"/>
          <w:sz w:val="22"/>
          <w:lang w:eastAsia="zh-CN"/>
        </w:rPr>
        <w:t xml:space="preserve">the </w:t>
      </w:r>
      <w:proofErr w:type="spellStart"/>
      <w:r w:rsidR="00BF3EC5">
        <w:rPr>
          <w:rFonts w:ascii="Arial" w:eastAsiaTheme="minorEastAsia" w:hAnsi="Arial" w:cs="Arial"/>
          <w:color w:val="000000"/>
          <w:sz w:val="22"/>
          <w:lang w:eastAsia="zh-CN"/>
        </w:rPr>
        <w:t>UMa</w:t>
      </w:r>
      <w:proofErr w:type="spellEnd"/>
      <w:r w:rsidR="00BF3EC5">
        <w:rPr>
          <w:rFonts w:ascii="Arial" w:eastAsiaTheme="minorEastAsia" w:hAnsi="Arial" w:cs="Arial"/>
          <w:color w:val="000000"/>
          <w:sz w:val="22"/>
          <w:lang w:eastAsia="zh-CN"/>
        </w:rPr>
        <w:t>-to-</w:t>
      </w:r>
      <w:proofErr w:type="spellStart"/>
      <w:r w:rsidR="00BF3EC5">
        <w:rPr>
          <w:rFonts w:ascii="Arial" w:eastAsiaTheme="minorEastAsia" w:hAnsi="Arial" w:cs="Arial"/>
          <w:color w:val="000000"/>
          <w:sz w:val="22"/>
          <w:lang w:eastAsia="zh-CN"/>
        </w:rPr>
        <w:t>UMa</w:t>
      </w:r>
      <w:proofErr w:type="spellEnd"/>
      <w:r w:rsidR="00877448">
        <w:rPr>
          <w:rFonts w:ascii="Arial" w:eastAsiaTheme="minorEastAsia" w:hAnsi="Arial" w:cs="Arial"/>
          <w:color w:val="000000"/>
          <w:sz w:val="22"/>
          <w:lang w:eastAsia="zh-CN"/>
        </w:rPr>
        <w:t xml:space="preserve"> scenario</w:t>
      </w:r>
      <w:r w:rsidR="00BF3EC5">
        <w:rPr>
          <w:rFonts w:ascii="Arial" w:eastAsiaTheme="minorEastAsia" w:hAnsi="Arial" w:cs="Arial"/>
          <w:color w:val="000000"/>
          <w:sz w:val="22"/>
          <w:lang w:eastAsia="zh-CN"/>
        </w:rPr>
        <w:t xml:space="preserve"> in FR1</w:t>
      </w:r>
      <w:r w:rsidR="008F014D">
        <w:rPr>
          <w:rFonts w:ascii="Arial" w:eastAsiaTheme="minorEastAsia" w:hAnsi="Arial" w:cs="Arial"/>
          <w:color w:val="000000"/>
          <w:sz w:val="22"/>
          <w:lang w:eastAsia="zh-CN"/>
        </w:rPr>
        <w:t>: a comparative analysis on grid offset that impacts the BS-to-BS ACI</w:t>
      </w:r>
    </w:p>
    <w:p w14:paraId="67B0962B" w14:textId="2AB5DFA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BA4843">
        <w:rPr>
          <w:rFonts w:ascii="Arial" w:eastAsiaTheme="minorEastAsia" w:hAnsi="Arial" w:cs="Arial"/>
          <w:color w:val="000000"/>
          <w:sz w:val="22"/>
          <w:lang w:eastAsia="zh-CN"/>
        </w:rPr>
        <w:t>Approval</w:t>
      </w:r>
    </w:p>
    <w:p w14:paraId="4A0AE149" w14:textId="4268E307" w:rsidR="005D7AF8" w:rsidRDefault="00915D73" w:rsidP="00EF3D17">
      <w:pPr>
        <w:pStyle w:val="Heading1"/>
        <w:rPr>
          <w:rFonts w:eastAsiaTheme="minorEastAsia"/>
          <w:lang w:eastAsia="zh-CN"/>
        </w:rPr>
      </w:pPr>
      <w:r w:rsidRPr="005D7AF8">
        <w:rPr>
          <w:rFonts w:hint="eastAsia"/>
          <w:lang w:eastAsia="ja-JP"/>
        </w:rPr>
        <w:t>Introduction</w:t>
      </w:r>
    </w:p>
    <w:p w14:paraId="48EAFA78" w14:textId="4C1A779B" w:rsidR="00877448" w:rsidRDefault="00877448" w:rsidP="00642BC6">
      <w:pPr>
        <w:rPr>
          <w:iCs/>
          <w:lang w:val="sv-SE" w:eastAsia="zh-CN"/>
        </w:rPr>
      </w:pPr>
      <w:r w:rsidRPr="0034137D">
        <w:rPr>
          <w:iCs/>
          <w:lang w:val="sv-SE" w:eastAsia="zh-CN"/>
        </w:rPr>
        <w:t>The sub-band full duplex</w:t>
      </w:r>
      <w:r w:rsidR="00173B7C">
        <w:rPr>
          <w:iCs/>
          <w:lang w:val="sv-SE" w:eastAsia="zh-CN"/>
        </w:rPr>
        <w:t xml:space="preserve"> (SBFD)</w:t>
      </w:r>
      <w:r w:rsidRPr="0034137D">
        <w:rPr>
          <w:iCs/>
          <w:lang w:val="sv-SE" w:eastAsia="zh-CN"/>
        </w:rPr>
        <w:t xml:space="preserve"> is introduced in Rel-18. The adjacent channel coexistence study is underway in RAN4 to </w:t>
      </w:r>
      <w:r w:rsidR="00173B7C">
        <w:rPr>
          <w:iCs/>
          <w:lang w:val="sv-SE" w:eastAsia="zh-CN"/>
        </w:rPr>
        <w:t>evaluate</w:t>
      </w:r>
      <w:r w:rsidRPr="0034137D">
        <w:rPr>
          <w:iCs/>
          <w:lang w:val="sv-SE" w:eastAsia="zh-CN"/>
        </w:rPr>
        <w:t xml:space="preserve"> the </w:t>
      </w:r>
      <w:r w:rsidR="00173B7C">
        <w:rPr>
          <w:iCs/>
          <w:lang w:val="sv-SE" w:eastAsia="zh-CN"/>
        </w:rPr>
        <w:t>uncoordinated</w:t>
      </w:r>
      <w:r w:rsidRPr="0034137D">
        <w:rPr>
          <w:iCs/>
          <w:lang w:val="sv-SE" w:eastAsia="zh-CN"/>
        </w:rPr>
        <w:t xml:space="preserve"> SBFD</w:t>
      </w:r>
      <w:r w:rsidR="00173B7C">
        <w:rPr>
          <w:iCs/>
          <w:lang w:val="sv-SE" w:eastAsia="zh-CN"/>
        </w:rPr>
        <w:t xml:space="preserve"> and </w:t>
      </w:r>
      <w:r w:rsidRPr="0034137D">
        <w:rPr>
          <w:iCs/>
          <w:lang w:val="sv-SE" w:eastAsia="zh-CN"/>
        </w:rPr>
        <w:t xml:space="preserve">legacy TDD </w:t>
      </w:r>
      <w:r w:rsidR="00173B7C">
        <w:rPr>
          <w:iCs/>
          <w:lang w:val="sv-SE" w:eastAsia="zh-CN"/>
        </w:rPr>
        <w:t xml:space="preserve">networks </w:t>
      </w:r>
      <w:r w:rsidRPr="0034137D">
        <w:rPr>
          <w:iCs/>
          <w:lang w:val="sv-SE" w:eastAsia="zh-CN"/>
        </w:rPr>
        <w:t xml:space="preserve">[1]. </w:t>
      </w:r>
      <w:r w:rsidR="008F014D">
        <w:rPr>
          <w:iCs/>
          <w:lang w:val="sv-SE" w:eastAsia="zh-CN"/>
        </w:rPr>
        <w:t xml:space="preserve">In this contribution, we conduct a comparative analysis on grid offset of 100% (289 m), 100 m, and 10 m. The results </w:t>
      </w:r>
      <w:r w:rsidR="006E4BEA">
        <w:rPr>
          <w:iCs/>
          <w:lang w:val="sv-SE" w:eastAsia="zh-CN"/>
        </w:rPr>
        <w:t>reveal that</w:t>
      </w:r>
      <w:r w:rsidR="008F014D">
        <w:rPr>
          <w:iCs/>
          <w:lang w:val="sv-SE" w:eastAsia="zh-CN"/>
        </w:rPr>
        <w:t xml:space="preserve"> the BS-to-BS adjacent channel interference (ACI) introduced by SBFD significantly degrades victim network performance.</w:t>
      </w:r>
    </w:p>
    <w:p w14:paraId="40565F5D" w14:textId="5BA02632" w:rsidR="006E4BEA" w:rsidRPr="0034137D" w:rsidRDefault="006E4BEA" w:rsidP="00642BC6">
      <w:pPr>
        <w:rPr>
          <w:iCs/>
          <w:lang w:val="sv-SE" w:eastAsia="zh-CN"/>
        </w:rPr>
      </w:pPr>
      <w:r>
        <w:rPr>
          <w:iCs/>
          <w:lang w:val="sv-SE" w:eastAsia="zh-CN"/>
        </w:rPr>
        <w:t>Charter Communications expressed concern about such a BS-to-BS ACI introduced by SBFD between band n77 and n48 [2], which falls into an urban macro to urban micro (UMa-to-UMi) scenario. Further simulation assumptions for the UMa-to-UMi scenario are proposed in [3].</w:t>
      </w:r>
    </w:p>
    <w:p w14:paraId="609286E5" w14:textId="78965EEB" w:rsidR="00E80B52" w:rsidRPr="00805BE8" w:rsidRDefault="008F014D" w:rsidP="00805BE8">
      <w:pPr>
        <w:pStyle w:val="Heading1"/>
        <w:rPr>
          <w:lang w:eastAsia="ja-JP"/>
        </w:rPr>
      </w:pPr>
      <w:r>
        <w:rPr>
          <w:lang w:eastAsia="ja-JP"/>
        </w:rPr>
        <w:t>S</w:t>
      </w:r>
      <w:r w:rsidR="0034137D">
        <w:rPr>
          <w:lang w:eastAsia="ja-JP"/>
        </w:rPr>
        <w:t xml:space="preserve">imulation </w:t>
      </w:r>
      <w:r>
        <w:rPr>
          <w:lang w:eastAsia="ja-JP"/>
        </w:rPr>
        <w:t>description and comparative analysis</w:t>
      </w:r>
    </w:p>
    <w:p w14:paraId="08B6D0EC" w14:textId="5721B7A6" w:rsidR="00173B7C" w:rsidRDefault="008450BE" w:rsidP="00BF3EC5">
      <w:pPr>
        <w:pStyle w:val="BodyText"/>
        <w:rPr>
          <w:lang w:eastAsia="ko-KR"/>
        </w:rPr>
      </w:pPr>
      <w:r w:rsidRPr="008450BE">
        <w:rPr>
          <w:lang w:eastAsia="ko-KR"/>
        </w:rPr>
        <w:t>The SBFD coexistence simulation follow</w:t>
      </w:r>
      <w:r>
        <w:rPr>
          <w:lang w:eastAsia="ko-KR"/>
        </w:rPr>
        <w:t>s</w:t>
      </w:r>
      <w:r w:rsidRPr="008450BE">
        <w:rPr>
          <w:lang w:eastAsia="ko-KR"/>
        </w:rPr>
        <w:t xml:space="preserve"> the method</w:t>
      </w:r>
      <w:r w:rsidR="006E4BEA">
        <w:rPr>
          <w:lang w:eastAsia="ko-KR"/>
        </w:rPr>
        <w:t>s</w:t>
      </w:r>
      <w:r w:rsidRPr="008450BE">
        <w:rPr>
          <w:lang w:eastAsia="ko-KR"/>
        </w:rPr>
        <w:t xml:space="preserve"> and assumptions defined in [1]</w:t>
      </w:r>
      <w:r>
        <w:rPr>
          <w:lang w:eastAsia="ko-KR"/>
        </w:rPr>
        <w:t xml:space="preserve"> for the </w:t>
      </w:r>
      <w:proofErr w:type="spellStart"/>
      <w:r>
        <w:rPr>
          <w:lang w:eastAsia="ko-KR"/>
        </w:rPr>
        <w:t>UMa</w:t>
      </w:r>
      <w:proofErr w:type="spellEnd"/>
      <w:r>
        <w:rPr>
          <w:lang w:eastAsia="ko-KR"/>
        </w:rPr>
        <w:t>-to-</w:t>
      </w:r>
      <w:proofErr w:type="spellStart"/>
      <w:r>
        <w:rPr>
          <w:lang w:eastAsia="ko-KR"/>
        </w:rPr>
        <w:t>UMa</w:t>
      </w:r>
      <w:proofErr w:type="spellEnd"/>
      <w:r>
        <w:rPr>
          <w:lang w:eastAsia="ko-KR"/>
        </w:rPr>
        <w:t xml:space="preserve"> scenario in FR1</w:t>
      </w:r>
      <w:r w:rsidRPr="008450BE">
        <w:rPr>
          <w:lang w:eastAsia="ko-KR"/>
        </w:rPr>
        <w:t xml:space="preserve">. </w:t>
      </w:r>
      <w:r>
        <w:rPr>
          <w:lang w:eastAsia="ko-KR"/>
        </w:rPr>
        <w:t xml:space="preserve">The network layout for both victim and aggressor networks is shown in Figure 1(a), where black </w:t>
      </w:r>
      <w:proofErr w:type="spellStart"/>
      <w:r>
        <w:rPr>
          <w:lang w:eastAsia="ko-KR"/>
        </w:rPr>
        <w:t>color</w:t>
      </w:r>
      <w:proofErr w:type="spellEnd"/>
      <w:r>
        <w:rPr>
          <w:lang w:eastAsia="ko-KR"/>
        </w:rPr>
        <w:t xml:space="preserve"> symbols and lines indicate the victim legacy TDD network,</w:t>
      </w:r>
      <w:r w:rsidR="00AC3C3E" w:rsidRPr="008450BE">
        <w:rPr>
          <w:lang w:eastAsia="ko-KR"/>
        </w:rPr>
        <w:t xml:space="preserve"> </w:t>
      </w:r>
      <w:r>
        <w:rPr>
          <w:lang w:eastAsia="ko-KR"/>
        </w:rPr>
        <w:t xml:space="preserve">and the red </w:t>
      </w:r>
      <w:proofErr w:type="spellStart"/>
      <w:r>
        <w:rPr>
          <w:lang w:eastAsia="ko-KR"/>
        </w:rPr>
        <w:t>color</w:t>
      </w:r>
      <w:proofErr w:type="spellEnd"/>
      <w:r>
        <w:rPr>
          <w:lang w:eastAsia="ko-KR"/>
        </w:rPr>
        <w:t xml:space="preserve"> symbols and lines represent the aggressor network in the adjacent channel that </w:t>
      </w:r>
      <w:r w:rsidR="006E4BEA">
        <w:rPr>
          <w:lang w:eastAsia="ko-KR"/>
        </w:rPr>
        <w:t>employs</w:t>
      </w:r>
      <w:r>
        <w:rPr>
          <w:lang w:eastAsia="ko-KR"/>
        </w:rPr>
        <w:t xml:space="preserve"> either legacy TDD or SBFD. The inter-site distance</w:t>
      </w:r>
      <w:r w:rsidR="006E4BEA">
        <w:rPr>
          <w:lang w:eastAsia="ko-KR"/>
        </w:rPr>
        <w:t xml:space="preserve"> (ISD)</w:t>
      </w:r>
      <w:r>
        <w:rPr>
          <w:lang w:eastAsia="ko-KR"/>
        </w:rPr>
        <w:t xml:space="preserve"> is 500 m. The channel bandwidth is 100 MHz at 4 GHz and the downlink (DL) bandwidth part (BWP) is 80 MHz and the uplink (UL) BWP is 20 MHz. The BS height is 25 m and the UE height is 1.5 m. The </w:t>
      </w:r>
      <w:r w:rsidR="002B11F6">
        <w:rPr>
          <w:lang w:eastAsia="ko-KR"/>
        </w:rPr>
        <w:t xml:space="preserve">legacy TDD </w:t>
      </w:r>
      <w:r>
        <w:rPr>
          <w:lang w:eastAsia="ko-KR"/>
        </w:rPr>
        <w:t xml:space="preserve">BS employs an 8×8 antenna array with a max gain of 23.1 dBi and a 6° down-tilt. </w:t>
      </w:r>
      <w:r w:rsidR="002B11F6">
        <w:rPr>
          <w:lang w:eastAsia="ko-KR"/>
        </w:rPr>
        <w:t xml:space="preserve">The SBFD BS uses a 4×8 antenna array with a max gain of 20.1 dBi. </w:t>
      </w:r>
      <w:r>
        <w:rPr>
          <w:lang w:eastAsia="ko-KR"/>
        </w:rPr>
        <w:t xml:space="preserve">The BS antenna beam tracks the UE. The UE antenna is omnidirectional with 0 dBi gain. Each BS site has three sectors. One UE </w:t>
      </w:r>
      <w:r w:rsidR="002B11F6">
        <w:rPr>
          <w:lang w:eastAsia="ko-KR"/>
        </w:rPr>
        <w:t xml:space="preserve">located </w:t>
      </w:r>
      <w:r>
        <w:rPr>
          <w:lang w:eastAsia="ko-KR"/>
        </w:rPr>
        <w:t xml:space="preserve">is </w:t>
      </w:r>
      <w:r w:rsidR="002B11F6">
        <w:rPr>
          <w:lang w:eastAsia="ko-KR"/>
        </w:rPr>
        <w:t xml:space="preserve">randomly </w:t>
      </w:r>
      <w:r>
        <w:rPr>
          <w:lang w:eastAsia="ko-KR"/>
        </w:rPr>
        <w:t>assigned to each sector in an iteration</w:t>
      </w:r>
      <w:r w:rsidR="002B11F6">
        <w:rPr>
          <w:lang w:eastAsia="ko-KR"/>
        </w:rPr>
        <w:t xml:space="preserve"> following a uniform distribution</w:t>
      </w:r>
      <w:r>
        <w:rPr>
          <w:lang w:eastAsia="ko-KR"/>
        </w:rPr>
        <w:t xml:space="preserve">. The Monte Carlo simulation runs ten thousand </w:t>
      </w:r>
      <w:r w:rsidR="002B11F6">
        <w:rPr>
          <w:lang w:eastAsia="ko-KR"/>
        </w:rPr>
        <w:t>iterations</w:t>
      </w:r>
      <w:r>
        <w:rPr>
          <w:lang w:eastAsia="ko-KR"/>
        </w:rPr>
        <w:t xml:space="preserve"> to generate the cumulative distribution function (CDF) curves. </w:t>
      </w:r>
      <w:r w:rsidR="00D411B6">
        <w:rPr>
          <w:lang w:eastAsia="ko-KR"/>
        </w:rPr>
        <w:t>More details about the assumptions are provided in [1].</w:t>
      </w:r>
    </w:p>
    <w:p w14:paraId="7CB82117" w14:textId="37057138" w:rsidR="00D411B6" w:rsidRDefault="00D411B6" w:rsidP="00BF3EC5">
      <w:pPr>
        <w:pStyle w:val="BodyText"/>
        <w:rPr>
          <w:lang w:eastAsia="ko-KR"/>
        </w:rPr>
      </w:pPr>
      <w:r>
        <w:rPr>
          <w:lang w:eastAsia="ko-KR"/>
        </w:rPr>
        <w:t xml:space="preserve">The co-channel interference inside the victim network in </w:t>
      </w:r>
      <w:r w:rsidR="002B11F6">
        <w:rPr>
          <w:lang w:eastAsia="ko-KR"/>
        </w:rPr>
        <w:t xml:space="preserve">the </w:t>
      </w:r>
      <w:r>
        <w:rPr>
          <w:lang w:eastAsia="ko-KR"/>
        </w:rPr>
        <w:t xml:space="preserve">UL only includes the UE-to-BS interference: </w:t>
      </w:r>
      <w:proofErr w:type="spellStart"/>
      <w:r>
        <w:rPr>
          <w:lang w:eastAsia="ko-KR"/>
        </w:rPr>
        <w:t>neighbor</w:t>
      </w:r>
      <w:proofErr w:type="spellEnd"/>
      <w:r>
        <w:rPr>
          <w:lang w:eastAsia="ko-KR"/>
        </w:rPr>
        <w:t xml:space="preserve"> cells UE transmitted signals in the UL interfere with serving cell BS received signals in the UL. Two networks from different operators are assumed to coordinate their TDD configurations so that there’s no BS-to-BS or UE-to-UE</w:t>
      </w:r>
      <w:r w:rsidR="000C7C17">
        <w:rPr>
          <w:lang w:eastAsia="ko-KR"/>
        </w:rPr>
        <w:t xml:space="preserve"> ACI</w:t>
      </w:r>
      <w:r>
        <w:rPr>
          <w:lang w:eastAsia="ko-KR"/>
        </w:rPr>
        <w:t>. The signal-to-noise ratio (SNR) and signal-to-interference plus noise ratio (SINR) is presented in Figure 1(b). The baseline SINR (red dashed line) is based on the aggregated co-channel interference and ACI assuming the adjacent channel network uses legacy TDD with coordinated TDD configuration, again, only with UE-to-BS interference</w:t>
      </w:r>
      <w:r w:rsidR="002B11F6">
        <w:rPr>
          <w:lang w:eastAsia="ko-KR"/>
        </w:rPr>
        <w:t xml:space="preserve"> in the UL</w:t>
      </w:r>
      <w:r>
        <w:rPr>
          <w:lang w:eastAsia="ko-KR"/>
        </w:rPr>
        <w:t>.</w:t>
      </w:r>
    </w:p>
    <w:p w14:paraId="5FD37C61" w14:textId="444DECC1" w:rsidR="00D411B6" w:rsidRDefault="00D411B6" w:rsidP="00BF3EC5">
      <w:pPr>
        <w:pStyle w:val="BodyText"/>
        <w:rPr>
          <w:lang w:eastAsia="ko-KR"/>
        </w:rPr>
      </w:pPr>
      <w:r>
        <w:rPr>
          <w:lang w:eastAsia="ko-KR"/>
        </w:rPr>
        <w:t>When the adjacent channel network uses SBFD, TDD configuration coordination is impossible</w:t>
      </w:r>
      <w:r w:rsidR="000C7C17">
        <w:rPr>
          <w:lang w:eastAsia="ko-KR"/>
        </w:rPr>
        <w:t xml:space="preserve">. So the BS-to-BS interference is introduced in the UL and UE-to-UE interference is introduced in the DL. In this paper, we focus on the BS-to-BS interference in the UL. The SBFD ACI (pink dash-dotted line in Figure 1(b)) is only slightly smaller than the SNR (green dashed line), this is likely due to the 100% grid offset </w:t>
      </w:r>
      <w:r w:rsidR="002B11F6">
        <w:rPr>
          <w:lang w:eastAsia="ko-KR"/>
        </w:rPr>
        <w:t>minimizes</w:t>
      </w:r>
      <w:r w:rsidR="000C7C17">
        <w:rPr>
          <w:lang w:eastAsia="ko-KR"/>
        </w:rPr>
        <w:t xml:space="preserve"> the BS-to-BS ACI.</w:t>
      </w:r>
      <w:r w:rsidR="000C7C17" w:rsidRPr="000C7C17">
        <w:rPr>
          <w:lang w:eastAsia="ko-KR"/>
        </w:rPr>
        <w:t xml:space="preserve"> </w:t>
      </w:r>
      <w:r w:rsidR="000C7C17">
        <w:rPr>
          <w:lang w:eastAsia="ko-KR"/>
        </w:rPr>
        <w:t>The black dotted line represents the aggregated interference including UE-to-BS co-channel interference, UE-to-BS ACI and BS-to-BS ACI.</w:t>
      </w:r>
      <w:r w:rsidR="000268B2">
        <w:rPr>
          <w:lang w:eastAsia="ko-KR"/>
        </w:rPr>
        <w:t xml:space="preserve"> This aggregated interference (black dotted line) is compared with the baseline SINR (red dashed line) to evaluate the impact from an SBFD adjacent channel network to a legacy TDD network.</w:t>
      </w:r>
      <w:r w:rsidR="000C7C17">
        <w:rPr>
          <w:lang w:eastAsia="ko-KR"/>
        </w:rPr>
        <w:t xml:space="preserve"> The co-channel UE-to-BS interference (light-blue solid line) dominates the aggregated interference.</w:t>
      </w:r>
    </w:p>
    <w:p w14:paraId="69AA05C4" w14:textId="7F5FF2A3" w:rsidR="000C7C17" w:rsidRPr="000268B2" w:rsidRDefault="000C7C17" w:rsidP="00BF3EC5">
      <w:pPr>
        <w:pStyle w:val="BodyText"/>
        <w:rPr>
          <w:b/>
          <w:bCs/>
          <w:lang w:eastAsia="zh-CN"/>
        </w:rPr>
      </w:pPr>
      <w:r w:rsidRPr="000268B2">
        <w:rPr>
          <w:b/>
          <w:bCs/>
          <w:lang w:eastAsia="ko-KR"/>
        </w:rPr>
        <w:t xml:space="preserve">Observation 1: The BS-to-BS ACI </w:t>
      </w:r>
      <w:r w:rsidR="002B11F6">
        <w:rPr>
          <w:b/>
          <w:bCs/>
          <w:lang w:eastAsia="ko-KR"/>
        </w:rPr>
        <w:t xml:space="preserve">introduced by SBFD </w:t>
      </w:r>
      <w:r w:rsidRPr="000268B2">
        <w:rPr>
          <w:b/>
          <w:bCs/>
          <w:lang w:eastAsia="ko-KR"/>
        </w:rPr>
        <w:t>only slightly degrades the victim legacy TDD network UL SINR</w:t>
      </w:r>
      <w:r w:rsidR="000268B2" w:rsidRPr="000268B2">
        <w:rPr>
          <w:b/>
          <w:bCs/>
          <w:lang w:eastAsia="ko-KR"/>
        </w:rPr>
        <w:t xml:space="preserve"> w</w:t>
      </w:r>
      <w:r w:rsidR="002B11F6">
        <w:rPr>
          <w:b/>
          <w:bCs/>
          <w:lang w:eastAsia="ko-KR"/>
        </w:rPr>
        <w:t>hen using</w:t>
      </w:r>
      <w:r w:rsidR="000268B2" w:rsidRPr="000268B2">
        <w:rPr>
          <w:b/>
          <w:bCs/>
          <w:lang w:eastAsia="ko-KR"/>
        </w:rPr>
        <w:t xml:space="preserve"> 100% grid offset. This is likely due to </w:t>
      </w:r>
      <w:r w:rsidR="000268B2">
        <w:rPr>
          <w:b/>
          <w:bCs/>
          <w:lang w:eastAsia="ko-KR"/>
        </w:rPr>
        <w:t xml:space="preserve">that </w:t>
      </w:r>
      <w:r w:rsidR="000268B2" w:rsidRPr="000268B2">
        <w:rPr>
          <w:b/>
          <w:bCs/>
          <w:lang w:eastAsia="ko-KR"/>
        </w:rPr>
        <w:t>the 100% grid offset</w:t>
      </w:r>
      <w:r w:rsidR="000268B2">
        <w:rPr>
          <w:b/>
          <w:bCs/>
          <w:lang w:eastAsia="ko-KR"/>
        </w:rPr>
        <w:t xml:space="preserve"> (289 m)</w:t>
      </w:r>
      <w:r w:rsidR="000268B2" w:rsidRPr="000268B2">
        <w:rPr>
          <w:b/>
          <w:bCs/>
          <w:lang w:eastAsia="ko-KR"/>
        </w:rPr>
        <w:t xml:space="preserve"> </w:t>
      </w:r>
      <w:r w:rsidR="002B11F6">
        <w:rPr>
          <w:b/>
          <w:bCs/>
          <w:lang w:eastAsia="ko-KR"/>
        </w:rPr>
        <w:t>minimizes</w:t>
      </w:r>
      <w:r w:rsidR="000268B2" w:rsidRPr="000268B2">
        <w:rPr>
          <w:b/>
          <w:bCs/>
          <w:lang w:eastAsia="ko-KR"/>
        </w:rPr>
        <w:t xml:space="preserve"> the BS-to-BS ACI.</w:t>
      </w:r>
    </w:p>
    <w:p w14:paraId="62707EF9" w14:textId="1251B98A" w:rsidR="00173B7C" w:rsidRDefault="00BF3EC5" w:rsidP="00173B7C">
      <w:pPr>
        <w:jc w:val="center"/>
        <w:rPr>
          <w:lang w:eastAsia="zh-CN"/>
        </w:rPr>
      </w:pPr>
      <w:r w:rsidRPr="00BF3EC5">
        <w:rPr>
          <w:noProof/>
          <w:lang w:eastAsia="zh-CN"/>
        </w:rPr>
        <w:lastRenderedPageBreak/>
        <w:drawing>
          <wp:inline distT="0" distB="0" distL="0" distR="0" wp14:anchorId="4FA1C24F" wp14:editId="1B5069A0">
            <wp:extent cx="3017520" cy="2263140"/>
            <wp:effectExtent l="0" t="0" r="0" b="3810"/>
            <wp:docPr id="33" name="Picture 32">
              <a:extLst xmlns:a="http://schemas.openxmlformats.org/drawingml/2006/main">
                <a:ext uri="{FF2B5EF4-FFF2-40B4-BE49-F238E27FC236}">
                  <a16:creationId xmlns:a16="http://schemas.microsoft.com/office/drawing/2014/main" id="{5FA5E897-83E8-5644-3300-A59E08EE0E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2">
                      <a:extLst>
                        <a:ext uri="{FF2B5EF4-FFF2-40B4-BE49-F238E27FC236}">
                          <a16:creationId xmlns:a16="http://schemas.microsoft.com/office/drawing/2014/main" id="{5FA5E897-83E8-5644-3300-A59E08EE0E9F}"/>
                        </a:ext>
                      </a:extLst>
                    </pic:cNvPr>
                    <pic:cNvPicPr>
                      <a:picLocks noChangeAspect="1"/>
                    </pic:cNvPicPr>
                  </pic:nvPicPr>
                  <pic:blipFill>
                    <a:blip r:embed="rId9"/>
                    <a:stretch>
                      <a:fillRect/>
                    </a:stretch>
                  </pic:blipFill>
                  <pic:spPr>
                    <a:xfrm>
                      <a:off x="0" y="0"/>
                      <a:ext cx="3017520" cy="2263140"/>
                    </a:xfrm>
                    <a:prstGeom prst="rect">
                      <a:avLst/>
                    </a:prstGeom>
                  </pic:spPr>
                </pic:pic>
              </a:graphicData>
            </a:graphic>
          </wp:inline>
        </w:drawing>
      </w:r>
      <w:r w:rsidR="008450BE" w:rsidRPr="008450BE">
        <w:rPr>
          <w:noProof/>
          <w:lang w:eastAsia="zh-CN"/>
        </w:rPr>
        <w:drawing>
          <wp:inline distT="0" distB="0" distL="0" distR="0" wp14:anchorId="6EFEE96E" wp14:editId="07DED675">
            <wp:extent cx="3017520" cy="2262960"/>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17520" cy="2262960"/>
                    </a:xfrm>
                    <a:prstGeom prst="rect">
                      <a:avLst/>
                    </a:prstGeom>
                    <a:noFill/>
                    <a:ln>
                      <a:noFill/>
                    </a:ln>
                  </pic:spPr>
                </pic:pic>
              </a:graphicData>
            </a:graphic>
          </wp:inline>
        </w:drawing>
      </w:r>
    </w:p>
    <w:p w14:paraId="7154820C" w14:textId="4FAAF670" w:rsidR="00173B7C" w:rsidRDefault="00173B7C" w:rsidP="00173B7C">
      <w:pPr>
        <w:jc w:val="center"/>
        <w:rPr>
          <w:lang w:eastAsia="zh-CN"/>
        </w:rPr>
      </w:pPr>
      <w:r>
        <w:rPr>
          <w:lang w:eastAsia="zh-CN"/>
        </w:rPr>
        <w:t>(a</w:t>
      </w:r>
      <w:r w:rsidR="00BF3EC5">
        <w:rPr>
          <w:lang w:eastAsia="zh-CN"/>
        </w:rPr>
        <w: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(b)</w:t>
      </w:r>
    </w:p>
    <w:p w14:paraId="56AF12FC" w14:textId="747F1B83" w:rsidR="00173B7C" w:rsidRPr="00173B7C" w:rsidRDefault="00173B7C" w:rsidP="00173B7C">
      <w:pPr>
        <w:jc w:val="center"/>
        <w:rPr>
          <w:lang w:eastAsia="zh-CN"/>
        </w:rPr>
      </w:pPr>
      <w:r>
        <w:rPr>
          <w:lang w:eastAsia="zh-CN"/>
        </w:rPr>
        <w:t xml:space="preserve">Figure 1. </w:t>
      </w:r>
      <w:r w:rsidR="00BF3EC5">
        <w:rPr>
          <w:lang w:eastAsia="zh-CN"/>
        </w:rPr>
        <w:t xml:space="preserve">(a) </w:t>
      </w:r>
      <w:proofErr w:type="spellStart"/>
      <w:r>
        <w:rPr>
          <w:lang w:eastAsia="zh-CN"/>
        </w:rPr>
        <w:t>UMa</w:t>
      </w:r>
      <w:proofErr w:type="spellEnd"/>
      <w:r>
        <w:rPr>
          <w:lang w:eastAsia="zh-CN"/>
        </w:rPr>
        <w:t xml:space="preserve"> network layout</w:t>
      </w:r>
      <w:r w:rsidR="00BF3EC5">
        <w:rPr>
          <w:lang w:eastAsia="zh-CN"/>
        </w:rPr>
        <w:t xml:space="preserve"> with 100% grid offset</w:t>
      </w:r>
      <w:r w:rsidR="000268B2">
        <w:rPr>
          <w:lang w:eastAsia="zh-CN"/>
        </w:rPr>
        <w:t xml:space="preserve"> (289 m)</w:t>
      </w:r>
      <w:r>
        <w:rPr>
          <w:lang w:eastAsia="zh-CN"/>
        </w:rPr>
        <w:t>. Black triangles are 19 victim network BS locations and red triangles are 19 aggressor BS locations. (</w:t>
      </w:r>
      <w:r w:rsidR="00BF3EC5">
        <w:rPr>
          <w:lang w:eastAsia="zh-CN"/>
        </w:rPr>
        <w:t>b</w:t>
      </w:r>
      <w:r>
        <w:rPr>
          <w:lang w:eastAsia="zh-CN"/>
        </w:rPr>
        <w:t xml:space="preserve">) </w:t>
      </w:r>
      <w:r w:rsidR="00BF3EC5">
        <w:rPr>
          <w:lang w:eastAsia="zh-CN"/>
        </w:rPr>
        <w:t>SNR and SINR results</w:t>
      </w:r>
      <w:r>
        <w:rPr>
          <w:lang w:eastAsia="zh-CN"/>
        </w:rPr>
        <w:t>.</w:t>
      </w:r>
    </w:p>
    <w:p w14:paraId="070D714C" w14:textId="2787C6AE" w:rsidR="000268B2" w:rsidRDefault="000268B2" w:rsidP="00DD19DE">
      <w:pPr>
        <w:rPr>
          <w:lang w:eastAsia="zh-CN"/>
        </w:rPr>
      </w:pPr>
      <w:r>
        <w:rPr>
          <w:lang w:eastAsia="zh-CN"/>
        </w:rPr>
        <w:t>The adjacent channel BSs are moved closer to the victim BSs by reducing the grid offset from 100% (289 m) to 100 m, see Figure 2(a). The SBFD BS-to-BS ACI (pink dash-dotted line) in Figure 2(b) pushes the SINR smaller</w:t>
      </w:r>
      <w:r w:rsidR="002B11F6">
        <w:rPr>
          <w:lang w:eastAsia="zh-CN"/>
        </w:rPr>
        <w:t xml:space="preserve"> (towards the left)</w:t>
      </w:r>
      <w:r>
        <w:rPr>
          <w:lang w:eastAsia="zh-CN"/>
        </w:rPr>
        <w:t xml:space="preserve"> compared to Figure 1(b). </w:t>
      </w:r>
      <w:r w:rsidR="00E82EBD">
        <w:rPr>
          <w:lang w:eastAsia="zh-CN"/>
        </w:rPr>
        <w:t>The SINR with aggregated interference (black dotted line) is 1</w:t>
      </w:r>
      <w:r w:rsidR="002B11F6">
        <w:rPr>
          <w:lang w:eastAsia="zh-CN"/>
        </w:rPr>
        <w:softHyphen/>
        <w:t xml:space="preserve"> to </w:t>
      </w:r>
      <w:r w:rsidR="00E82EBD">
        <w:rPr>
          <w:lang w:eastAsia="zh-CN"/>
        </w:rPr>
        <w:t>3 dB smaller than the baseline value (red dashed line).</w:t>
      </w:r>
    </w:p>
    <w:p w14:paraId="580F0F39" w14:textId="0D13D1BC" w:rsidR="00E82EBD" w:rsidRPr="000268B2" w:rsidRDefault="00E82EBD" w:rsidP="00E82EBD">
      <w:pPr>
        <w:pStyle w:val="BodyText"/>
        <w:rPr>
          <w:b/>
          <w:bCs/>
          <w:lang w:eastAsia="zh-CN"/>
        </w:rPr>
      </w:pPr>
      <w:r w:rsidRPr="000268B2">
        <w:rPr>
          <w:b/>
          <w:bCs/>
          <w:lang w:eastAsia="ko-KR"/>
        </w:rPr>
        <w:t xml:space="preserve">Observation </w:t>
      </w:r>
      <w:r>
        <w:rPr>
          <w:b/>
          <w:bCs/>
          <w:lang w:eastAsia="ko-KR"/>
        </w:rPr>
        <w:t>2</w:t>
      </w:r>
      <w:r w:rsidRPr="000268B2">
        <w:rPr>
          <w:b/>
          <w:bCs/>
          <w:lang w:eastAsia="ko-KR"/>
        </w:rPr>
        <w:t xml:space="preserve">: The </w:t>
      </w:r>
      <w:r w:rsidR="008F014D">
        <w:rPr>
          <w:b/>
          <w:bCs/>
          <w:lang w:eastAsia="ko-KR"/>
        </w:rPr>
        <w:t>SINR degradation due to the</w:t>
      </w:r>
      <w:r w:rsidRPr="000268B2">
        <w:rPr>
          <w:b/>
          <w:bCs/>
          <w:lang w:eastAsia="ko-KR"/>
        </w:rPr>
        <w:t xml:space="preserve"> BS-to-BS ACI </w:t>
      </w:r>
      <w:r w:rsidR="008F014D">
        <w:rPr>
          <w:b/>
          <w:bCs/>
          <w:lang w:eastAsia="ko-KR"/>
        </w:rPr>
        <w:t>introduced by SBFD becomes severe when the grid offset is reduced from 100% (289 m) to 100 m.</w:t>
      </w:r>
    </w:p>
    <w:p w14:paraId="739A41FE" w14:textId="37F181F5" w:rsidR="000268B2" w:rsidRDefault="000268B2" w:rsidP="000268B2">
      <w:pPr>
        <w:jc w:val="center"/>
        <w:rPr>
          <w:lang w:eastAsia="zh-CN"/>
        </w:rPr>
      </w:pPr>
      <w:r w:rsidRPr="000268B2">
        <w:rPr>
          <w:noProof/>
          <w:lang w:eastAsia="zh-CN"/>
        </w:rPr>
        <w:drawing>
          <wp:inline distT="0" distB="0" distL="0" distR="0" wp14:anchorId="1722671C" wp14:editId="1C20F1EC">
            <wp:extent cx="3017520" cy="2262061"/>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17520" cy="2262061"/>
                    </a:xfrm>
                    <a:prstGeom prst="rect">
                      <a:avLst/>
                    </a:prstGeom>
                    <a:noFill/>
                    <a:ln>
                      <a:noFill/>
                    </a:ln>
                  </pic:spPr>
                </pic:pic>
              </a:graphicData>
            </a:graphic>
          </wp:inline>
        </w:drawing>
      </w:r>
      <w:r w:rsidRPr="000268B2">
        <w:rPr>
          <w:noProof/>
          <w:lang w:eastAsia="zh-CN"/>
        </w:rPr>
        <w:drawing>
          <wp:inline distT="0" distB="0" distL="0" distR="0" wp14:anchorId="203AA246" wp14:editId="16DAE793">
            <wp:extent cx="3017520" cy="2262061"/>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17520" cy="2262061"/>
                    </a:xfrm>
                    <a:prstGeom prst="rect">
                      <a:avLst/>
                    </a:prstGeom>
                    <a:noFill/>
                    <a:ln>
                      <a:noFill/>
                    </a:ln>
                  </pic:spPr>
                </pic:pic>
              </a:graphicData>
            </a:graphic>
          </wp:inline>
        </w:drawing>
      </w:r>
    </w:p>
    <w:p w14:paraId="7FE29558" w14:textId="77777777" w:rsidR="000268B2" w:rsidRDefault="000268B2" w:rsidP="000268B2">
      <w:pPr>
        <w:jc w:val="center"/>
        <w:rPr>
          <w:lang w:eastAsia="zh-CN"/>
        </w:rPr>
      </w:pPr>
      <w:r>
        <w:rPr>
          <w:lang w:eastAsia="zh-CN"/>
        </w:rPr>
        <w:t>(a)</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(b)</w:t>
      </w:r>
    </w:p>
    <w:p w14:paraId="32885CB6" w14:textId="7AD6077B" w:rsidR="000268B2" w:rsidRPr="00173B7C" w:rsidRDefault="000268B2" w:rsidP="000268B2">
      <w:pPr>
        <w:jc w:val="center"/>
        <w:rPr>
          <w:lang w:eastAsia="zh-CN"/>
        </w:rPr>
      </w:pPr>
      <w:r>
        <w:rPr>
          <w:lang w:eastAsia="zh-CN"/>
        </w:rPr>
        <w:t xml:space="preserve">Figure 2. (a) </w:t>
      </w:r>
      <w:proofErr w:type="spellStart"/>
      <w:r>
        <w:rPr>
          <w:lang w:eastAsia="zh-CN"/>
        </w:rPr>
        <w:t>UMa</w:t>
      </w:r>
      <w:proofErr w:type="spellEnd"/>
      <w:r>
        <w:rPr>
          <w:lang w:eastAsia="zh-CN"/>
        </w:rPr>
        <w:t xml:space="preserve"> network layout with 100 m grid offset. Black triangles are 19 victim network BS locations and red triangles are 19 aggressor BS locations. (b) SNR and SINR results.</w:t>
      </w:r>
    </w:p>
    <w:p w14:paraId="7F5A4CB1" w14:textId="50E7B943" w:rsidR="00E82EBD" w:rsidRDefault="00E82EBD" w:rsidP="00E82EBD">
      <w:pPr>
        <w:rPr>
          <w:lang w:eastAsia="zh-CN"/>
        </w:rPr>
      </w:pPr>
      <w:r>
        <w:rPr>
          <w:lang w:eastAsia="zh-CN"/>
        </w:rPr>
        <w:t>The adjacent channel BSs are further moved closer to the victim BSs by reducing the grid offset to 10 m, see Figure 3(a). The SBFD BS-to-BS ACI (pink dash-dotted line) in Figure 2(b) becomes the dominant interference. The SINR with aggregated interference (black dotted line) is severely degraded by the SBFD ACI compared with the baseline value (red dashed line). If we adopt -4.5 dB as the SINR threshold of the lowest modulation and coding scheme (MCS0) for BPSK, 25% of the area losses the UL coverage due to the BS-to-BS ACI introduced by SBFD.</w:t>
      </w:r>
    </w:p>
    <w:p w14:paraId="78F2A92E" w14:textId="4DD6849C" w:rsidR="008F014D" w:rsidRPr="000268B2" w:rsidRDefault="008F014D" w:rsidP="008F014D">
      <w:pPr>
        <w:pStyle w:val="BodyText"/>
        <w:rPr>
          <w:b/>
          <w:bCs/>
          <w:lang w:eastAsia="zh-CN"/>
        </w:rPr>
      </w:pPr>
      <w:r w:rsidRPr="000268B2">
        <w:rPr>
          <w:b/>
          <w:bCs/>
          <w:lang w:eastAsia="ko-KR"/>
        </w:rPr>
        <w:t xml:space="preserve">Observation </w:t>
      </w:r>
      <w:r w:rsidR="006E4BEA">
        <w:rPr>
          <w:b/>
          <w:bCs/>
          <w:lang w:eastAsia="ko-KR"/>
        </w:rPr>
        <w:t>3</w:t>
      </w:r>
      <w:r w:rsidRPr="000268B2">
        <w:rPr>
          <w:b/>
          <w:bCs/>
          <w:lang w:eastAsia="ko-KR"/>
        </w:rPr>
        <w:t xml:space="preserve">: The BS-to-BS ACI </w:t>
      </w:r>
      <w:r>
        <w:rPr>
          <w:b/>
          <w:bCs/>
          <w:lang w:eastAsia="ko-KR"/>
        </w:rPr>
        <w:t>introduced by SBFD becomes the dominant interference and it significantly degrades the SINR when the grid offset is reduced to 10 m.</w:t>
      </w:r>
      <w:r w:rsidRPr="008F014D">
        <w:rPr>
          <w:b/>
          <w:bCs/>
          <w:lang w:eastAsia="ko-KR"/>
        </w:rPr>
        <w:t xml:space="preserve"> If -4.5 dB </w:t>
      </w:r>
      <w:r>
        <w:rPr>
          <w:b/>
          <w:bCs/>
          <w:lang w:eastAsia="ko-KR"/>
        </w:rPr>
        <w:t xml:space="preserve">is adopted </w:t>
      </w:r>
      <w:r w:rsidRPr="008F014D">
        <w:rPr>
          <w:b/>
          <w:bCs/>
          <w:lang w:eastAsia="ko-KR"/>
        </w:rPr>
        <w:t>as the SINR threshold of the lowest modulation and coding scheme (MCS0) for BPSK, 25% of the area losses the UL coverage due to the BS-to-BS ACI introduced by SBFD.</w:t>
      </w:r>
    </w:p>
    <w:p w14:paraId="3690C120" w14:textId="6310B869" w:rsidR="00E82EBD" w:rsidRDefault="00E82EBD" w:rsidP="00E82EBD">
      <w:pPr>
        <w:jc w:val="center"/>
        <w:rPr>
          <w:lang w:eastAsia="zh-CN"/>
        </w:rPr>
      </w:pPr>
      <w:r w:rsidRPr="00E82EBD">
        <w:rPr>
          <w:noProof/>
          <w:lang w:eastAsia="zh-CN"/>
        </w:rPr>
        <w:lastRenderedPageBreak/>
        <w:drawing>
          <wp:inline distT="0" distB="0" distL="0" distR="0" wp14:anchorId="4B6AC268" wp14:editId="62DD923C">
            <wp:extent cx="3017520" cy="2262061"/>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17520" cy="2262061"/>
                    </a:xfrm>
                    <a:prstGeom prst="rect">
                      <a:avLst/>
                    </a:prstGeom>
                    <a:noFill/>
                    <a:ln>
                      <a:noFill/>
                    </a:ln>
                  </pic:spPr>
                </pic:pic>
              </a:graphicData>
            </a:graphic>
          </wp:inline>
        </w:drawing>
      </w:r>
      <w:r w:rsidRPr="00E82EBD">
        <w:rPr>
          <w:noProof/>
          <w:lang w:eastAsia="zh-CN"/>
        </w:rPr>
        <w:drawing>
          <wp:inline distT="0" distB="0" distL="0" distR="0" wp14:anchorId="774580B4" wp14:editId="58B85560">
            <wp:extent cx="3017520" cy="2262061"/>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17520" cy="2262061"/>
                    </a:xfrm>
                    <a:prstGeom prst="rect">
                      <a:avLst/>
                    </a:prstGeom>
                    <a:noFill/>
                    <a:ln>
                      <a:noFill/>
                    </a:ln>
                  </pic:spPr>
                </pic:pic>
              </a:graphicData>
            </a:graphic>
          </wp:inline>
        </w:drawing>
      </w:r>
    </w:p>
    <w:p w14:paraId="6A4DB7F9" w14:textId="77777777" w:rsidR="00E82EBD" w:rsidRDefault="00E82EBD" w:rsidP="00E82EBD">
      <w:pPr>
        <w:jc w:val="center"/>
        <w:rPr>
          <w:lang w:eastAsia="zh-CN"/>
        </w:rPr>
      </w:pPr>
      <w:r>
        <w:rPr>
          <w:lang w:eastAsia="zh-CN"/>
        </w:rPr>
        <w:t>(a)</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(b)</w:t>
      </w:r>
    </w:p>
    <w:p w14:paraId="4297B302" w14:textId="1EDDDB6D" w:rsidR="00E82EBD" w:rsidRPr="00173B7C" w:rsidRDefault="00E82EBD" w:rsidP="00E82EBD">
      <w:pPr>
        <w:jc w:val="center"/>
        <w:rPr>
          <w:lang w:eastAsia="zh-CN"/>
        </w:rPr>
      </w:pPr>
      <w:r>
        <w:rPr>
          <w:lang w:eastAsia="zh-CN"/>
        </w:rPr>
        <w:t xml:space="preserve">Figure 3. (a) </w:t>
      </w:r>
      <w:proofErr w:type="spellStart"/>
      <w:r>
        <w:rPr>
          <w:lang w:eastAsia="zh-CN"/>
        </w:rPr>
        <w:t>UMa</w:t>
      </w:r>
      <w:proofErr w:type="spellEnd"/>
      <w:r>
        <w:rPr>
          <w:lang w:eastAsia="zh-CN"/>
        </w:rPr>
        <w:t xml:space="preserve"> network layout with 10 m grid offset. Black triangles are 19 victim network BS locations and red triangles are 19 aggressor BS locations. (b) SNR and SINR results.</w:t>
      </w:r>
    </w:p>
    <w:p w14:paraId="6F052949" w14:textId="64D17544" w:rsidR="00AC3C3E" w:rsidRDefault="00343B9D" w:rsidP="00343B9D">
      <w:pPr>
        <w:pStyle w:val="Heading1"/>
        <w:rPr>
          <w:lang w:eastAsia="ja-JP"/>
        </w:rPr>
      </w:pPr>
      <w:r>
        <w:rPr>
          <w:lang w:eastAsia="ja-JP"/>
        </w:rPr>
        <w:t>Conclusion</w:t>
      </w:r>
    </w:p>
    <w:p w14:paraId="1536026D" w14:textId="77777777" w:rsidR="002B11F6" w:rsidRPr="000268B2" w:rsidRDefault="002B11F6" w:rsidP="002B11F6">
      <w:pPr>
        <w:pStyle w:val="BodyText"/>
        <w:rPr>
          <w:b/>
          <w:bCs/>
          <w:lang w:eastAsia="zh-CN"/>
        </w:rPr>
      </w:pPr>
      <w:r w:rsidRPr="000268B2">
        <w:rPr>
          <w:b/>
          <w:bCs/>
          <w:lang w:eastAsia="ko-KR"/>
        </w:rPr>
        <w:t xml:space="preserve">Observation 1: The BS-to-BS ACI </w:t>
      </w:r>
      <w:r>
        <w:rPr>
          <w:b/>
          <w:bCs/>
          <w:lang w:eastAsia="ko-KR"/>
        </w:rPr>
        <w:t xml:space="preserve">introduced by SBFD </w:t>
      </w:r>
      <w:r w:rsidRPr="000268B2">
        <w:rPr>
          <w:b/>
          <w:bCs/>
          <w:lang w:eastAsia="ko-KR"/>
        </w:rPr>
        <w:t>only slightly degrades the victim legacy TDD network UL SINR w</w:t>
      </w:r>
      <w:r>
        <w:rPr>
          <w:b/>
          <w:bCs/>
          <w:lang w:eastAsia="ko-KR"/>
        </w:rPr>
        <w:t>hen using</w:t>
      </w:r>
      <w:r w:rsidRPr="000268B2">
        <w:rPr>
          <w:b/>
          <w:bCs/>
          <w:lang w:eastAsia="ko-KR"/>
        </w:rPr>
        <w:t xml:space="preserve"> 100% grid offset. This is likely due to </w:t>
      </w:r>
      <w:r>
        <w:rPr>
          <w:b/>
          <w:bCs/>
          <w:lang w:eastAsia="ko-KR"/>
        </w:rPr>
        <w:t xml:space="preserve">that </w:t>
      </w:r>
      <w:r w:rsidRPr="000268B2">
        <w:rPr>
          <w:b/>
          <w:bCs/>
          <w:lang w:eastAsia="ko-KR"/>
        </w:rPr>
        <w:t>the 100% grid offset</w:t>
      </w:r>
      <w:r>
        <w:rPr>
          <w:b/>
          <w:bCs/>
          <w:lang w:eastAsia="ko-KR"/>
        </w:rPr>
        <w:t xml:space="preserve"> (289 m)</w:t>
      </w:r>
      <w:r w:rsidRPr="000268B2">
        <w:rPr>
          <w:b/>
          <w:bCs/>
          <w:lang w:eastAsia="ko-KR"/>
        </w:rPr>
        <w:t xml:space="preserve"> </w:t>
      </w:r>
      <w:r>
        <w:rPr>
          <w:b/>
          <w:bCs/>
          <w:lang w:eastAsia="ko-KR"/>
        </w:rPr>
        <w:t>minimizes</w:t>
      </w:r>
      <w:r w:rsidRPr="000268B2">
        <w:rPr>
          <w:b/>
          <w:bCs/>
          <w:lang w:eastAsia="ko-KR"/>
        </w:rPr>
        <w:t xml:space="preserve"> the BS-to-BS ACI.</w:t>
      </w:r>
    </w:p>
    <w:p w14:paraId="51488371" w14:textId="77777777" w:rsidR="006E4BEA" w:rsidRPr="000268B2" w:rsidRDefault="006E4BEA" w:rsidP="006E4BEA">
      <w:pPr>
        <w:pStyle w:val="BodyText"/>
        <w:rPr>
          <w:b/>
          <w:bCs/>
          <w:lang w:eastAsia="zh-CN"/>
        </w:rPr>
      </w:pPr>
      <w:r w:rsidRPr="000268B2">
        <w:rPr>
          <w:b/>
          <w:bCs/>
          <w:lang w:eastAsia="ko-KR"/>
        </w:rPr>
        <w:t xml:space="preserve">Observation </w:t>
      </w:r>
      <w:r>
        <w:rPr>
          <w:b/>
          <w:bCs/>
          <w:lang w:eastAsia="ko-KR"/>
        </w:rPr>
        <w:t>2</w:t>
      </w:r>
      <w:r w:rsidRPr="000268B2">
        <w:rPr>
          <w:b/>
          <w:bCs/>
          <w:lang w:eastAsia="ko-KR"/>
        </w:rPr>
        <w:t xml:space="preserve">: The </w:t>
      </w:r>
      <w:r>
        <w:rPr>
          <w:b/>
          <w:bCs/>
          <w:lang w:eastAsia="ko-KR"/>
        </w:rPr>
        <w:t>SINR degradation due to the</w:t>
      </w:r>
      <w:r w:rsidRPr="000268B2">
        <w:rPr>
          <w:b/>
          <w:bCs/>
          <w:lang w:eastAsia="ko-KR"/>
        </w:rPr>
        <w:t xml:space="preserve"> BS-to-BS ACI </w:t>
      </w:r>
      <w:r>
        <w:rPr>
          <w:b/>
          <w:bCs/>
          <w:lang w:eastAsia="ko-KR"/>
        </w:rPr>
        <w:t>introduced by SBFD becomes severe when the grid offset is reduced from 100% (289 m) to 100 m.</w:t>
      </w:r>
    </w:p>
    <w:p w14:paraId="43F0C9FD" w14:textId="77777777" w:rsidR="006E4BEA" w:rsidRPr="000268B2" w:rsidRDefault="006E4BEA" w:rsidP="006E4BEA">
      <w:pPr>
        <w:pStyle w:val="BodyText"/>
        <w:rPr>
          <w:b/>
          <w:bCs/>
          <w:lang w:eastAsia="zh-CN"/>
        </w:rPr>
      </w:pPr>
      <w:r w:rsidRPr="000268B2">
        <w:rPr>
          <w:b/>
          <w:bCs/>
          <w:lang w:eastAsia="ko-KR"/>
        </w:rPr>
        <w:t xml:space="preserve">Observation </w:t>
      </w:r>
      <w:r>
        <w:rPr>
          <w:b/>
          <w:bCs/>
          <w:lang w:eastAsia="ko-KR"/>
        </w:rPr>
        <w:t>3</w:t>
      </w:r>
      <w:r w:rsidRPr="000268B2">
        <w:rPr>
          <w:b/>
          <w:bCs/>
          <w:lang w:eastAsia="ko-KR"/>
        </w:rPr>
        <w:t xml:space="preserve">: The BS-to-BS ACI </w:t>
      </w:r>
      <w:r>
        <w:rPr>
          <w:b/>
          <w:bCs/>
          <w:lang w:eastAsia="ko-KR"/>
        </w:rPr>
        <w:t>introduced by SBFD becomes the dominant interference and it significantly degrades the SINR when the grid offset is reduced to 10 m.</w:t>
      </w:r>
      <w:r w:rsidRPr="008F014D">
        <w:rPr>
          <w:b/>
          <w:bCs/>
          <w:lang w:eastAsia="ko-KR"/>
        </w:rPr>
        <w:t xml:space="preserve"> If -4.5 dB </w:t>
      </w:r>
      <w:r>
        <w:rPr>
          <w:b/>
          <w:bCs/>
          <w:lang w:eastAsia="ko-KR"/>
        </w:rPr>
        <w:t xml:space="preserve">is adopted </w:t>
      </w:r>
      <w:r w:rsidRPr="008F014D">
        <w:rPr>
          <w:b/>
          <w:bCs/>
          <w:lang w:eastAsia="ko-KR"/>
        </w:rPr>
        <w:t>as the SINR threshold of the lowest modulation and coding scheme (MCS0) for BPSK, 25% of the area losses the UL coverage due to the BS-to-BS ACI introduced by SBFD.</w:t>
      </w:r>
    </w:p>
    <w:p w14:paraId="654AFF3A" w14:textId="3C22A69E" w:rsidR="00EF3D17" w:rsidRDefault="00EF3D17" w:rsidP="00F03E46">
      <w:pPr>
        <w:pStyle w:val="Heading1"/>
        <w:numPr>
          <w:ilvl w:val="0"/>
          <w:numId w:val="0"/>
        </w:numPr>
        <w:rPr>
          <w:lang w:eastAsia="ja-JP"/>
        </w:rPr>
      </w:pPr>
      <w:r w:rsidRPr="00EF3D17">
        <w:rPr>
          <w:lang w:eastAsia="ja-JP"/>
        </w:rPr>
        <w:t>Reference</w:t>
      </w:r>
    </w:p>
    <w:p w14:paraId="185ED491" w14:textId="4A1D1933" w:rsidR="00EF3D17" w:rsidRDefault="00EF3D17" w:rsidP="00EF3D17">
      <w:pPr>
        <w:rPr>
          <w:lang w:val="sv-SE" w:eastAsia="ja-JP"/>
        </w:rPr>
      </w:pPr>
      <w:r>
        <w:rPr>
          <w:lang w:val="sv-SE" w:eastAsia="ja-JP"/>
        </w:rPr>
        <w:t xml:space="preserve">[1] R4-2220247, </w:t>
      </w:r>
      <w:r w:rsidRPr="00EF3D17">
        <w:rPr>
          <w:lang w:val="sv-SE" w:eastAsia="ja-JP"/>
        </w:rPr>
        <w:t>“Simulation assumptions for SBFD adjacent channel co-existence study</w:t>
      </w:r>
      <w:r>
        <w:rPr>
          <w:lang w:val="sv-SE" w:eastAsia="ja-JP"/>
        </w:rPr>
        <w:t>,</w:t>
      </w:r>
      <w:r w:rsidRPr="00EF3D17">
        <w:rPr>
          <w:lang w:val="sv-SE" w:eastAsia="ja-JP"/>
        </w:rPr>
        <w:t>”</w:t>
      </w:r>
      <w:r>
        <w:rPr>
          <w:lang w:val="sv-SE" w:eastAsia="ja-JP"/>
        </w:rPr>
        <w:t xml:space="preserve"> Samsung</w:t>
      </w:r>
    </w:p>
    <w:p w14:paraId="595C8F8B" w14:textId="509514ED" w:rsidR="00EF3D17" w:rsidRDefault="00EF3D17" w:rsidP="00EF3D17">
      <w:pPr>
        <w:rPr>
          <w:lang w:val="en-US" w:eastAsia="zh-CN"/>
        </w:rPr>
      </w:pPr>
      <w:r>
        <w:rPr>
          <w:lang w:val="sv-SE" w:eastAsia="ja-JP"/>
        </w:rPr>
        <w:t xml:space="preserve">[2] </w:t>
      </w:r>
      <w:r w:rsidRPr="00173B7C">
        <w:rPr>
          <w:lang w:val="sv-SE" w:eastAsia="ja-JP"/>
        </w:rPr>
        <w:t>R4-2300</w:t>
      </w:r>
      <w:r w:rsidR="00173B7C" w:rsidRPr="00173B7C">
        <w:rPr>
          <w:lang w:val="sv-SE" w:eastAsia="ja-JP"/>
        </w:rPr>
        <w:t>145</w:t>
      </w:r>
      <w:r>
        <w:rPr>
          <w:lang w:val="sv-SE" w:eastAsia="ja-JP"/>
        </w:rPr>
        <w:t xml:space="preserve">, </w:t>
      </w:r>
      <w:r w:rsidRPr="00EF3D17">
        <w:rPr>
          <w:lang w:val="sv-SE" w:eastAsia="ja-JP"/>
        </w:rPr>
        <w:t>“Adjacent channel co-existence use-case of non-overlapping sub band full duplex (SBFD) between n48 and n77,” Charter</w:t>
      </w:r>
      <w:r>
        <w:rPr>
          <w:lang w:val="en-US" w:eastAsia="zh-CN"/>
        </w:rPr>
        <w:t xml:space="preserve"> Communications, CableLabs</w:t>
      </w:r>
    </w:p>
    <w:p w14:paraId="0250AAA2" w14:textId="557FEE6E" w:rsidR="009200E7" w:rsidRPr="00EF3D17" w:rsidRDefault="009200E7" w:rsidP="00EF3D17">
      <w:pPr>
        <w:rPr>
          <w:lang w:val="en-US" w:eastAsia="zh-CN"/>
        </w:rPr>
      </w:pPr>
      <w:r>
        <w:rPr>
          <w:lang w:val="sv-SE" w:eastAsia="ja-JP"/>
        </w:rPr>
        <w:t xml:space="preserve">[3] </w:t>
      </w:r>
      <w:r w:rsidRPr="00173B7C">
        <w:rPr>
          <w:lang w:val="sv-SE" w:eastAsia="ja-JP"/>
        </w:rPr>
        <w:t>R4-</w:t>
      </w:r>
      <w:r w:rsidRPr="009200E7">
        <w:rPr>
          <w:lang w:val="en-US" w:eastAsia="zh-CN"/>
        </w:rPr>
        <w:t xml:space="preserve">2300143, “ Simulation assumptions for SBFD adjacent channel coexistence study on </w:t>
      </w:r>
      <w:r w:rsidR="00FD2DE0">
        <w:rPr>
          <w:lang w:val="en-US" w:eastAsia="zh-CN"/>
        </w:rPr>
        <w:t xml:space="preserve">the </w:t>
      </w:r>
      <w:proofErr w:type="spellStart"/>
      <w:r w:rsidR="00FD2DE0">
        <w:rPr>
          <w:lang w:val="en-US" w:eastAsia="zh-CN"/>
        </w:rPr>
        <w:t>UMa</w:t>
      </w:r>
      <w:proofErr w:type="spellEnd"/>
      <w:r w:rsidRPr="009200E7">
        <w:rPr>
          <w:lang w:val="en-US" w:eastAsia="zh-CN"/>
        </w:rPr>
        <w:t>-to-</w:t>
      </w:r>
      <w:proofErr w:type="spellStart"/>
      <w:r w:rsidR="00FD2DE0">
        <w:rPr>
          <w:lang w:val="en-US" w:eastAsia="zh-CN"/>
        </w:rPr>
        <w:t>UMi</w:t>
      </w:r>
      <w:proofErr w:type="spellEnd"/>
      <w:r w:rsidRPr="009200E7">
        <w:rPr>
          <w:lang w:val="en-US" w:eastAsia="zh-CN"/>
        </w:rPr>
        <w:t xml:space="preserve"> scenario,”</w:t>
      </w:r>
      <w:r>
        <w:rPr>
          <w:lang w:val="en-US" w:eastAsia="zh-CN"/>
        </w:rPr>
        <w:t xml:space="preserve"> CableLabs, </w:t>
      </w:r>
      <w:r w:rsidRPr="009200E7">
        <w:rPr>
          <w:lang w:val="en-US" w:eastAsia="zh-CN"/>
        </w:rPr>
        <w:t>Charter</w:t>
      </w:r>
      <w:r>
        <w:rPr>
          <w:lang w:val="en-US" w:eastAsia="zh-CN"/>
        </w:rPr>
        <w:t xml:space="preserve"> Communications</w:t>
      </w:r>
    </w:p>
    <w:sectPr w:rsidR="009200E7" w:rsidRPr="00EF3D1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251A7" w14:textId="77777777" w:rsidR="009818D9" w:rsidRDefault="009818D9">
      <w:r>
        <w:separator/>
      </w:r>
    </w:p>
  </w:endnote>
  <w:endnote w:type="continuationSeparator" w:id="0">
    <w:p w14:paraId="3DB80EF4" w14:textId="77777777" w:rsidR="009818D9" w:rsidRDefault="00981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Ericsson Capital TT">
    <w:altName w:val="Corbel"/>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6850A" w14:textId="77777777" w:rsidR="009818D9" w:rsidRDefault="009818D9">
      <w:r>
        <w:separator/>
      </w:r>
    </w:p>
  </w:footnote>
  <w:footnote w:type="continuationSeparator" w:id="0">
    <w:p w14:paraId="4C0D6E51" w14:textId="77777777" w:rsidR="009818D9" w:rsidRDefault="009818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42A4B"/>
    <w:multiLevelType w:val="hybridMultilevel"/>
    <w:tmpl w:val="662C2214"/>
    <w:lvl w:ilvl="0" w:tplc="A0DE13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C5913"/>
    <w:multiLevelType w:val="hybridMultilevel"/>
    <w:tmpl w:val="FF5C2980"/>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E60D59"/>
    <w:multiLevelType w:val="hybridMultilevel"/>
    <w:tmpl w:val="CC88140C"/>
    <w:lvl w:ilvl="0" w:tplc="A0DE133E">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FB41A36"/>
    <w:multiLevelType w:val="hybridMultilevel"/>
    <w:tmpl w:val="03728D8E"/>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8935F6"/>
    <w:multiLevelType w:val="hybridMultilevel"/>
    <w:tmpl w:val="CBA06D82"/>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D37A3D"/>
    <w:multiLevelType w:val="multilevel"/>
    <w:tmpl w:val="F3D49D4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F1A1240"/>
    <w:multiLevelType w:val="hybridMultilevel"/>
    <w:tmpl w:val="CA6E5D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BE773F3"/>
    <w:multiLevelType w:val="hybridMultilevel"/>
    <w:tmpl w:val="B9E2A796"/>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3512695A">
      <w:start w:val="78"/>
      <w:numFmt w:val="bullet"/>
      <w:lvlText w:val="›"/>
      <w:lvlJc w:val="left"/>
      <w:pPr>
        <w:ind w:left="1680" w:hanging="420"/>
      </w:pPr>
      <w:rPr>
        <w:rFonts w:ascii="Ericsson Capital TT" w:hAnsi="Ericsson Capital TT" w:hint="default"/>
      </w:rPr>
    </w:lvl>
    <w:lvl w:ilvl="4" w:tplc="4EEE7330">
      <w:start w:val="2"/>
      <w:numFmt w:val="bullet"/>
      <w:lvlText w:val="-"/>
      <w:lvlJc w:val="left"/>
      <w:pPr>
        <w:ind w:left="2040" w:hanging="360"/>
      </w:pPr>
      <w:rPr>
        <w:rFonts w:ascii="Times New Roman" w:eastAsia="SimSun" w:hAnsi="Times New Roman" w:cs="Times New Roman"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CDA69AD"/>
    <w:multiLevelType w:val="hybridMultilevel"/>
    <w:tmpl w:val="DA301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18"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789162695">
    <w:abstractNumId w:val="2"/>
  </w:num>
  <w:num w:numId="2" w16cid:durableId="633415091">
    <w:abstractNumId w:val="10"/>
  </w:num>
  <w:num w:numId="3" w16cid:durableId="1413040133">
    <w:abstractNumId w:val="19"/>
  </w:num>
  <w:num w:numId="4" w16cid:durableId="399056464">
    <w:abstractNumId w:val="14"/>
  </w:num>
  <w:num w:numId="5" w16cid:durableId="210651578">
    <w:abstractNumId w:val="12"/>
  </w:num>
  <w:num w:numId="6" w16cid:durableId="197282482">
    <w:abstractNumId w:val="12"/>
  </w:num>
  <w:num w:numId="7" w16cid:durableId="1471704535">
    <w:abstractNumId w:val="12"/>
  </w:num>
  <w:num w:numId="8" w16cid:durableId="848255899">
    <w:abstractNumId w:val="12"/>
  </w:num>
  <w:num w:numId="9" w16cid:durableId="278415759">
    <w:abstractNumId w:val="12"/>
  </w:num>
  <w:num w:numId="10" w16cid:durableId="2005550155">
    <w:abstractNumId w:val="12"/>
  </w:num>
  <w:num w:numId="11" w16cid:durableId="1430201095">
    <w:abstractNumId w:val="12"/>
  </w:num>
  <w:num w:numId="12" w16cid:durableId="1400400768">
    <w:abstractNumId w:val="12"/>
  </w:num>
  <w:num w:numId="13" w16cid:durableId="1117481601">
    <w:abstractNumId w:val="12"/>
  </w:num>
  <w:num w:numId="14" w16cid:durableId="525800788">
    <w:abstractNumId w:val="12"/>
  </w:num>
  <w:num w:numId="15" w16cid:durableId="1406416301">
    <w:abstractNumId w:val="12"/>
  </w:num>
  <w:num w:numId="16" w16cid:durableId="856114424">
    <w:abstractNumId w:val="12"/>
  </w:num>
  <w:num w:numId="17" w16cid:durableId="1934164823">
    <w:abstractNumId w:val="9"/>
  </w:num>
  <w:num w:numId="18" w16cid:durableId="1334606973">
    <w:abstractNumId w:val="8"/>
  </w:num>
  <w:num w:numId="19" w16cid:durableId="992635528">
    <w:abstractNumId w:val="6"/>
  </w:num>
  <w:num w:numId="20" w16cid:durableId="108211327">
    <w:abstractNumId w:val="3"/>
  </w:num>
  <w:num w:numId="21" w16cid:durableId="1207835894">
    <w:abstractNumId w:val="12"/>
  </w:num>
  <w:num w:numId="22" w16cid:durableId="1036584325">
    <w:abstractNumId w:val="12"/>
  </w:num>
  <w:num w:numId="23" w16cid:durableId="1382054744">
    <w:abstractNumId w:val="11"/>
  </w:num>
  <w:num w:numId="24" w16cid:durableId="263852340">
    <w:abstractNumId w:val="5"/>
  </w:num>
  <w:num w:numId="25" w16cid:durableId="852765226">
    <w:abstractNumId w:val="7"/>
  </w:num>
  <w:num w:numId="26" w16cid:durableId="1476725497">
    <w:abstractNumId w:val="15"/>
  </w:num>
  <w:num w:numId="27" w16cid:durableId="810172842">
    <w:abstractNumId w:val="0"/>
  </w:num>
  <w:num w:numId="28" w16cid:durableId="1349137149">
    <w:abstractNumId w:val="4"/>
  </w:num>
  <w:num w:numId="29" w16cid:durableId="2139755366">
    <w:abstractNumId w:val="17"/>
  </w:num>
  <w:num w:numId="30" w16cid:durableId="339746084">
    <w:abstractNumId w:val="1"/>
  </w:num>
  <w:num w:numId="31" w16cid:durableId="1323237579">
    <w:abstractNumId w:val="18"/>
  </w:num>
  <w:num w:numId="32" w16cid:durableId="1912881366">
    <w:abstractNumId w:val="12"/>
  </w:num>
  <w:num w:numId="33" w16cid:durableId="1009065980">
    <w:abstractNumId w:val="13"/>
  </w:num>
  <w:num w:numId="34" w16cid:durableId="1223982314">
    <w:abstractNumId w:val="12"/>
  </w:num>
  <w:num w:numId="35" w16cid:durableId="333653860">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8B2"/>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C7C17"/>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0618"/>
    <w:rsid w:val="00172183"/>
    <w:rsid w:val="00173B7C"/>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11F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37D"/>
    <w:rsid w:val="003418CB"/>
    <w:rsid w:val="00343B9D"/>
    <w:rsid w:val="00355873"/>
    <w:rsid w:val="0035660F"/>
    <w:rsid w:val="003628B9"/>
    <w:rsid w:val="00362D8F"/>
    <w:rsid w:val="00367724"/>
    <w:rsid w:val="003710BA"/>
    <w:rsid w:val="003770F6"/>
    <w:rsid w:val="0037794B"/>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3E82"/>
    <w:rsid w:val="004B6B0F"/>
    <w:rsid w:val="004C54E5"/>
    <w:rsid w:val="004C7DC8"/>
    <w:rsid w:val="004D21B0"/>
    <w:rsid w:val="004D737D"/>
    <w:rsid w:val="004E00F3"/>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373C"/>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24E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C662C"/>
    <w:rsid w:val="006D2932"/>
    <w:rsid w:val="006D3671"/>
    <w:rsid w:val="006D4176"/>
    <w:rsid w:val="006E0A73"/>
    <w:rsid w:val="006E0FEE"/>
    <w:rsid w:val="006E4BEA"/>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788"/>
    <w:rsid w:val="007F29A7"/>
    <w:rsid w:val="007F74CD"/>
    <w:rsid w:val="008004B4"/>
    <w:rsid w:val="00805BE8"/>
    <w:rsid w:val="00816078"/>
    <w:rsid w:val="008177E3"/>
    <w:rsid w:val="00823AA9"/>
    <w:rsid w:val="008255B9"/>
    <w:rsid w:val="00825CD8"/>
    <w:rsid w:val="00827324"/>
    <w:rsid w:val="008355EA"/>
    <w:rsid w:val="00837458"/>
    <w:rsid w:val="00837AAE"/>
    <w:rsid w:val="008429AD"/>
    <w:rsid w:val="008429DB"/>
    <w:rsid w:val="008450BE"/>
    <w:rsid w:val="00850C75"/>
    <w:rsid w:val="00850E39"/>
    <w:rsid w:val="0085477A"/>
    <w:rsid w:val="00854C85"/>
    <w:rsid w:val="00855107"/>
    <w:rsid w:val="00855173"/>
    <w:rsid w:val="008557D9"/>
    <w:rsid w:val="00855BF7"/>
    <w:rsid w:val="00856214"/>
    <w:rsid w:val="00862089"/>
    <w:rsid w:val="00866D5B"/>
    <w:rsid w:val="00866FF5"/>
    <w:rsid w:val="0087332D"/>
    <w:rsid w:val="00873E1F"/>
    <w:rsid w:val="00874C16"/>
    <w:rsid w:val="008752B4"/>
    <w:rsid w:val="00877448"/>
    <w:rsid w:val="00886D1F"/>
    <w:rsid w:val="00891ECB"/>
    <w:rsid w:val="00891EE1"/>
    <w:rsid w:val="00893987"/>
    <w:rsid w:val="008963EF"/>
    <w:rsid w:val="0089688E"/>
    <w:rsid w:val="008A1FBE"/>
    <w:rsid w:val="008B3194"/>
    <w:rsid w:val="008B5AE7"/>
    <w:rsid w:val="008C60E9"/>
    <w:rsid w:val="008D1B7C"/>
    <w:rsid w:val="008D6657"/>
    <w:rsid w:val="008E1F60"/>
    <w:rsid w:val="008E307E"/>
    <w:rsid w:val="008F014D"/>
    <w:rsid w:val="008F4DD1"/>
    <w:rsid w:val="008F6056"/>
    <w:rsid w:val="00902C07"/>
    <w:rsid w:val="00905804"/>
    <w:rsid w:val="009101E2"/>
    <w:rsid w:val="00915D73"/>
    <w:rsid w:val="00916077"/>
    <w:rsid w:val="009170A2"/>
    <w:rsid w:val="009200E7"/>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18D9"/>
    <w:rsid w:val="00983910"/>
    <w:rsid w:val="009932AC"/>
    <w:rsid w:val="00994351"/>
    <w:rsid w:val="00996A8F"/>
    <w:rsid w:val="009A1DBF"/>
    <w:rsid w:val="009A68E6"/>
    <w:rsid w:val="009A7598"/>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3C3E"/>
    <w:rsid w:val="00AC6D6B"/>
    <w:rsid w:val="00AD7736"/>
    <w:rsid w:val="00AE02F8"/>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4843"/>
    <w:rsid w:val="00BA5280"/>
    <w:rsid w:val="00BB14F1"/>
    <w:rsid w:val="00BB572E"/>
    <w:rsid w:val="00BB74FD"/>
    <w:rsid w:val="00BC5982"/>
    <w:rsid w:val="00BC60BF"/>
    <w:rsid w:val="00BD28BF"/>
    <w:rsid w:val="00BD2D12"/>
    <w:rsid w:val="00BD6404"/>
    <w:rsid w:val="00BE33AE"/>
    <w:rsid w:val="00BF046F"/>
    <w:rsid w:val="00BF3EC5"/>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562C"/>
    <w:rsid w:val="00CF4156"/>
    <w:rsid w:val="00D0036C"/>
    <w:rsid w:val="00D03D00"/>
    <w:rsid w:val="00D05C30"/>
    <w:rsid w:val="00D10052"/>
    <w:rsid w:val="00D11359"/>
    <w:rsid w:val="00D3188C"/>
    <w:rsid w:val="00D35F9B"/>
    <w:rsid w:val="00D36B69"/>
    <w:rsid w:val="00D408DD"/>
    <w:rsid w:val="00D411B6"/>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51C6"/>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2EBD"/>
    <w:rsid w:val="00E840B3"/>
    <w:rsid w:val="00E84D10"/>
    <w:rsid w:val="00E8629F"/>
    <w:rsid w:val="00E87900"/>
    <w:rsid w:val="00E91008"/>
    <w:rsid w:val="00E9374E"/>
    <w:rsid w:val="00E94F54"/>
    <w:rsid w:val="00E97AD5"/>
    <w:rsid w:val="00EA1111"/>
    <w:rsid w:val="00EA3B4F"/>
    <w:rsid w:val="00EA3C24"/>
    <w:rsid w:val="00EA73DF"/>
    <w:rsid w:val="00EB61AE"/>
    <w:rsid w:val="00EC322D"/>
    <w:rsid w:val="00ED383A"/>
    <w:rsid w:val="00EE1080"/>
    <w:rsid w:val="00EE1B80"/>
    <w:rsid w:val="00EF1EC5"/>
    <w:rsid w:val="00EF3D17"/>
    <w:rsid w:val="00EF4727"/>
    <w:rsid w:val="00EF4C88"/>
    <w:rsid w:val="00EF55EB"/>
    <w:rsid w:val="00F00DCC"/>
    <w:rsid w:val="00F0156F"/>
    <w:rsid w:val="00F03E46"/>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3D56"/>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DE0"/>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PlaceholderText">
    <w:name w:val="Placeholder Text"/>
    <w:basedOn w:val="DefaultParagraphFont"/>
    <w:uiPriority w:val="99"/>
    <w:semiHidden/>
    <w:rsid w:val="00173B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1092</Words>
  <Characters>6225</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Ruoyu Sun</cp:lastModifiedBy>
  <cp:revision>4</cp:revision>
  <cp:lastPrinted>2019-04-25T01:09:00Z</cp:lastPrinted>
  <dcterms:created xsi:type="dcterms:W3CDTF">2023-02-15T02:37:00Z</dcterms:created>
  <dcterms:modified xsi:type="dcterms:W3CDTF">2023-02-15T16:53:00Z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GrammarlyDocumentId">
    <vt:lpwstr>31d64d6393455b468dd77c80a7ccaadf4cb1a008f1b674bd6594004b8b492423</vt:lpwstr>
  </property>
</Properties>
</file>