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6"/>
      <w:bookmarkStart w:id="1" w:name="OLE_LINK5"/>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5</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2219186</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0"/>
        </w:rPr>
      </w:pPr>
      <w:r>
        <w:rPr>
          <w:rFonts w:hint="eastAsia" w:ascii="Arial" w:hAnsi="Arial" w:eastAsia="宋体" w:cs="Times New Roman"/>
          <w:b/>
          <w:sz w:val="24"/>
          <w:szCs w:val="20"/>
          <w:lang w:val="en-US" w:eastAsia="zh-CN"/>
        </w:rPr>
        <w:t>Toulouse, France</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November</w:t>
      </w:r>
      <w:r>
        <w:rPr>
          <w:rFonts w:ascii="Arial" w:hAnsi="Arial" w:eastAsia="宋体" w:cs="Times New Roman"/>
          <w:b/>
          <w:sz w:val="24"/>
          <w:szCs w:val="20"/>
        </w:rPr>
        <w:t xml:space="preserve"> 1</w:t>
      </w:r>
      <w:r>
        <w:rPr>
          <w:rFonts w:hint="eastAsia" w:ascii="Arial" w:hAnsi="Arial" w:eastAsia="宋体" w:cs="Times New Roman"/>
          <w:b/>
          <w:sz w:val="24"/>
          <w:szCs w:val="20"/>
          <w:lang w:val="en-US" w:eastAsia="zh-CN"/>
        </w:rPr>
        <w:t>4</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November</w:t>
      </w:r>
      <w:r>
        <w:rPr>
          <w:rFonts w:ascii="Arial" w:hAnsi="Arial" w:eastAsia="宋体" w:cs="Times New Roman"/>
          <w:b/>
          <w:sz w:val="24"/>
          <w:szCs w:val="20"/>
        </w:rPr>
        <w:t xml:space="preserve"> 1</w:t>
      </w:r>
      <w:r>
        <w:rPr>
          <w:rFonts w:hint="eastAsia" w:ascii="Arial" w:hAnsi="Arial" w:eastAsia="宋体" w:cs="Times New Roman"/>
          <w:b/>
          <w:sz w:val="24"/>
          <w:szCs w:val="20"/>
          <w:lang w:val="en-US" w:eastAsia="zh-CN"/>
        </w:rPr>
        <w:t>8</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2022</w:t>
      </w:r>
    </w:p>
    <w:bookmarkEnd w:id="0"/>
    <w:bookmarkEnd w:id="1"/>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RRM aspects in the study on expanded and improved NR positioning</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8.19.4.1</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2"/>
        <w:rPr>
          <w:lang w:val="en-US"/>
        </w:rPr>
      </w:pPr>
      <w:r>
        <w:rPr>
          <w:lang w:val="en-US"/>
        </w:rPr>
        <w:t>Intro</w:t>
      </w:r>
      <w:r>
        <w:rPr>
          <w:rStyle w:val="73"/>
          <w:lang w:val="en-US"/>
        </w:rPr>
        <w:t>ductio</w:t>
      </w:r>
      <w:r>
        <w:rPr>
          <w:lang w:val="en-US"/>
        </w:rPr>
        <w:t>n</w:t>
      </w:r>
    </w:p>
    <w:p>
      <w:r>
        <w:t xml:space="preserve">The Rel-18 SID [1] investigates positioning accuracy enhancement with advanced techniques of </w:t>
      </w:r>
      <w:r>
        <w:rPr>
          <w:highlight w:val="none"/>
        </w:rPr>
        <w:t>bandwidth aggregation and carrier phase measurement</w:t>
      </w:r>
      <w:r>
        <w:t>. RAN4 has been assigned the two following two objectives.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val="0"/>
              <w:autoSpaceDE w:val="0"/>
              <w:autoSpaceDN w:val="0"/>
              <w:adjustRightInd w:val="0"/>
              <w:spacing w:before="120" w:after="0" w:line="240" w:lineRule="auto"/>
              <w:ind w:left="714" w:hanging="357"/>
              <w:textAlignment w:val="baseline"/>
              <w:rPr>
                <w:bCs/>
              </w:rPr>
            </w:pPr>
            <w:r>
              <w:rPr>
                <w:bCs/>
              </w:rPr>
              <w:t>Improved accuracy, integrity, and power efficiency:</w:t>
            </w:r>
          </w:p>
          <w:p>
            <w:pPr>
              <w:numPr>
                <w:ilvl w:val="1"/>
                <w:numId w:val="3"/>
              </w:numPr>
              <w:overflowPunct w:val="0"/>
              <w:autoSpaceDE w:val="0"/>
              <w:autoSpaceDN w:val="0"/>
              <w:adjustRightInd w:val="0"/>
              <w:spacing w:after="0" w:line="240" w:lineRule="auto"/>
              <w:textAlignment w:val="baseline"/>
              <w:rPr>
                <w:bCs/>
              </w:rPr>
            </w:pPr>
            <w:r>
              <w:rPr>
                <w:bCs/>
              </w:rPr>
              <w:t>Study solutions for accuracy improvement based on PRS/SRS bandwidth aggregation for intra-band carriers considering e.g. timing errors, phase coherency, frequency errors, power imbalance, etc [RAN4]:</w:t>
            </w:r>
          </w:p>
          <w:p>
            <w:pPr>
              <w:numPr>
                <w:ilvl w:val="1"/>
                <w:numId w:val="3"/>
              </w:numPr>
              <w:overflowPunct w:val="0"/>
              <w:autoSpaceDE w:val="0"/>
              <w:autoSpaceDN w:val="0"/>
              <w:adjustRightInd w:val="0"/>
              <w:spacing w:after="0" w:line="240" w:lineRule="auto"/>
              <w:textAlignment w:val="baseline"/>
              <w:rPr>
                <w:bCs/>
              </w:rPr>
            </w:pPr>
            <w:r>
              <w:rPr>
                <w:bCs/>
              </w:rPr>
              <w:t>Study solutions for accuracy improvement based on NR carrier phase measurements [RAN1, RAN4]</w:t>
            </w:r>
          </w:p>
          <w:p>
            <w:pPr>
              <w:numPr>
                <w:ilvl w:val="2"/>
                <w:numId w:val="3"/>
              </w:numPr>
              <w:overflowPunct w:val="0"/>
              <w:autoSpaceDE w:val="0"/>
              <w:autoSpaceDN w:val="0"/>
              <w:adjustRightInd w:val="0"/>
              <w:spacing w:after="0" w:line="240" w:lineRule="auto"/>
              <w:textAlignment w:val="baseline"/>
              <w:rPr>
                <w:bCs/>
              </w:rPr>
            </w:pPr>
            <w:r>
              <w:rPr>
                <w:bCs/>
              </w:rPr>
              <w:t>Reference signals, physical layer measurements, physical layer procedures to enable positioning based on NR carrier phase measurements for both UE-based and UE-assisted positioning [RAN1]</w:t>
            </w:r>
          </w:p>
          <w:p>
            <w:pPr>
              <w:numPr>
                <w:ilvl w:val="2"/>
                <w:numId w:val="3"/>
              </w:numPr>
              <w:overflowPunct w:val="0"/>
              <w:autoSpaceDE w:val="0"/>
              <w:autoSpaceDN w:val="0"/>
              <w:adjustRightInd w:val="0"/>
              <w:spacing w:after="0" w:line="240" w:lineRule="auto"/>
              <w:textAlignment w:val="baseline"/>
              <w:rPr>
                <w:bCs/>
              </w:rPr>
            </w:pPr>
            <w:r>
              <w:rPr>
                <w:bCs/>
              </w:rPr>
              <w:t>Focus on reuse of existing PRS and SRS, with new reference signals only considered if found necessary</w:t>
            </w:r>
          </w:p>
          <w:p>
            <w:pPr>
              <w:spacing w:after="0" w:line="240" w:lineRule="auto"/>
              <w:rPr>
                <w:b/>
                <w:bCs/>
              </w:rPr>
            </w:pPr>
          </w:p>
        </w:tc>
      </w:tr>
    </w:tbl>
    <w:p>
      <w:pPr>
        <w:spacing w:after="0"/>
      </w:pPr>
    </w:p>
    <w:p>
      <w:r>
        <w:t>At RAN4 #104-e, the discussion for bandwidth aggregation on RF characteristics started [2] with following agreements</w:t>
      </w:r>
      <w:r>
        <w:rPr>
          <w:rFonts w:hint="eastAsia" w:eastAsia="宋体"/>
          <w:lang w:val="en-US" w:eastAsia="zh-CN"/>
        </w:rPr>
        <w:t xml:space="preserve"> </w:t>
      </w:r>
      <w:r>
        <w:t xml:space="preserve">in the WF [3].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spacing w:after="120" w:afterLines="50" w:line="240" w:lineRule="auto"/>
              <w:rPr>
                <w:b/>
                <w:lang w:eastAsia="zh-CN"/>
              </w:rPr>
            </w:pPr>
            <w:r>
              <w:rPr>
                <w:rFonts w:hint="eastAsia"/>
                <w:b/>
                <w:highlight w:val="green"/>
                <w:lang w:eastAsia="zh-CN"/>
              </w:rPr>
              <w:t>Agreement</w:t>
            </w:r>
            <w:r>
              <w:rPr>
                <w:b/>
                <w:highlight w:val="green"/>
                <w:lang w:eastAsia="zh-CN"/>
              </w:rPr>
              <w:t>s</w:t>
            </w:r>
            <w:r>
              <w:rPr>
                <w:rFonts w:hint="eastAsia"/>
                <w:b/>
                <w:lang w:eastAsia="zh-CN"/>
              </w:rPr>
              <w:t>:</w:t>
            </w:r>
          </w:p>
          <w:p>
            <w:pPr>
              <w:pStyle w:val="68"/>
              <w:numPr>
                <w:ilvl w:val="0"/>
                <w:numId w:val="4"/>
              </w:numPr>
              <w:spacing w:after="180" w:line="240" w:lineRule="auto"/>
              <w:contextualSpacing w:val="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Intra-band contiguous CA scenario will be prioritized in study.</w:t>
            </w:r>
          </w:p>
          <w:p>
            <w:pPr>
              <w:pStyle w:val="68"/>
              <w:numPr>
                <w:ilvl w:val="0"/>
                <w:numId w:val="4"/>
              </w:numPr>
              <w:spacing w:after="180" w:line="240" w:lineRule="auto"/>
              <w:contextualSpacing w:val="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Deprioritize power imbalance discussion</w:t>
            </w:r>
          </w:p>
          <w:p>
            <w:pPr>
              <w:pStyle w:val="68"/>
              <w:numPr>
                <w:ilvl w:val="0"/>
                <w:numId w:val="4"/>
              </w:numPr>
              <w:spacing w:after="180" w:line="240" w:lineRule="auto"/>
              <w:contextualSpacing w:val="0"/>
              <w:rPr>
                <w:lang w:eastAsia="zh-CN"/>
              </w:rPr>
            </w:pPr>
            <w:r>
              <w:rPr>
                <w:rFonts w:hint="eastAsia" w:ascii="Times New Roman" w:hAnsi="Times New Roman" w:eastAsia="宋体" w:cs="Times New Roman"/>
                <w:sz w:val="20"/>
                <w:szCs w:val="20"/>
                <w:lang w:val="en-US" w:eastAsia="zh-CN" w:bidi="ar-SA"/>
              </w:rPr>
              <w:t>PRS/SRS bandwidth aggregation for intra-band contiguous carrier is feasible for single chain Tx/Rx architectures</w:t>
            </w:r>
          </w:p>
        </w:tc>
      </w:tr>
    </w:tbl>
    <w:p>
      <w:pPr>
        <w:spacing w:after="0"/>
      </w:pPr>
    </w:p>
    <w:p>
      <w:pPr>
        <w:jc w:val="both"/>
      </w:pPr>
      <w:r>
        <w:rPr>
          <w:rFonts w:hint="eastAsia" w:eastAsia="宋体"/>
          <w:lang w:val="en-US" w:eastAsia="zh-CN"/>
        </w:rPr>
        <w:t xml:space="preserve">At RAN4 #104_bis_e, we discussed two main topics, including:PRS\SRS bandwidth aggregation for intra-band carriers and NR carrier phase measurements. We have discussed several issues in each topic and reached several agreements. </w:t>
      </w:r>
      <w:r>
        <w:t xml:space="preserve">According to time budget allocation for the SID [1], RAN4 </w:t>
      </w:r>
      <w:r>
        <w:rPr>
          <w:rFonts w:hint="eastAsia" w:eastAsia="宋体"/>
          <w:lang w:val="en-US" w:eastAsia="zh-CN"/>
        </w:rPr>
        <w:t>will continue to be</w:t>
      </w:r>
      <w:r>
        <w:t xml:space="preserve"> tasked to analyze RRM impacts for both NR accuracy improvements, which are discussed on high level in this contribution.</w:t>
      </w:r>
    </w:p>
    <w:p>
      <w:pPr>
        <w:pStyle w:val="72"/>
        <w:rPr>
          <w:lang w:val="en-US"/>
        </w:rPr>
      </w:pPr>
      <w:r>
        <w:rPr>
          <w:lang w:val="en-US"/>
        </w:rPr>
        <w:t>Discussion</w:t>
      </w:r>
    </w:p>
    <w:p>
      <w:pPr>
        <w:pStyle w:val="74"/>
      </w:pPr>
      <w:r>
        <w:t>PRS/SRS bandwidth aggregation</w:t>
      </w:r>
    </w:p>
    <w:p>
      <w:pPr>
        <w:rPr>
          <w:rFonts w:hint="eastAsia" w:eastAsia="宋体"/>
          <w:lang w:val="en-US" w:eastAsia="zh-CN"/>
        </w:rPr>
      </w:pPr>
      <w:r>
        <w:rPr>
          <w:rFonts w:hint="eastAsia" w:eastAsia="宋体"/>
          <w:lang w:val="en-US" w:eastAsia="zh-CN"/>
        </w:rPr>
        <w:t>At RAN4#104_bis_e, we have reached the agreements towards the PRS/SRS bandwidth aggregation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spacing w:after="120" w:afterLines="50" w:line="240" w:lineRule="auto"/>
              <w:rPr>
                <w:b/>
                <w:lang w:eastAsia="zh-CN"/>
              </w:rPr>
            </w:pPr>
            <w:r>
              <w:rPr>
                <w:b/>
                <w:highlight w:val="green"/>
                <w:lang w:eastAsia="zh-CN"/>
              </w:rPr>
              <w:t>Agreement</w:t>
            </w:r>
            <w:r>
              <w:rPr>
                <w:b/>
                <w:lang w:eastAsia="zh-CN"/>
              </w:rPr>
              <w:t>:</w:t>
            </w:r>
          </w:p>
          <w:p>
            <w:pPr>
              <w:pStyle w:val="68"/>
              <w:numPr>
                <w:ilvl w:val="0"/>
                <w:numId w:val="5"/>
              </w:numPr>
              <w:spacing w:after="180"/>
              <w:ind w:left="357" w:hanging="357"/>
              <w:contextualSpacing w:val="0"/>
              <w:rPr>
                <w:rFonts w:ascii="Times New Roman" w:hAnsi="Times New Roman"/>
                <w:bCs/>
                <w:sz w:val="20"/>
                <w:lang w:eastAsia="zh-CN"/>
              </w:rPr>
            </w:pPr>
            <w:r>
              <w:rPr>
                <w:rFonts w:ascii="Times New Roman" w:hAnsi="Times New Roman"/>
                <w:bCs/>
                <w:sz w:val="20"/>
                <w:lang w:eastAsia="zh-CN"/>
              </w:rPr>
              <w:t>For PRS bandwidth aggregation, a common numerology is required across all intra-band contiguous PFLs to be aggregated</w:t>
            </w:r>
            <w:r>
              <w:rPr>
                <w:rFonts w:hint="eastAsia" w:ascii="Times New Roman" w:hAnsi="Times New Roman"/>
                <w:bCs/>
                <w:sz w:val="20"/>
                <w:lang w:val="en-US" w:eastAsia="zh-CN"/>
              </w:rPr>
              <w:t>;</w:t>
            </w:r>
          </w:p>
          <w:p>
            <w:pPr>
              <w:pStyle w:val="68"/>
              <w:numPr>
                <w:ilvl w:val="0"/>
                <w:numId w:val="6"/>
              </w:numPr>
              <w:spacing w:after="180"/>
              <w:contextualSpacing w:val="0"/>
              <w:rPr>
                <w:rFonts w:ascii="Times New Roman" w:hAnsi="Times New Roman"/>
                <w:bCs/>
                <w:sz w:val="20"/>
                <w:lang w:eastAsia="zh-CN"/>
              </w:rPr>
            </w:pPr>
            <w:r>
              <w:rPr>
                <w:rFonts w:ascii="Times New Roman" w:hAnsi="Times New Roman"/>
                <w:bCs/>
                <w:sz w:val="20"/>
                <w:lang w:eastAsia="zh-CN"/>
              </w:rPr>
              <w:t>PRS resources to be aggregated for MC positioning measurements from different PFLs can have different bandwidths (i.e. different number of PRS RBs)</w:t>
            </w:r>
            <w:r>
              <w:rPr>
                <w:rFonts w:hint="eastAsia" w:ascii="Times New Roman" w:hAnsi="Times New Roman"/>
                <w:bCs/>
                <w:sz w:val="20"/>
                <w:lang w:val="en-US" w:eastAsia="zh-CN"/>
              </w:rPr>
              <w:t>;</w:t>
            </w:r>
          </w:p>
          <w:p>
            <w:pPr>
              <w:pStyle w:val="68"/>
              <w:numPr>
                <w:ilvl w:val="0"/>
                <w:numId w:val="5"/>
              </w:numPr>
              <w:spacing w:after="180"/>
              <w:ind w:left="357" w:hanging="357"/>
              <w:contextualSpacing w:val="0"/>
              <w:rPr>
                <w:lang w:eastAsia="zh-CN"/>
              </w:rPr>
            </w:pPr>
            <w:r>
              <w:rPr>
                <w:rFonts w:ascii="Times New Roman" w:hAnsi="Times New Roman"/>
                <w:bCs/>
                <w:sz w:val="20"/>
                <w:lang w:eastAsia="zh-CN"/>
              </w:rPr>
              <w:t>To study the RRM impact, prioritize the aggregation of PRS or SRS transmitted in the same slot and in the same symbols from the intra-band contiguous PFLs</w:t>
            </w:r>
            <w:r>
              <w:rPr>
                <w:rFonts w:hint="eastAsia" w:ascii="Times New Roman" w:hAnsi="Times New Roman"/>
                <w:bCs/>
                <w:sz w:val="20"/>
                <w:lang w:val="en-US" w:eastAsia="zh-CN"/>
              </w:rPr>
              <w:t>;</w:t>
            </w:r>
          </w:p>
          <w:p>
            <w:pPr>
              <w:pStyle w:val="68"/>
              <w:numPr>
                <w:ilvl w:val="0"/>
                <w:numId w:val="7"/>
              </w:numPr>
              <w:overflowPunct w:val="0"/>
              <w:autoSpaceDE w:val="0"/>
              <w:autoSpaceDN w:val="0"/>
              <w:adjustRightInd w:val="0"/>
              <w:spacing w:after="120"/>
              <w:ind w:left="363" w:hanging="357"/>
              <w:contextualSpacing w:val="0"/>
              <w:textAlignment w:val="baseline"/>
              <w:rPr>
                <w:rFonts w:ascii="Times New Roman" w:hAnsi="Times New Roman" w:eastAsiaTheme="minorEastAsia"/>
                <w:iCs/>
                <w:sz w:val="20"/>
                <w:lang w:eastAsia="zh-CN"/>
              </w:rPr>
            </w:pPr>
            <w:r>
              <w:rPr>
                <w:rFonts w:ascii="Times New Roman" w:hAnsi="Times New Roman" w:eastAsiaTheme="minorEastAsia"/>
                <w:iCs/>
                <w:sz w:val="20"/>
                <w:lang w:eastAsia="zh-CN"/>
              </w:rPr>
              <w:t>Number of intra-band contiguous PFLs for the aggregation of PRS or SRS is up to RF agreements</w:t>
            </w:r>
            <w:r>
              <w:rPr>
                <w:rFonts w:hint="eastAsia" w:ascii="Times New Roman" w:hAnsi="Times New Roman" w:eastAsiaTheme="minorEastAsia"/>
                <w:iCs/>
                <w:sz w:val="20"/>
                <w:lang w:val="en-US" w:eastAsia="zh-CN"/>
              </w:rPr>
              <w:t>;</w:t>
            </w:r>
          </w:p>
          <w:p>
            <w:pPr>
              <w:pStyle w:val="68"/>
              <w:numPr>
                <w:ilvl w:val="0"/>
                <w:numId w:val="7"/>
              </w:numPr>
              <w:overflowPunct w:val="0"/>
              <w:autoSpaceDE w:val="0"/>
              <w:autoSpaceDN w:val="0"/>
              <w:adjustRightInd w:val="0"/>
              <w:spacing w:after="120"/>
              <w:ind w:hanging="357"/>
              <w:contextualSpacing w:val="0"/>
              <w:textAlignment w:val="baseline"/>
              <w:rPr>
                <w:lang w:eastAsia="zh-CN"/>
              </w:rPr>
            </w:pPr>
            <w:r>
              <w:rPr>
                <w:rFonts w:ascii="Times New Roman" w:hAnsi="Times New Roman" w:eastAsiaTheme="minorEastAsia"/>
                <w:iCs/>
                <w:sz w:val="20"/>
                <w:lang w:eastAsia="zh-CN"/>
              </w:rPr>
              <w:t>To study the RRM impact, the number of PFLs is the same as the number of PFLs agreed in RF session</w:t>
            </w:r>
            <w:r>
              <w:rPr>
                <w:rFonts w:hint="eastAsia" w:ascii="Times New Roman" w:hAnsi="Times New Roman" w:eastAsiaTheme="minorEastAsia"/>
                <w:iCs/>
                <w:sz w:val="20"/>
                <w:lang w:val="en-US" w:eastAsia="zh-CN"/>
              </w:rPr>
              <w:t>.</w:t>
            </w:r>
          </w:p>
        </w:tc>
      </w:tr>
    </w:tbl>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eastAsia="宋体"/>
          <w:lang w:val="en-US" w:eastAsia="zh-CN"/>
        </w:rPr>
      </w:pP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eastAsia="宋体"/>
          <w:lang w:val="en-US" w:eastAsia="zh-CN"/>
        </w:rPr>
      </w:pPr>
      <w:r>
        <w:rPr>
          <w:rFonts w:hint="eastAsia" w:eastAsia="宋体"/>
          <w:lang w:val="en-US" w:eastAsia="zh-CN"/>
        </w:rPr>
        <w:t xml:space="preserve">According to the agreements in #104_bis_e, we deeply consider the relationship between the PRS/SRS bandwidth aggregation and the MC positioning enhancement. For this topic we discussed the conditions or assumptions for the PRS/SRS aggregation, i.e. PRS BW of carriers, numerology across carriers, proximity of carriers in frequency and time domains etc. </w:t>
      </w:r>
    </w:p>
    <w:p>
      <w:pPr>
        <w:jc w:val="both"/>
        <w:rPr>
          <w:rFonts w:hint="default" w:eastAsia="宋体"/>
          <w:lang w:val="en-US" w:eastAsia="zh-CN"/>
        </w:rPr>
      </w:pPr>
      <w:r>
        <w:rPr>
          <w:rFonts w:hint="eastAsia" w:eastAsia="宋体"/>
          <w:lang w:val="en-US" w:eastAsia="zh-CN"/>
        </w:rPr>
        <w:t>Firstly, we do the illustration on carrier aggregation (CA) as below:</w:t>
      </w:r>
    </w:p>
    <w:p>
      <w:pPr>
        <w:jc w:val="center"/>
        <w:rPr>
          <w:rFonts w:hint="default" w:eastAsia="宋体"/>
          <w:lang w:val="en-US" w:eastAsia="zh-CN"/>
        </w:rPr>
      </w:pPr>
      <w:r>
        <w:rPr>
          <w:rFonts w:hint="default" w:eastAsia="宋体"/>
          <w:lang w:val="en-US" w:eastAsia="zh-CN"/>
        </w:rPr>
        <w:drawing>
          <wp:inline distT="0" distB="0" distL="114300" distR="114300">
            <wp:extent cx="5270500" cy="2306320"/>
            <wp:effectExtent l="0" t="0" r="0" b="0"/>
            <wp:docPr id="3" name="图片 3" descr="C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A_3"/>
                    <pic:cNvPicPr>
                      <a:picLocks noChangeAspect="1"/>
                    </pic:cNvPicPr>
                  </pic:nvPicPr>
                  <pic:blipFill>
                    <a:blip r:embed="rId6"/>
                    <a:stretch>
                      <a:fillRect/>
                    </a:stretch>
                  </pic:blipFill>
                  <pic:spPr>
                    <a:xfrm>
                      <a:off x="0" y="0"/>
                      <a:ext cx="5270500" cy="2306320"/>
                    </a:xfrm>
                    <a:prstGeom prst="rect">
                      <a:avLst/>
                    </a:prstGeom>
                  </pic:spPr>
                </pic:pic>
              </a:graphicData>
            </a:graphic>
          </wp:inline>
        </w:drawing>
      </w:r>
    </w:p>
    <w:p>
      <w:pPr>
        <w:jc w:val="center"/>
        <w:rPr>
          <w:rFonts w:hint="eastAsia" w:eastAsia="宋体"/>
          <w:lang w:val="en-US" w:eastAsia="zh-CN"/>
        </w:rPr>
      </w:pPr>
      <w:r>
        <w:rPr>
          <w:rFonts w:hint="eastAsia" w:eastAsia="宋体"/>
          <w:lang w:val="en-US" w:eastAsia="zh-CN"/>
        </w:rPr>
        <w:t>Figure 1  PRS bandwidth aggregation</w:t>
      </w:r>
    </w:p>
    <w:p>
      <w:pPr>
        <w:jc w:val="center"/>
        <w:rPr>
          <w:rFonts w:hint="default" w:eastAsia="宋体"/>
          <w:lang w:val="en-US" w:eastAsia="zh-CN"/>
        </w:rPr>
      </w:pPr>
    </w:p>
    <w:p>
      <w:pPr>
        <w:jc w:val="both"/>
        <w:rPr>
          <w:rFonts w:hint="default" w:eastAsia="宋体"/>
          <w:lang w:val="en-US" w:eastAsia="zh-CN"/>
        </w:rPr>
      </w:pPr>
      <w:r>
        <w:rPr>
          <w:rFonts w:hint="eastAsia" w:eastAsia="宋体"/>
          <w:lang w:val="en-US" w:eastAsia="zh-CN"/>
        </w:rPr>
        <w:t xml:space="preserve">As shown in figure1, i.e. we have three component carriers (CCs), the CC1 is 5M and the rest of CCs are 10M. For multi-carrier positioning measurement, we aggregate three CCs into </w:t>
      </w:r>
      <w:r>
        <w:rPr>
          <w:rFonts w:hint="default" w:eastAsia="宋体"/>
          <w:lang w:val="en-US" w:eastAsia="zh-CN"/>
        </w:rPr>
        <w:t>“</w:t>
      </w:r>
      <w:r>
        <w:rPr>
          <w:rFonts w:hint="eastAsia" w:eastAsia="宋体"/>
          <w:lang w:val="en-US" w:eastAsia="zh-CN"/>
        </w:rPr>
        <w:t>one</w:t>
      </w:r>
      <w:r>
        <w:rPr>
          <w:rFonts w:hint="default" w:eastAsia="宋体"/>
          <w:lang w:val="en-US" w:eastAsia="zh-CN"/>
        </w:rPr>
        <w:t>”</w:t>
      </w:r>
      <w:r>
        <w:rPr>
          <w:rFonts w:hint="eastAsia" w:eastAsia="宋体"/>
          <w:lang w:val="en-US" w:eastAsia="zh-CN"/>
        </w:rPr>
        <w:t xml:space="preserve"> carrier, it equals the transmitted channel is 25M. And then we have the wider transmitted channel to transmit the signals  simultaneously.</w:t>
      </w:r>
    </w:p>
    <w:p>
      <w:pPr>
        <w:jc w:val="both"/>
        <w:rPr>
          <w:rFonts w:hint="eastAsia" w:eastAsia="宋体"/>
          <w:lang w:val="en-US" w:eastAsia="zh-CN"/>
        </w:rPr>
      </w:pPr>
      <w:r>
        <w:rPr>
          <w:rFonts w:hint="eastAsia" w:eastAsia="宋体"/>
          <w:lang w:val="en-US" w:eastAsia="zh-CN"/>
        </w:rPr>
        <w:t>RAN4 has agreed to prioritize the intra-band contiguous CA scenario, we have two choices[5] :</w:t>
      </w:r>
    </w:p>
    <w:p>
      <w:pPr>
        <w:numPr>
          <w:ilvl w:val="0"/>
          <w:numId w:val="8"/>
        </w:numPr>
        <w:ind w:left="420" w:leftChars="0" w:hanging="420" w:firstLineChars="0"/>
        <w:jc w:val="both"/>
        <w:rPr>
          <w:rFonts w:hint="default" w:eastAsia="宋体"/>
          <w:lang w:val="en-US" w:eastAsia="zh-CN"/>
        </w:rPr>
      </w:pPr>
      <w:r>
        <w:rPr>
          <w:rFonts w:hint="eastAsia" w:eastAsia="宋体"/>
          <w:lang w:val="en-US" w:eastAsia="zh-CN"/>
        </w:rPr>
        <w:t>Intra-band contiguous CA with simultaneous PRS/SRS transmission;</w:t>
      </w:r>
    </w:p>
    <w:p>
      <w:pPr>
        <w:numPr>
          <w:ilvl w:val="0"/>
          <w:numId w:val="8"/>
        </w:numPr>
        <w:ind w:left="420" w:leftChars="0" w:hanging="420" w:firstLineChars="0"/>
        <w:jc w:val="both"/>
        <w:rPr>
          <w:rFonts w:hint="default" w:eastAsia="宋体"/>
          <w:lang w:val="en-US" w:eastAsia="zh-CN"/>
        </w:rPr>
      </w:pPr>
      <w:r>
        <w:rPr>
          <w:rFonts w:hint="eastAsia" w:eastAsia="宋体"/>
          <w:lang w:val="en-US" w:eastAsia="zh-CN"/>
        </w:rPr>
        <w:t>Intra-band contiguous CA with separate PRS/SRS transmission.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lang w:val="en-US" w:eastAsia="zh-CN"/>
        </w:rPr>
      </w:pPr>
      <w:r>
        <w:rPr>
          <w:rFonts w:hint="eastAsia" w:eastAsia="宋体"/>
          <w:lang w:val="en-US" w:eastAsia="zh-CN"/>
        </w:rPr>
        <w:t xml:space="preserve">In the last meeting, we prefer the first choice, i.e. </w:t>
      </w:r>
      <w:r>
        <w:rPr>
          <w:lang w:val="en-GB"/>
        </w:rPr>
        <w:t>multiple PRS/SRS resources in different CCs are transmitted on the same symbols in the same slot. This is advantageous from delay and processing gain perspective</w:t>
      </w:r>
      <w:r>
        <w:rPr>
          <w:rFonts w:hint="eastAsia" w:eastAsia="宋体"/>
          <w:lang w:val="en-US" w:eastAsia="zh-CN"/>
        </w:rPr>
        <w:t xml:space="preserve">. For PRS transmission, the PRS BW can be different, that is, the aggregated PFLs/carriers will have same numerology, so the different BW can only be due to different RB numbers. For PRS CA, although RF session confirmed its feasibility with single chain architecture, but the timing error requirements are not determined. Based on these, we deem that the time difference between PRS/SRS CCs is vital for RAN4 to study.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b/>
          <w:bCs/>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b/>
          <w:bCs/>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b/>
          <w:bCs/>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b/>
          <w:bCs/>
          <w:lang w:val="en-US" w:eastAsia="zh-CN"/>
        </w:rPr>
      </w:pPr>
      <w:r>
        <w:rPr>
          <w:rFonts w:hint="eastAsia" w:eastAsia="宋体"/>
          <w:b/>
          <w:bCs/>
          <w:lang w:val="en-US" w:eastAsia="zh-CN"/>
        </w:rPr>
        <w:t>CP Length for Different Subcarriers</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default" w:eastAsia="宋体"/>
          <w:lang w:val="en-US" w:eastAsia="zh-CN"/>
        </w:rPr>
      </w:pPr>
      <w:r>
        <w:rPr>
          <w:rFonts w:hint="default" w:eastAsia="宋体"/>
          <w:lang w:val="en-US" w:eastAsia="zh-CN"/>
        </w:rPr>
        <w:t>Below is the summary of Cyclic Prefix duration. Each numerology has 2 long symbols per 1 ms subframe. These longer symbols are generated by increasing the duration of the normal cyclic prefix, to ensure that each numerology has an integer number of symbols within each 0.5 ms time window, while also ensuring that as many symbol boundaries as possible coincide, e.g. every symbol boundary belonging to the 15 kHz subcarrier spacing coincides with every second symbol boundary belonging to the 30 kHz subcarrier spacing.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eastAsia="宋体"/>
          <w:lang w:val="en-US" w:eastAsia="zh-CN"/>
        </w:rPr>
      </w:pPr>
      <w:r>
        <w:rPr>
          <w:rFonts w:hint="default" w:eastAsia="宋体"/>
          <w:lang w:val="en-US" w:eastAsia="zh-CN"/>
        </w:rPr>
        <w:drawing>
          <wp:inline distT="0" distB="0" distL="114300" distR="114300">
            <wp:extent cx="4813300" cy="1901190"/>
            <wp:effectExtent l="0" t="0" r="2540" b="3810"/>
            <wp:docPr id="4" name="图片 4" descr="length_CP_S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ength_CP_SCS"/>
                    <pic:cNvPicPr>
                      <a:picLocks noChangeAspect="1"/>
                    </pic:cNvPicPr>
                  </pic:nvPicPr>
                  <pic:blipFill>
                    <a:blip r:embed="rId7"/>
                    <a:stretch>
                      <a:fillRect/>
                    </a:stretch>
                  </pic:blipFill>
                  <pic:spPr>
                    <a:xfrm>
                      <a:off x="0" y="0"/>
                      <a:ext cx="4813300" cy="190119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eastAsia" w:eastAsia="宋体"/>
          <w:lang w:val="en-US" w:eastAsia="zh-CN"/>
        </w:rPr>
      </w:pPr>
      <w:r>
        <w:rPr>
          <w:rFonts w:hint="eastAsia" w:eastAsia="宋体"/>
          <w:lang w:val="en-US" w:eastAsia="zh-CN"/>
        </w:rPr>
        <w:t xml:space="preserve">Figure 2  </w:t>
      </w:r>
      <w:r>
        <w:rPr>
          <w:rFonts w:hint="default" w:eastAsia="宋体"/>
          <w:lang w:val="en-US" w:eastAsia="zh-CN"/>
        </w:rPr>
        <w:t>Cyclic Prefix duration</w:t>
      </w:r>
      <w:r>
        <w:rPr>
          <w:rFonts w:hint="eastAsia" w:eastAsia="宋体"/>
          <w:lang w:val="en-US" w:eastAsia="zh-CN"/>
        </w:rPr>
        <w:t xml:space="preserve"> from different SCS</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b/>
          <w:bCs/>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b/>
          <w:bCs/>
          <w:lang w:val="en-US" w:eastAsia="zh-CN"/>
        </w:rPr>
      </w:pPr>
      <w:r>
        <w:rPr>
          <w:rFonts w:hint="eastAsia" w:eastAsia="宋体"/>
          <w:b/>
          <w:bCs/>
          <w:lang w:val="en-US" w:eastAsia="zh-CN"/>
        </w:rPr>
        <w:t>Maximum Receive Timing Difference (MRTD)</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lang w:val="en-US" w:eastAsia="zh-CN"/>
        </w:rPr>
      </w:pPr>
      <w:r>
        <w:rPr>
          <w:rFonts w:hint="eastAsia" w:eastAsia="宋体"/>
          <w:lang w:val="en-US" w:eastAsia="zh-CN"/>
        </w:rPr>
        <w:t xml:space="preserve">If we study the time difference between the PRS/SRS CCs, what the key principle we should obey is the time difference between the PRS/SRS CCs should be smaller than the length of cyclic prefix (CP) based on the intra-band contigous NR CA scenario. Generally, we have a criteria to evaluate the time difference between the PRS/SRS CCs, that is, receive time difference from different CCs, it's Maximum Receive Timing Difference (MRTD). There are two aspects to influence the MRTD: </w:t>
      </w:r>
    </w:p>
    <w:p>
      <w:pPr>
        <w:keepNext w:val="0"/>
        <w:keepLines w:val="0"/>
        <w:pageBreakBefore w:val="0"/>
        <w:widowControl/>
        <w:numPr>
          <w:ilvl w:val="0"/>
          <w:numId w:val="9"/>
        </w:numPr>
        <w:kinsoku/>
        <w:wordWrap/>
        <w:overflowPunct/>
        <w:topLinePunct w:val="0"/>
        <w:autoSpaceDE/>
        <w:autoSpaceDN/>
        <w:bidi w:val="0"/>
        <w:adjustRightInd/>
        <w:snapToGrid/>
        <w:spacing w:line="240" w:lineRule="auto"/>
        <w:ind w:left="420" w:leftChars="0" w:hanging="420" w:firstLineChars="0"/>
        <w:jc w:val="both"/>
        <w:textAlignment w:val="auto"/>
        <w:rPr>
          <w:rFonts w:hint="eastAsia" w:eastAsia="宋体"/>
          <w:lang w:val="en-US" w:eastAsia="zh-CN"/>
        </w:rPr>
      </w:pPr>
      <w:r>
        <w:rPr>
          <w:rFonts w:hint="eastAsia" w:eastAsia="宋体"/>
          <w:lang w:val="en-US" w:eastAsia="zh-CN"/>
        </w:rPr>
        <w:t>NR Base station transmits signal from two or more antennas. For carrier aggregation, the carriers may also be transmitted from different antennas. For mobile device to properly receive and decode the signals from multiple antennas, it is required the signal frames must aligned in time with the defined range.</w:t>
      </w:r>
    </w:p>
    <w:p>
      <w:pPr>
        <w:keepNext w:val="0"/>
        <w:keepLines w:val="0"/>
        <w:pageBreakBefore w:val="0"/>
        <w:widowControl/>
        <w:numPr>
          <w:ilvl w:val="0"/>
          <w:numId w:val="9"/>
        </w:numPr>
        <w:kinsoku/>
        <w:wordWrap/>
        <w:overflowPunct/>
        <w:topLinePunct w:val="0"/>
        <w:autoSpaceDE/>
        <w:autoSpaceDN/>
        <w:bidi w:val="0"/>
        <w:adjustRightInd/>
        <w:snapToGrid/>
        <w:spacing w:line="240" w:lineRule="auto"/>
        <w:ind w:left="420" w:leftChars="0" w:hanging="420" w:firstLineChars="0"/>
        <w:jc w:val="both"/>
        <w:textAlignment w:val="auto"/>
        <w:rPr>
          <w:rFonts w:hint="eastAsia" w:eastAsia="宋体"/>
          <w:lang w:val="en-US" w:eastAsia="zh-CN"/>
        </w:rPr>
      </w:pPr>
      <w:r>
        <w:rPr>
          <w:rFonts w:hint="eastAsia" w:eastAsia="宋体"/>
          <w:lang w:val="en-US" w:eastAsia="zh-CN"/>
        </w:rPr>
        <w:t xml:space="preserve">Co-located TRPs or none co-located TRPs. None co-location causes the receive time differences for UE. And in the last meeting, we have agreed that </w:t>
      </w:r>
      <w:r>
        <w:rPr>
          <w:rFonts w:eastAsia="等线"/>
          <w:iCs/>
          <w:lang w:val="en-US" w:eastAsia="zh-CN"/>
        </w:rPr>
        <w:t>PRS resources in different PFLs</w:t>
      </w:r>
      <w:r>
        <w:rPr>
          <w:rFonts w:hint="eastAsia" w:eastAsia="等线"/>
          <w:iCs/>
          <w:lang w:val="en-US" w:eastAsia="zh-CN"/>
        </w:rPr>
        <w:t>/carriers</w:t>
      </w:r>
      <w:r>
        <w:rPr>
          <w:rFonts w:eastAsia="等线"/>
          <w:iCs/>
          <w:lang w:val="en-US" w:eastAsia="zh-CN"/>
        </w:rPr>
        <w:t xml:space="preserve"> to be aggregated for MC positioning measurements, shall be transmitted by the same TRP </w:t>
      </w:r>
      <w:r>
        <w:rPr>
          <w:rFonts w:hint="eastAsia" w:eastAsia="等线"/>
          <w:iCs/>
          <w:lang w:val="en-US" w:eastAsia="zh-CN"/>
        </w:rPr>
        <w:t>or co-located TRPs. So we can ignore the influence of none co-located TRPs.</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cs="v4.2.0"/>
          <w:highlight w:val="yellow"/>
          <w:lang w:val="en-US" w:eastAsia="zh-CN"/>
        </w:rPr>
      </w:pPr>
      <w:r>
        <w:rPr>
          <w:rFonts w:cs="v4.2.0"/>
          <w:highlight w:val="yellow"/>
        </w:rPr>
        <w:t xml:space="preserve">For intra-band </w:t>
      </w:r>
      <w:r>
        <w:rPr>
          <w:rFonts w:eastAsia="Malgun Gothic" w:cs="v4.2.0"/>
          <w:highlight w:val="yellow"/>
          <w:lang w:eastAsia="zh-CN"/>
        </w:rPr>
        <w:t>CA</w:t>
      </w:r>
      <w:r>
        <w:rPr>
          <w:rFonts w:cs="v4.2.0"/>
          <w:highlight w:val="yellow"/>
        </w:rPr>
        <w:t>, only</w:t>
      </w:r>
      <w:r>
        <w:rPr>
          <w:rFonts w:cs="v4.2.0"/>
          <w:highlight w:val="yellow"/>
          <w:lang w:eastAsia="zh-CN"/>
        </w:rPr>
        <w:t xml:space="preserve"> </w:t>
      </w:r>
      <w:r>
        <w:rPr>
          <w:rFonts w:cs="v4.2.0"/>
          <w:highlight w:val="yellow"/>
        </w:rPr>
        <w:t xml:space="preserve">co-located deployment is </w:t>
      </w:r>
      <w:r>
        <w:rPr>
          <w:rFonts w:cs="v4.2.0"/>
          <w:highlight w:val="yellow"/>
          <w:lang w:eastAsia="zh-CN"/>
        </w:rPr>
        <w:t>applied.</w:t>
      </w:r>
      <w:r>
        <w:rPr>
          <w:rFonts w:eastAsia="Malgun Gothic" w:cs="v4.2.0"/>
          <w:highlight w:val="yellow"/>
          <w:lang w:eastAsia="zh-CN"/>
        </w:rPr>
        <w:t xml:space="preserve"> </w:t>
      </w:r>
      <w:r>
        <w:rPr>
          <w:rFonts w:cs="v4.2.0"/>
          <w:highlight w:val="yellow"/>
        </w:rPr>
        <w:t>For intra-band non-contiguous NR carrier aggregation, the UE shall be capable of handling at least a relative receive timing difference between slot timing of different carriers to be aggregated at the UE receiver as shown</w:t>
      </w:r>
      <w:r>
        <w:rPr>
          <w:rFonts w:hint="eastAsia" w:eastAsia="宋体" w:cs="v4.2.0"/>
          <w:highlight w:val="yellow"/>
          <w:lang w:val="en-US"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4"/>
        <w:gridCol w:w="3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904" w:type="dxa"/>
            <w:shd w:val="clear" w:color="auto" w:fill="auto"/>
          </w:tcPr>
          <w:p>
            <w:pPr>
              <w:pStyle w:val="40"/>
            </w:pPr>
            <w:r>
              <w:t>Frequency Range</w:t>
            </w:r>
          </w:p>
        </w:tc>
        <w:tc>
          <w:tcPr>
            <w:tcW w:w="3875" w:type="dxa"/>
            <w:shd w:val="clear" w:color="auto" w:fill="auto"/>
          </w:tcPr>
          <w:p>
            <w:pPr>
              <w:pStyle w:val="40"/>
            </w:pPr>
            <w:r>
              <w:t xml:space="preserve">Maximum receive timing difference (µs)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2904" w:type="dxa"/>
            <w:shd w:val="clear" w:color="auto" w:fill="auto"/>
          </w:tcPr>
          <w:p>
            <w:pPr>
              <w:pStyle w:val="41"/>
            </w:pPr>
            <w:r>
              <w:t>FR1</w:t>
            </w:r>
          </w:p>
        </w:tc>
        <w:tc>
          <w:tcPr>
            <w:tcW w:w="3875" w:type="dxa"/>
            <w:shd w:val="clear" w:color="auto" w:fill="auto"/>
          </w:tcPr>
          <w:p>
            <w:pPr>
              <w:pStyle w:val="41"/>
            </w:pPr>
            <w:r>
              <w:t>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2904" w:type="dxa"/>
            <w:shd w:val="clear" w:color="auto" w:fill="auto"/>
          </w:tcPr>
          <w:p>
            <w:pPr>
              <w:pStyle w:val="41"/>
            </w:pPr>
            <w:r>
              <w:rPr>
                <w:rFonts w:eastAsiaTheme="minorEastAsia"/>
              </w:rPr>
              <w:t>FR2-1</w:t>
            </w:r>
          </w:p>
        </w:tc>
        <w:tc>
          <w:tcPr>
            <w:tcW w:w="3875" w:type="dxa"/>
            <w:shd w:val="clear" w:color="auto" w:fill="auto"/>
          </w:tcPr>
          <w:p>
            <w:pPr>
              <w:pStyle w:val="41"/>
            </w:pPr>
            <w:r>
              <w:rPr>
                <w:rFonts w:eastAsiaTheme="minorEastAsia"/>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jc w:val="center"/>
        </w:trPr>
        <w:tc>
          <w:tcPr>
            <w:tcW w:w="6779" w:type="dxa"/>
            <w:gridSpan w:val="2"/>
            <w:shd w:val="clear" w:color="auto" w:fill="auto"/>
          </w:tcPr>
          <w:p>
            <w:pPr>
              <w:pStyle w:val="54"/>
            </w:pPr>
            <w:r>
              <w:rPr>
                <w:rFonts w:hint="eastAsia" w:eastAsia="Yu Mincho"/>
                <w:lang w:eastAsia="ja-JP"/>
              </w:rPr>
              <w:t>N</w:t>
            </w:r>
            <w:r>
              <w:rPr>
                <w:rFonts w:eastAsia="Yu Mincho"/>
                <w:lang w:eastAsia="ja-JP"/>
              </w:rPr>
              <w:t>ote 1:</w:t>
            </w:r>
            <w:r>
              <w:tab/>
            </w:r>
            <w:r>
              <w:rPr>
                <w:lang w:val="en-US" w:eastAsia="ja-JP"/>
              </w:rPr>
              <w:t>In the case of different SCS on different CCs, if the receive time difference exceeds the cyclic prefix length of that SCS, demodulation performance degradation is expected for the first symbol of the slot.</w:t>
            </w:r>
          </w:p>
        </w:tc>
      </w:tr>
    </w:tbl>
    <w:p>
      <w:pPr>
        <w:pStyle w:val="49"/>
        <w:jc w:val="center"/>
        <w:rPr>
          <w:rFonts w:hint="eastAsia" w:ascii="Times New Roman" w:hAnsi="Times New Roman" w:eastAsia="宋体" w:cstheme="minorBidi"/>
          <w:b w:val="0"/>
          <w:sz w:val="20"/>
          <w:szCs w:val="22"/>
          <w:lang w:val="en-US" w:eastAsia="ko-KR" w:bidi="ar-SA"/>
        </w:rPr>
      </w:pPr>
      <w:r>
        <w:rPr>
          <w:rFonts w:hint="eastAsia" w:ascii="Times New Roman" w:hAnsi="Times New Roman" w:eastAsia="宋体" w:cstheme="minorBidi"/>
          <w:b w:val="0"/>
          <w:sz w:val="20"/>
          <w:szCs w:val="22"/>
          <w:lang w:val="en-US" w:eastAsia="zh-CN" w:bidi="ar-SA"/>
        </w:rPr>
        <w:t>Figure 3  Maximum receive timing difference requirement for intra-band non-contiguous NR carrier aggregation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hAnsi="Cambria Math" w:eastAsia="宋体" w:cs="v4.2.0"/>
          <w:i w:val="0"/>
          <w:lang w:val="en-US" w:eastAsia="zh-CN"/>
        </w:rPr>
      </w:pPr>
      <w:r>
        <w:rPr>
          <w:rFonts w:hint="eastAsia" w:eastAsia="宋体" w:cs="v4.2.0"/>
          <w:lang w:val="en-US" w:eastAsia="zh-CN"/>
        </w:rPr>
        <w:t>For intra-band non-contiguous CA, the MRTD is 3</w:t>
      </w:r>
      <m:oMath>
        <m:r>
          <m:rPr>
            <m:sty m:val="p"/>
          </m:rPr>
          <w:rPr>
            <w:rFonts w:ascii="Cambria Math" w:hAnsi="Cambria Math" w:cs="v4.2.0"/>
            <w:lang w:val="en-US"/>
          </w:rPr>
          <m:t>μ</m:t>
        </m:r>
        <m:r>
          <m:rPr>
            <m:sty m:val="p"/>
          </m:rPr>
          <w:rPr>
            <w:rFonts w:hint="default" w:ascii="Cambria Math" w:hAnsi="Cambria Math" w:eastAsia="宋体" w:cs="v4.2.0"/>
            <w:lang w:val="en-US" w:eastAsia="zh-CN"/>
          </w:rPr>
          <m:t>s</m:t>
        </m:r>
      </m:oMath>
      <w:r>
        <w:rPr>
          <w:rFonts w:hint="eastAsia" w:hAnsi="Cambria Math" w:eastAsia="宋体" w:cs="v4.2.0"/>
          <w:i w:val="0"/>
          <w:lang w:val="en-US" w:eastAsia="zh-CN"/>
        </w:rPr>
        <w:t xml:space="preserve"> in FR1(SCS=15KHz / 30KHz).</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hAnsi="Cambria Math" w:eastAsia="宋体" w:cs="v4.2.0"/>
          <w:i w:val="0"/>
          <w:lang w:val="en-US" w:eastAsia="zh-CN"/>
        </w:rPr>
      </w:pPr>
    </w:p>
    <w:tbl>
      <w:tblPr>
        <w:tblStyle w:val="25"/>
        <w:tblW w:w="7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2"/>
        <w:gridCol w:w="4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3042" w:type="dxa"/>
            <w:shd w:val="clear" w:color="auto" w:fill="auto"/>
          </w:tcPr>
          <w:p>
            <w:pPr>
              <w:pStyle w:val="40"/>
            </w:pPr>
            <w:r>
              <w:t>Frequency Range of the pair of carriers</w:t>
            </w:r>
          </w:p>
        </w:tc>
        <w:tc>
          <w:tcPr>
            <w:tcW w:w="4057" w:type="dxa"/>
            <w:shd w:val="clear" w:color="auto" w:fill="auto"/>
          </w:tcPr>
          <w:p>
            <w:pPr>
              <w:pStyle w:val="40"/>
            </w:pPr>
            <w:r>
              <w:t xml:space="preserve">Maximum receive timing difference (µs)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42" w:type="dxa"/>
            <w:shd w:val="clear" w:color="auto" w:fill="auto"/>
          </w:tcPr>
          <w:p>
            <w:pPr>
              <w:pStyle w:val="41"/>
            </w:pPr>
            <w:r>
              <w:t>FR1</w:t>
            </w:r>
          </w:p>
        </w:tc>
        <w:tc>
          <w:tcPr>
            <w:tcW w:w="4057" w:type="dxa"/>
            <w:shd w:val="clear" w:color="auto" w:fill="auto"/>
          </w:tcPr>
          <w:p>
            <w:pPr>
              <w:pStyle w:val="41"/>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42" w:type="dxa"/>
            <w:shd w:val="clear" w:color="auto" w:fill="auto"/>
          </w:tcPr>
          <w:p>
            <w:pPr>
              <w:pStyle w:val="41"/>
            </w:pPr>
            <w:r>
              <w:rPr>
                <w:rFonts w:eastAsiaTheme="minorEastAsia"/>
              </w:rPr>
              <w:t>FR2-1</w:t>
            </w:r>
          </w:p>
        </w:tc>
        <w:tc>
          <w:tcPr>
            <w:tcW w:w="4057" w:type="dxa"/>
            <w:shd w:val="clear" w:color="auto" w:fill="auto"/>
          </w:tcPr>
          <w:p>
            <w:pPr>
              <w:pStyle w:val="41"/>
            </w:pPr>
            <w:r>
              <w:rPr>
                <w:rFonts w:eastAsiaTheme="minorEastAsia"/>
              </w:rPr>
              <w:t>8</w:t>
            </w:r>
            <w:r>
              <w:rPr>
                <w:rFonts w:eastAsiaTheme="minorEastAsia"/>
                <w:vertAlign w:val="superscript"/>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042" w:type="dxa"/>
            <w:shd w:val="clear" w:color="auto" w:fill="auto"/>
          </w:tcPr>
          <w:p>
            <w:pPr>
              <w:pStyle w:val="41"/>
            </w:pPr>
            <w:r>
              <w:rPr>
                <w:rFonts w:eastAsiaTheme="minorEastAsia"/>
              </w:rPr>
              <w:t>Between FR1 and FR2-1</w:t>
            </w:r>
          </w:p>
        </w:tc>
        <w:tc>
          <w:tcPr>
            <w:tcW w:w="4057" w:type="dxa"/>
            <w:shd w:val="clear" w:color="auto" w:fill="auto"/>
          </w:tcPr>
          <w:p>
            <w:pPr>
              <w:pStyle w:val="41"/>
            </w:pPr>
            <w:r>
              <w:rPr>
                <w:rFonts w:eastAsiaTheme="minorEastAsia"/>
                <w:lang w:eastAsia="zh-CN"/>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042" w:type="dxa"/>
            <w:shd w:val="clear" w:color="auto" w:fill="auto"/>
          </w:tcPr>
          <w:p>
            <w:pPr>
              <w:pStyle w:val="41"/>
            </w:pPr>
            <w:r>
              <w:rPr>
                <w:rFonts w:eastAsiaTheme="minorEastAsia"/>
              </w:rPr>
              <w:t>Between FR1 and FR2-2</w:t>
            </w:r>
          </w:p>
        </w:tc>
        <w:tc>
          <w:tcPr>
            <w:tcW w:w="4057" w:type="dxa"/>
            <w:shd w:val="clear" w:color="auto" w:fill="auto"/>
          </w:tcPr>
          <w:p>
            <w:pPr>
              <w:pStyle w:val="41"/>
              <w:rPr>
                <w:lang w:eastAsia="zh-CN"/>
              </w:rPr>
            </w:pPr>
            <w:r>
              <w:rPr>
                <w:rFonts w:eastAsiaTheme="minorEastAsia"/>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099" w:type="dxa"/>
            <w:gridSpan w:val="2"/>
            <w:shd w:val="clear" w:color="auto" w:fill="auto"/>
          </w:tcPr>
          <w:p>
            <w:pPr>
              <w:pStyle w:val="54"/>
              <w:rPr>
                <w:lang w:eastAsia="zh-CN"/>
              </w:rPr>
            </w:pPr>
            <w:r>
              <w:rPr>
                <w:rFonts w:eastAsiaTheme="minorEastAsia"/>
                <w:lang w:eastAsia="zh-CN"/>
              </w:rPr>
              <w:t>Note1:</w:t>
            </w:r>
            <w:r>
              <w:rPr>
                <w:rFonts w:eastAsiaTheme="minorEastAsia"/>
              </w:rPr>
              <w:tab/>
            </w:r>
            <w:r>
              <w:rPr>
                <w:rFonts w:eastAsia="Yu Mincho"/>
                <w:lang w:eastAsia="ja-JP"/>
              </w:rPr>
              <w:t xml:space="preserve">This requirement </w:t>
            </w:r>
            <w:r>
              <w:rPr>
                <w:rFonts w:eastAsiaTheme="minorEastAsia"/>
              </w:rPr>
              <w:t>applies to the UE capable of independent beam management for FR2-1 inter-band CA</w:t>
            </w:r>
            <w:r>
              <w:rPr>
                <w:rFonts w:eastAsiaTheme="minorEastAsia"/>
                <w:lang w:eastAsia="zh-CN"/>
              </w:rPr>
              <w:t>.</w:t>
            </w:r>
          </w:p>
        </w:tc>
      </w:tr>
    </w:tbl>
    <w:p>
      <w:pPr>
        <w:pStyle w:val="49"/>
        <w:jc w:val="center"/>
        <w:rPr>
          <w:rFonts w:hint="eastAsia" w:ascii="Times New Roman" w:hAnsi="Times New Roman" w:eastAsia="宋体" w:cstheme="minorBidi"/>
          <w:b w:val="0"/>
          <w:sz w:val="20"/>
          <w:szCs w:val="22"/>
          <w:lang w:val="en-US" w:eastAsia="ko-KR" w:bidi="ar-SA"/>
        </w:rPr>
      </w:pPr>
      <w:r>
        <w:rPr>
          <w:rFonts w:hint="eastAsia" w:ascii="Times New Roman" w:hAnsi="Times New Roman" w:eastAsia="宋体" w:cstheme="minorBidi"/>
          <w:b w:val="0"/>
          <w:sz w:val="20"/>
          <w:szCs w:val="22"/>
          <w:lang w:val="en-US" w:eastAsia="zh-CN" w:bidi="ar-SA"/>
        </w:rPr>
        <w:t>Figure 4  Maximum receive timing difference requirement for inter-band NR carrier aggregation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default" w:hAnsi="Cambria Math" w:eastAsia="宋体" w:cs="v4.2.0"/>
          <w:i w:val="0"/>
          <w:lang w:val="en-US" w:eastAsia="zh-CN"/>
        </w:rPr>
      </w:pPr>
      <w:r>
        <w:rPr>
          <w:rFonts w:hint="eastAsia" w:hAnsi="Cambria Math" w:eastAsia="宋体" w:cs="v4.2.0"/>
          <w:i w:val="0"/>
          <w:lang w:val="en-US" w:eastAsia="zh-CN"/>
        </w:rPr>
        <w:t>For inter-band NR CA, the MRTD is 33</w:t>
      </w:r>
      <m:oMath>
        <m:r>
          <m:rPr>
            <m:sty m:val="p"/>
          </m:rPr>
          <w:rPr>
            <w:rFonts w:ascii="Cambria Math" w:hAnsi="Cambria Math" w:cs="v4.2.0"/>
            <w:lang w:val="en-US"/>
          </w:rPr>
          <m:t>μ</m:t>
        </m:r>
        <m:r>
          <m:rPr>
            <m:sty m:val="p"/>
          </m:rPr>
          <w:rPr>
            <w:rFonts w:hint="default" w:ascii="Cambria Math" w:hAnsi="Cambria Math" w:eastAsia="宋体" w:cs="v4.2.0"/>
            <w:lang w:val="en-US" w:eastAsia="zh-CN"/>
          </w:rPr>
          <m:t>s</m:t>
        </m:r>
      </m:oMath>
      <w:r>
        <w:rPr>
          <w:rFonts w:hint="eastAsia" w:hAnsi="Cambria Math" w:eastAsia="宋体" w:cs="v4.2.0"/>
          <w:i w:val="0"/>
          <w:lang w:val="en-US" w:eastAsia="zh-CN"/>
        </w:rPr>
        <w:t xml:space="preserve"> in FR1 (3+30).</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hAnsi="Cambria Math" w:eastAsia="宋体" w:cs="v4.2.0"/>
          <w:i w:val="0"/>
          <w:lang w:val="en-US" w:eastAsia="zh-CN"/>
        </w:rPr>
      </w:pPr>
      <w:r>
        <w:rPr>
          <w:rFonts w:hint="eastAsia" w:hAnsi="Cambria Math" w:eastAsia="宋体" w:cs="v4.2.0"/>
          <w:i w:val="0"/>
          <w:lang w:val="en-US" w:eastAsia="zh-CN"/>
        </w:rPr>
        <w:t>We prioritized the intra-band contiguous NR CA, but there is no clear standard for MRTD in this scenario. The figure 4 and figure 5 provide us with the MRTD in different scenarios, including intra-band non-contiguous CA and inter-band NR CA, we can analyze the principle above using 3</w:t>
      </w:r>
      <m:oMath>
        <m:r>
          <m:rPr>
            <m:sty m:val="p"/>
          </m:rPr>
          <w:rPr>
            <w:rFonts w:ascii="Cambria Math" w:hAnsi="Cambria Math" w:cs="v4.2.0"/>
            <w:lang w:val="en-US"/>
          </w:rPr>
          <m:t>μ</m:t>
        </m:r>
        <m:r>
          <m:rPr>
            <m:sty m:val="p"/>
          </m:rPr>
          <w:rPr>
            <w:rFonts w:hint="default" w:ascii="Cambria Math" w:hAnsi="Cambria Math" w:eastAsia="宋体" w:cs="v4.2.0"/>
            <w:lang w:val="en-US" w:eastAsia="zh-CN"/>
          </w:rPr>
          <m:t>s</m:t>
        </m:r>
      </m:oMath>
      <w:r>
        <w:rPr>
          <w:rFonts w:hint="eastAsia" w:hAnsi="Cambria Math" w:eastAsia="宋体" w:cs="v4.2.0"/>
          <w:i w:val="0"/>
          <w:lang w:val="en-US" w:eastAsia="zh-CN"/>
        </w:rPr>
        <w:t xml:space="preserve"> from figure 3 in FR1:</w:t>
      </w:r>
    </w:p>
    <w:p>
      <w:pPr>
        <w:keepNext w:val="0"/>
        <w:keepLines w:val="0"/>
        <w:pageBreakBefore w:val="0"/>
        <w:widowControl/>
        <w:numPr>
          <w:ilvl w:val="0"/>
          <w:numId w:val="10"/>
        </w:numPr>
        <w:kinsoku/>
        <w:wordWrap/>
        <w:overflowPunct/>
        <w:topLinePunct w:val="0"/>
        <w:autoSpaceDE/>
        <w:autoSpaceDN/>
        <w:bidi w:val="0"/>
        <w:adjustRightInd/>
        <w:snapToGrid/>
        <w:spacing w:line="240" w:lineRule="auto"/>
        <w:ind w:left="420" w:leftChars="0" w:hanging="420" w:firstLineChars="0"/>
        <w:jc w:val="both"/>
        <w:textAlignment w:val="auto"/>
        <w:rPr>
          <w:rFonts w:hint="default" w:hAnsi="Cambria Math" w:eastAsia="宋体" w:cs="v4.2.0"/>
          <w:i w:val="0"/>
          <w:lang w:val="en-US" w:eastAsia="zh-CN"/>
        </w:rPr>
      </w:pPr>
      <w:r>
        <w:rPr>
          <w:rFonts w:hint="eastAsia" w:hAnsi="Cambria Math" w:eastAsia="宋体" w:cs="v4.2.0"/>
          <w:i w:val="0"/>
          <w:lang w:val="en-US" w:eastAsia="zh-CN"/>
        </w:rPr>
        <w:t>For SCS=15KHz : As shown in figure 2, CP for long symbols are 5.2</w:t>
      </w:r>
      <m:oMath>
        <m:r>
          <m:rPr>
            <m:sty m:val="p"/>
          </m:rPr>
          <w:rPr>
            <w:rFonts w:ascii="Cambria Math" w:hAnsi="Cambria Math" w:cs="v4.2.0"/>
            <w:lang w:val="en-US"/>
          </w:rPr>
          <m:t>μ</m:t>
        </m:r>
        <m:r>
          <m:rPr>
            <m:sty m:val="p"/>
          </m:rPr>
          <w:rPr>
            <w:rFonts w:hint="default" w:ascii="Cambria Math" w:hAnsi="Cambria Math" w:eastAsia="宋体" w:cs="v4.2.0"/>
            <w:lang w:val="en-US" w:eastAsia="zh-CN"/>
          </w:rPr>
          <m:t>s</m:t>
        </m:r>
      </m:oMath>
      <w:r>
        <w:rPr>
          <w:rFonts w:hint="eastAsia" w:hAnsi="Cambria Math" w:eastAsia="宋体" w:cs="v4.2.0"/>
          <w:i w:val="0"/>
          <w:lang w:val="en-US" w:eastAsia="zh-CN"/>
        </w:rPr>
        <w:t>, CP for other(short) symbols are 4.69</w:t>
      </w:r>
      <m:oMath>
        <m:r>
          <m:rPr>
            <m:sty m:val="p"/>
          </m:rPr>
          <w:rPr>
            <w:rFonts w:ascii="Cambria Math" w:hAnsi="Cambria Math" w:cs="v4.2.0"/>
            <w:lang w:val="en-US"/>
          </w:rPr>
          <m:t>μ</m:t>
        </m:r>
        <m:r>
          <m:rPr>
            <m:sty m:val="p"/>
          </m:rPr>
          <w:rPr>
            <w:rFonts w:hint="default" w:ascii="Cambria Math" w:hAnsi="Cambria Math" w:eastAsia="宋体" w:cs="v4.2.0"/>
            <w:lang w:val="en-US" w:eastAsia="zh-CN"/>
          </w:rPr>
          <m:t>s</m:t>
        </m:r>
      </m:oMath>
      <w:r>
        <w:rPr>
          <w:rFonts w:hint="eastAsia" w:hAnsi="Cambria Math" w:eastAsia="宋体" w:cs="v4.2.0"/>
          <w:i w:val="0"/>
          <w:lang w:val="en-US" w:eastAsia="zh-CN"/>
        </w:rPr>
        <w:t>. Compared to 3</w:t>
      </w:r>
      <m:oMath>
        <m:r>
          <m:rPr>
            <m:sty m:val="p"/>
          </m:rPr>
          <w:rPr>
            <w:rFonts w:ascii="Cambria Math" w:hAnsi="Cambria Math" w:cs="v4.2.0"/>
            <w:lang w:val="en-US"/>
          </w:rPr>
          <m:t>μ</m:t>
        </m:r>
        <m:r>
          <m:rPr>
            <m:sty m:val="p"/>
          </m:rPr>
          <w:rPr>
            <w:rFonts w:hint="default" w:ascii="Cambria Math" w:hAnsi="Cambria Math" w:eastAsia="宋体" w:cs="v4.2.0"/>
            <w:lang w:val="en-US" w:eastAsia="zh-CN"/>
          </w:rPr>
          <m:t>s</m:t>
        </m:r>
      </m:oMath>
      <w:r>
        <w:rPr>
          <w:rFonts w:hint="eastAsia" w:hAnsi="Cambria Math" w:eastAsia="宋体" w:cs="v4.2.0"/>
          <w:i w:val="0"/>
          <w:lang w:val="en-US" w:eastAsia="zh-CN"/>
        </w:rPr>
        <w:t xml:space="preserve"> in intra-band non-contiguous CA, it fits this SCS.</w:t>
      </w:r>
    </w:p>
    <w:p>
      <w:pPr>
        <w:keepNext w:val="0"/>
        <w:keepLines w:val="0"/>
        <w:pageBreakBefore w:val="0"/>
        <w:widowControl/>
        <w:numPr>
          <w:ilvl w:val="0"/>
          <w:numId w:val="10"/>
        </w:numPr>
        <w:kinsoku/>
        <w:wordWrap/>
        <w:overflowPunct/>
        <w:topLinePunct w:val="0"/>
        <w:autoSpaceDE/>
        <w:autoSpaceDN/>
        <w:bidi w:val="0"/>
        <w:adjustRightInd/>
        <w:snapToGrid/>
        <w:spacing w:line="240" w:lineRule="auto"/>
        <w:ind w:left="420" w:leftChars="0" w:hanging="420" w:firstLineChars="0"/>
        <w:jc w:val="both"/>
        <w:textAlignment w:val="auto"/>
        <w:rPr>
          <w:rFonts w:hint="default" w:hAnsi="Cambria Math" w:eastAsia="宋体" w:cs="v4.2.0"/>
          <w:i w:val="0"/>
          <w:lang w:val="en-US" w:eastAsia="zh-CN"/>
        </w:rPr>
      </w:pPr>
      <w:r>
        <w:rPr>
          <w:rFonts w:hint="eastAsia" w:hAnsi="Cambria Math" w:eastAsia="宋体" w:cs="v4.2.0"/>
          <w:i w:val="0"/>
          <w:lang w:val="en-US" w:eastAsia="zh-CN"/>
        </w:rPr>
        <w:t>For SCS=30KHz :As shown in figure 2, CP for long symbols are 2.86</w:t>
      </w:r>
      <m:oMath>
        <m:r>
          <m:rPr>
            <m:sty m:val="p"/>
          </m:rPr>
          <w:rPr>
            <w:rFonts w:ascii="Cambria Math" w:hAnsi="Cambria Math" w:cs="v4.2.0"/>
            <w:lang w:val="en-US"/>
          </w:rPr>
          <m:t>μ</m:t>
        </m:r>
        <m:r>
          <m:rPr>
            <m:sty m:val="p"/>
          </m:rPr>
          <w:rPr>
            <w:rFonts w:hint="default" w:ascii="Cambria Math" w:hAnsi="Cambria Math" w:eastAsia="宋体" w:cs="v4.2.0"/>
            <w:lang w:val="en-US" w:eastAsia="zh-CN"/>
          </w:rPr>
          <m:t>s</m:t>
        </m:r>
      </m:oMath>
      <w:r>
        <w:rPr>
          <w:rFonts w:hint="eastAsia" w:hAnsi="Cambria Math" w:eastAsia="宋体" w:cs="v4.2.0"/>
          <w:i w:val="0"/>
          <w:lang w:val="en-US" w:eastAsia="zh-CN"/>
        </w:rPr>
        <w:t>, CP for other(short) symbols are 2.34</w:t>
      </w:r>
      <m:oMath>
        <m:r>
          <m:rPr>
            <m:sty m:val="p"/>
          </m:rPr>
          <w:rPr>
            <w:rFonts w:ascii="Cambria Math" w:hAnsi="Cambria Math" w:cs="v4.2.0"/>
            <w:lang w:val="en-US"/>
          </w:rPr>
          <m:t>μ</m:t>
        </m:r>
        <m:r>
          <m:rPr>
            <m:sty m:val="p"/>
          </m:rPr>
          <w:rPr>
            <w:rFonts w:hint="default" w:ascii="Cambria Math" w:hAnsi="Cambria Math" w:eastAsia="宋体" w:cs="v4.2.0"/>
            <w:lang w:val="en-US" w:eastAsia="zh-CN"/>
          </w:rPr>
          <m:t>s</m:t>
        </m:r>
      </m:oMath>
      <w:r>
        <w:rPr>
          <w:rFonts w:hint="eastAsia" w:hAnsi="Cambria Math" w:eastAsia="宋体" w:cs="v4.2.0"/>
          <w:i w:val="0"/>
          <w:lang w:val="en-US" w:eastAsia="zh-CN"/>
        </w:rPr>
        <w:t>. Compared to 3</w:t>
      </w:r>
      <m:oMath>
        <m:r>
          <m:rPr>
            <m:sty m:val="p"/>
          </m:rPr>
          <w:rPr>
            <w:rFonts w:ascii="Cambria Math" w:hAnsi="Cambria Math" w:cs="v4.2.0"/>
            <w:lang w:val="en-US"/>
          </w:rPr>
          <m:t>μ</m:t>
        </m:r>
        <m:r>
          <m:rPr>
            <m:sty m:val="p"/>
          </m:rPr>
          <w:rPr>
            <w:rFonts w:hint="default" w:ascii="Cambria Math" w:hAnsi="Cambria Math" w:eastAsia="宋体" w:cs="v4.2.0"/>
            <w:lang w:val="en-US" w:eastAsia="zh-CN"/>
          </w:rPr>
          <m:t>s</m:t>
        </m:r>
      </m:oMath>
      <w:r>
        <w:rPr>
          <w:rFonts w:hint="eastAsia" w:hAnsi="Cambria Math" w:eastAsia="宋体" w:cs="v4.2.0"/>
          <w:i w:val="0"/>
          <w:lang w:val="en-US" w:eastAsia="zh-CN"/>
        </w:rPr>
        <w:t xml:space="preserve"> in intra-band non-contiguous CA, it doesn</w:t>
      </w:r>
      <w:r>
        <w:rPr>
          <w:rFonts w:hint="default" w:hAnsi="Cambria Math" w:eastAsia="宋体" w:cs="v4.2.0"/>
          <w:i w:val="0"/>
          <w:lang w:val="en-US" w:eastAsia="zh-CN"/>
        </w:rPr>
        <w:t>’</w:t>
      </w:r>
      <w:r>
        <w:rPr>
          <w:rFonts w:hint="eastAsia" w:hAnsi="Cambria Math" w:eastAsia="宋体" w:cs="v4.2.0"/>
          <w:i w:val="0"/>
          <w:lang w:val="en-US" w:eastAsia="zh-CN"/>
        </w:rPr>
        <w:t xml:space="preserve">t fit this SCS. But </w:t>
      </w:r>
      <m:oMath>
        <m:r>
          <m:rPr>
            <m:sty m:val="p"/>
          </m:rPr>
          <w:rPr>
            <w:rFonts w:hint="default" w:ascii="Cambria Math" w:hAnsi="Cambria Math" w:eastAsia="宋体" w:cs="v4.2.0"/>
            <w:sz w:val="20"/>
            <w:szCs w:val="22"/>
            <w:lang w:val="en-US" w:eastAsia="zh-CN" w:bidi="ar-SA"/>
          </w:rPr>
          <m:t>3</m:t>
        </m:r>
        <m:r>
          <m:rPr>
            <m:sty m:val="p"/>
          </m:rPr>
          <w:rPr>
            <w:rFonts w:ascii="Cambria Math" w:hAnsi="Cambria Math" w:cs="v4.2.0"/>
            <w:sz w:val="20"/>
            <w:szCs w:val="22"/>
            <w:lang w:val="en-US" w:bidi="ar-SA"/>
          </w:rPr>
          <m:t>μ</m:t>
        </m:r>
        <m:r>
          <m:rPr>
            <m:sty m:val="p"/>
          </m:rPr>
          <w:rPr>
            <w:rFonts w:hint="default" w:ascii="Cambria Math" w:hAnsi="Cambria Math" w:eastAsia="宋体" w:cs="v4.2.0"/>
            <w:sz w:val="20"/>
            <w:szCs w:val="22"/>
            <w:lang w:val="en-US" w:eastAsia="zh-CN" w:bidi="ar-SA"/>
          </w:rPr>
          <m:t>s</m:t>
        </m:r>
      </m:oMath>
      <w:r>
        <w:rPr>
          <w:rFonts w:hint="eastAsia" w:hAnsi="Cambria Math" w:eastAsia="宋体" w:cs="v4.2.0"/>
          <w:i w:val="0"/>
          <w:sz w:val="20"/>
          <w:szCs w:val="22"/>
          <w:lang w:val="en-US" w:eastAsia="zh-CN" w:bidi="ar-SA"/>
        </w:rPr>
        <w:t xml:space="preserve"> is extremely close to 2.34</w:t>
      </w:r>
      <m:oMath>
        <m:r>
          <m:rPr>
            <m:sty m:val="p"/>
          </m:rPr>
          <w:rPr>
            <w:rFonts w:ascii="Cambria Math" w:hAnsi="Cambria Math" w:cs="v4.2.0"/>
            <w:sz w:val="20"/>
            <w:szCs w:val="22"/>
            <w:lang w:val="en-US" w:bidi="ar-SA"/>
          </w:rPr>
          <m:t>μ</m:t>
        </m:r>
        <m:r>
          <m:rPr>
            <m:sty m:val="p"/>
          </m:rPr>
          <w:rPr>
            <w:rFonts w:hint="default" w:ascii="Cambria Math" w:hAnsi="Cambria Math" w:eastAsia="宋体" w:cs="v4.2.0"/>
            <w:sz w:val="20"/>
            <w:szCs w:val="22"/>
            <w:lang w:val="en-US" w:eastAsia="zh-CN" w:bidi="ar-SA"/>
          </w:rPr>
          <m:t>s</m:t>
        </m:r>
      </m:oMath>
      <w:r>
        <w:rPr>
          <w:rFonts w:hint="eastAsia" w:hAnsi="Cambria Math" w:eastAsia="宋体" w:cs="v4.2.0"/>
          <w:i w:val="0"/>
          <w:sz w:val="20"/>
          <w:szCs w:val="22"/>
          <w:lang w:val="en-US" w:eastAsia="zh-CN" w:bidi="ar-SA"/>
        </w:rPr>
        <w:t>, even it belongs to non-contiguous scenario and the MRTD=</w:t>
      </w:r>
      <w:r>
        <w:rPr>
          <w:rFonts w:hint="eastAsia" w:hAnsi="Cambria Math" w:eastAsia="宋体" w:cs="v4.2.0"/>
          <w:i w:val="0"/>
          <w:lang w:val="en-US" w:eastAsia="zh-CN"/>
        </w:rPr>
        <w:t xml:space="preserve"> 3</w:t>
      </w:r>
      <m:oMath>
        <m:r>
          <m:rPr>
            <m:sty m:val="p"/>
          </m:rPr>
          <w:rPr>
            <w:rFonts w:ascii="Cambria Math" w:hAnsi="Cambria Math" w:cs="v4.2.0"/>
            <w:lang w:val="en-US"/>
          </w:rPr>
          <m:t>μ</m:t>
        </m:r>
        <m:r>
          <m:rPr>
            <m:sty m:val="p"/>
          </m:rPr>
          <w:rPr>
            <w:rFonts w:hint="default" w:ascii="Cambria Math" w:hAnsi="Cambria Math" w:eastAsia="宋体" w:cs="v4.2.0"/>
            <w:lang w:val="en-US" w:eastAsia="zh-CN"/>
          </w:rPr>
          <m:t>s</m:t>
        </m:r>
      </m:oMath>
      <w:r>
        <w:rPr>
          <w:rFonts w:hint="eastAsia" w:hAnsi="Cambria Math" w:eastAsia="宋体" w:cs="v4.2.0"/>
          <w:i w:val="0"/>
          <w:sz w:val="20"/>
          <w:szCs w:val="22"/>
          <w:lang w:val="en-US" w:eastAsia="zh-CN" w:bidi="ar-SA"/>
        </w:rPr>
        <w:t xml:space="preserve"> is the worst case for RRM measurements, maybe it is proper for time difference in intra-band contiguous CA?</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default" w:hAnsi="Cambria Math" w:eastAsia="宋体" w:cs="v4.2.0"/>
          <w:i w:val="0"/>
          <w:lang w:val="en-US" w:eastAsia="zh-CN"/>
        </w:rPr>
      </w:pPr>
      <w:r>
        <w:rPr>
          <w:rFonts w:hint="default" w:hAnsi="Cambria Math" w:eastAsia="宋体" w:cs="v4.2.0"/>
          <w:i w:val="0"/>
          <w:lang w:val="en-US" w:eastAsia="zh-CN"/>
        </w:rPr>
        <w:t>In general, RAN4 need to study the minimum requirements to achieve the positioning accuracy improvement for intra-band contiguous CA compared with single component carrier case and its feasibility to fulfill the minimum requirements. The minimum requirement for CA based positioning could be much better that the legacy intra-band contiguous CA TAE requirements.</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hAnsi="Cambria Math" w:eastAsia="宋体" w:cs="v4.2.0"/>
          <w:i w:val="0"/>
          <w:sz w:val="20"/>
          <w:szCs w:val="22"/>
          <w:lang w:val="en-US" w:eastAsia="zh-CN" w:bidi="ar-SA"/>
        </w:rPr>
      </w:pPr>
      <w:r>
        <w:rPr>
          <w:rFonts w:hint="eastAsia" w:hAnsi="Cambria Math" w:eastAsia="宋体" w:cs="v4.2.0"/>
          <w:b/>
          <w:bCs/>
          <w:i w:val="0"/>
          <w:sz w:val="20"/>
          <w:szCs w:val="22"/>
          <w:lang w:val="en-US" w:eastAsia="zh-CN" w:bidi="ar-SA"/>
        </w:rPr>
        <w:t>However</w:t>
      </w:r>
      <w:r>
        <w:rPr>
          <w:rFonts w:hint="eastAsia" w:hAnsi="Cambria Math" w:eastAsia="宋体" w:cs="v4.2.0"/>
          <w:i w:val="0"/>
          <w:sz w:val="20"/>
          <w:szCs w:val="22"/>
          <w:lang w:val="en-US" w:eastAsia="zh-CN" w:bidi="ar-SA"/>
        </w:rPr>
        <w:t xml:space="preserve">,  if we adopt the </w:t>
      </w:r>
      <m:oMath>
        <m:r>
          <m:rPr>
            <m:sty m:val="p"/>
          </m:rPr>
          <w:rPr>
            <w:rFonts w:hint="default" w:ascii="Cambria Math" w:hAnsi="Cambria Math" w:eastAsia="宋体" w:cs="v4.2.0"/>
            <w:sz w:val="20"/>
            <w:szCs w:val="22"/>
            <w:lang w:val="en-US" w:eastAsia="zh-CN" w:bidi="ar-SA"/>
          </w:rPr>
          <m:t>3</m:t>
        </m:r>
        <m:r>
          <m:rPr>
            <m:sty m:val="p"/>
          </m:rPr>
          <w:rPr>
            <w:rFonts w:ascii="Cambria Math" w:hAnsi="Cambria Math" w:cs="v4.2.0"/>
            <w:sz w:val="20"/>
            <w:szCs w:val="22"/>
            <w:lang w:val="en-US" w:bidi="ar-SA"/>
          </w:rPr>
          <m:t>μ</m:t>
        </m:r>
        <m:r>
          <m:rPr>
            <m:sty m:val="p"/>
          </m:rPr>
          <w:rPr>
            <w:rFonts w:hint="default" w:ascii="Cambria Math" w:hAnsi="Cambria Math" w:eastAsia="宋体" w:cs="v4.2.0"/>
            <w:sz w:val="20"/>
            <w:szCs w:val="22"/>
            <w:lang w:val="en-US" w:eastAsia="zh-CN" w:bidi="ar-SA"/>
          </w:rPr>
          <m:t>s</m:t>
        </m:r>
      </m:oMath>
      <w:r>
        <w:rPr>
          <w:rFonts w:hint="eastAsia" w:hAnsi="Cambria Math" w:eastAsia="宋体" w:cs="v4.2.0"/>
          <w:b w:val="0"/>
          <w:i w:val="0"/>
          <w:sz w:val="20"/>
          <w:szCs w:val="22"/>
          <w:lang w:val="en-US" w:eastAsia="zh-CN" w:bidi="ar-SA"/>
        </w:rPr>
        <w:t>(legacy)</w:t>
      </w:r>
      <w:r>
        <w:rPr>
          <w:rFonts w:hint="eastAsia" w:hAnsi="Cambria Math" w:eastAsia="宋体" w:cs="v4.2.0"/>
          <w:i w:val="0"/>
          <w:sz w:val="20"/>
          <w:szCs w:val="22"/>
          <w:lang w:val="en-US" w:eastAsia="zh-CN" w:bidi="ar-SA"/>
        </w:rPr>
        <w:t xml:space="preserve"> as the time difference value in intra-band contiguous CA, the distance between two CCs will be:</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hAnsi="Cambria Math" w:eastAsia="宋体" w:cs="v4.2.0"/>
          <w:b w:val="0"/>
          <w:bCs w:val="0"/>
          <w:i w:val="0"/>
          <w:sz w:val="20"/>
          <w:szCs w:val="22"/>
          <w:lang w:val="en-US" w:eastAsia="zh-CN" w:bidi="ar-SA"/>
        </w:rPr>
      </w:pPr>
      <m:oMathPara>
        <m:oMath>
          <m:r>
            <m:rPr>
              <m:sty m:val="p"/>
            </m:rPr>
            <w:rPr>
              <w:rFonts w:hint="default" w:ascii="Cambria Math" w:hAnsi="Cambria Math" w:eastAsia="宋体" w:cs="v4.2.0"/>
              <w:sz w:val="20"/>
              <w:szCs w:val="22"/>
              <w:lang w:val="en-US" w:eastAsia="zh-CN" w:bidi="ar-SA"/>
            </w:rPr>
            <m:t>3∗</m:t>
          </m:r>
          <m:sSup>
            <m:sSupPr>
              <m:ctrlPr>
                <w:rPr>
                  <w:rFonts w:hint="default" w:ascii="Cambria Math" w:hAnsi="Cambria Math" w:eastAsia="宋体" w:cs="v4.2.0"/>
                  <w:b w:val="0"/>
                  <w:bCs w:val="0"/>
                  <w:i w:val="0"/>
                  <w:sz w:val="20"/>
                  <w:szCs w:val="22"/>
                  <w:lang w:val="en-US" w:eastAsia="zh-CN" w:bidi="ar-SA"/>
                </w:rPr>
              </m:ctrlPr>
            </m:sSupPr>
            <m:e>
              <m:r>
                <m:rPr>
                  <m:sty m:val="p"/>
                </m:rPr>
                <w:rPr>
                  <w:rFonts w:hint="default" w:ascii="Cambria Math" w:hAnsi="Cambria Math" w:eastAsia="宋体" w:cs="v4.2.0"/>
                  <w:sz w:val="20"/>
                  <w:szCs w:val="22"/>
                  <w:lang w:val="en-US" w:eastAsia="zh-CN" w:bidi="ar-SA"/>
                </w:rPr>
                <m:t>10</m:t>
              </m:r>
              <m:ctrlPr>
                <w:rPr>
                  <w:rFonts w:hint="default" w:ascii="Cambria Math" w:hAnsi="Cambria Math" w:eastAsia="宋体" w:cs="v4.2.0"/>
                  <w:b w:val="0"/>
                  <w:bCs w:val="0"/>
                  <w:i w:val="0"/>
                  <w:sz w:val="20"/>
                  <w:szCs w:val="22"/>
                  <w:lang w:val="en-US" w:eastAsia="zh-CN" w:bidi="ar-SA"/>
                </w:rPr>
              </m:ctrlPr>
            </m:e>
            <m:sup>
              <m:r>
                <m:rPr>
                  <m:sty m:val="p"/>
                </m:rPr>
                <w:rPr>
                  <w:rFonts w:hint="default" w:ascii="Cambria Math" w:hAnsi="Cambria Math" w:eastAsia="宋体" w:cs="v4.2.0"/>
                  <w:sz w:val="20"/>
                  <w:szCs w:val="22"/>
                  <w:lang w:val="en-US" w:eastAsia="zh-CN" w:bidi="ar-SA"/>
                </w:rPr>
                <m:t>−6</m:t>
              </m:r>
              <m:ctrlPr>
                <w:rPr>
                  <w:rFonts w:hint="default" w:ascii="Cambria Math" w:hAnsi="Cambria Math" w:eastAsia="宋体" w:cs="v4.2.0"/>
                  <w:b w:val="0"/>
                  <w:bCs w:val="0"/>
                  <w:i w:val="0"/>
                  <w:sz w:val="20"/>
                  <w:szCs w:val="22"/>
                  <w:lang w:val="en-US" w:eastAsia="zh-CN" w:bidi="ar-SA"/>
                </w:rPr>
              </m:ctrlPr>
            </m:sup>
          </m:sSup>
          <m:r>
            <m:rPr>
              <m:sty m:val="p"/>
            </m:rPr>
            <w:rPr>
              <w:rFonts w:hint="default" w:ascii="Cambria Math" w:hAnsi="Cambria Math" w:eastAsia="宋体" w:cs="v4.2.0"/>
              <w:sz w:val="20"/>
              <w:szCs w:val="22"/>
              <w:lang w:val="en-US" w:eastAsia="zh-CN" w:bidi="ar-SA"/>
            </w:rPr>
            <m:t>∗3∗</m:t>
          </m:r>
          <m:sSup>
            <m:sSupPr>
              <m:ctrlPr>
                <w:rPr>
                  <w:rFonts w:hint="default" w:ascii="Cambria Math" w:hAnsi="Cambria Math" w:eastAsia="宋体" w:cs="v4.2.0"/>
                  <w:b w:val="0"/>
                  <w:bCs w:val="0"/>
                  <w:i w:val="0"/>
                  <w:sz w:val="20"/>
                  <w:szCs w:val="22"/>
                  <w:lang w:val="en-US" w:eastAsia="zh-CN" w:bidi="ar-SA"/>
                </w:rPr>
              </m:ctrlPr>
            </m:sSupPr>
            <m:e>
              <m:r>
                <m:rPr>
                  <m:sty m:val="p"/>
                </m:rPr>
                <w:rPr>
                  <w:rFonts w:hint="default" w:ascii="Cambria Math" w:hAnsi="Cambria Math" w:eastAsia="宋体" w:cs="v4.2.0"/>
                  <w:sz w:val="20"/>
                  <w:szCs w:val="22"/>
                  <w:lang w:val="en-US" w:eastAsia="zh-CN" w:bidi="ar-SA"/>
                </w:rPr>
                <m:t>10</m:t>
              </m:r>
              <m:ctrlPr>
                <w:rPr>
                  <w:rFonts w:hint="default" w:ascii="Cambria Math" w:hAnsi="Cambria Math" w:eastAsia="宋体" w:cs="v4.2.0"/>
                  <w:b w:val="0"/>
                  <w:bCs w:val="0"/>
                  <w:i w:val="0"/>
                  <w:sz w:val="20"/>
                  <w:szCs w:val="22"/>
                  <w:lang w:val="en-US" w:eastAsia="zh-CN" w:bidi="ar-SA"/>
                </w:rPr>
              </m:ctrlPr>
            </m:e>
            <m:sup>
              <m:r>
                <m:rPr>
                  <m:sty m:val="p"/>
                </m:rPr>
                <w:rPr>
                  <w:rFonts w:hint="default" w:ascii="Cambria Math" w:hAnsi="Cambria Math" w:eastAsia="宋体" w:cs="v4.2.0"/>
                  <w:sz w:val="20"/>
                  <w:szCs w:val="22"/>
                  <w:lang w:val="en-US" w:eastAsia="zh-CN" w:bidi="ar-SA"/>
                </w:rPr>
                <m:t>8</m:t>
              </m:r>
              <m:ctrlPr>
                <w:rPr>
                  <w:rFonts w:hint="default" w:ascii="Cambria Math" w:hAnsi="Cambria Math" w:eastAsia="宋体" w:cs="v4.2.0"/>
                  <w:b w:val="0"/>
                  <w:bCs w:val="0"/>
                  <w:i w:val="0"/>
                  <w:sz w:val="20"/>
                  <w:szCs w:val="22"/>
                  <w:lang w:val="en-US" w:eastAsia="zh-CN" w:bidi="ar-SA"/>
                </w:rPr>
              </m:ctrlPr>
            </m:sup>
          </m:sSup>
          <m:r>
            <m:rPr>
              <m:sty m:val="p"/>
            </m:rPr>
            <w:rPr>
              <w:rFonts w:hint="default" w:ascii="Cambria Math" w:hAnsi="Cambria Math" w:eastAsia="宋体" w:cs="v4.2.0"/>
              <w:sz w:val="20"/>
              <w:szCs w:val="22"/>
              <w:lang w:val="en-US" w:eastAsia="zh-CN" w:bidi="ar-SA"/>
            </w:rPr>
            <m:t>=900m</m:t>
          </m:r>
        </m:oMath>
      </m:oMathPara>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hAnsi="Cambria Math" w:eastAsia="宋体" w:cs="v4.2.0"/>
          <w:i w:val="0"/>
          <w:sz w:val="20"/>
          <w:szCs w:val="22"/>
          <w:lang w:val="en-US" w:eastAsia="zh-CN" w:bidi="ar-SA"/>
        </w:rPr>
      </w:pPr>
      <w:r>
        <w:rPr>
          <w:rFonts w:hint="eastAsia" w:hAnsi="Cambria Math" w:eastAsia="宋体" w:cs="v4.2.0"/>
          <w:i w:val="0"/>
          <w:sz w:val="20"/>
          <w:szCs w:val="22"/>
          <w:lang w:val="en-US" w:eastAsia="zh-CN" w:bidi="ar-SA"/>
        </w:rPr>
        <w:t>In RF session, we provided several simulations for timing error between two CCs[6], the results as below:</w:t>
      </w:r>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trPr>
        <w:tc>
          <w:tcPr>
            <w:tcW w:w="1809" w:type="dxa"/>
            <w:vMerge w:val="restart"/>
          </w:tcPr>
          <w:p>
            <w:pPr>
              <w:snapToGrid w:val="0"/>
              <w:spacing w:before="156" w:beforeLines="50" w:after="156" w:afterLines="50"/>
              <w:rPr>
                <w:sz w:val="20"/>
                <w:szCs w:val="20"/>
              </w:rPr>
            </w:pPr>
            <w:r>
              <w:rPr>
                <w:sz w:val="20"/>
                <w:szCs w:val="20"/>
              </w:rPr>
              <w:t>50MHz+50MHz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0.22</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0.29</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0.36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0.63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0.73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0.89</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4</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0.57</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0.85</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1.13</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0.75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1.03</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1.52</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2.21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6</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0.90</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2.02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Single FL (50MHz)</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0.55</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0.75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0.95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100MHz+60MHz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0.145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0.247</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0.318</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0.337</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0.466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0.585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0.733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0.217</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0.267</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0.329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restart"/>
          </w:tcPr>
          <w:p>
            <w:pPr>
              <w:snapToGrid w:val="0"/>
              <w:spacing w:before="156" w:beforeLines="50" w:after="156" w:afterLines="50"/>
              <w:rPr>
                <w:sz w:val="20"/>
                <w:szCs w:val="20"/>
              </w:rPr>
            </w:pPr>
            <w:r>
              <w:rPr>
                <w:sz w:val="20"/>
                <w:szCs w:val="20"/>
              </w:rPr>
              <w:t>100MHz+100MHz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0.09</w:t>
            </w:r>
            <w:r>
              <w:rPr>
                <w:rFonts w:hint="eastAsia"/>
                <w:sz w:val="20"/>
                <w:szCs w:val="20"/>
              </w:rPr>
              <w:t>1</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w:t>
            </w:r>
            <w:r>
              <w:rPr>
                <w:rFonts w:hint="eastAsia"/>
                <w:sz w:val="20"/>
                <w:szCs w:val="20"/>
              </w:rPr>
              <w:t>126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w:t>
            </w:r>
            <w:r>
              <w:rPr>
                <w:rFonts w:hint="eastAsia"/>
                <w:sz w:val="20"/>
                <w:szCs w:val="20"/>
              </w:rPr>
              <w:t>46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0.18</w:t>
            </w:r>
            <w:r>
              <w:rPr>
                <w:rFonts w:hint="eastAsia"/>
                <w:sz w:val="20"/>
                <w:szCs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A8D08D" w:themeFill="accent6" w:themeFillTint="99"/>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shd w:val="clear" w:color="auto" w:fill="A8D08D" w:themeFill="accent6" w:themeFillTint="99"/>
          </w:tcPr>
          <w:p>
            <w:pPr>
              <w:snapToGrid w:val="0"/>
              <w:spacing w:before="156" w:beforeLines="50" w:after="156" w:afterLines="50"/>
              <w:jc w:val="center"/>
              <w:rPr>
                <w:sz w:val="20"/>
                <w:szCs w:val="20"/>
                <w:lang w:val="en-GB" w:eastAsia="en-US"/>
              </w:rPr>
            </w:pPr>
            <w:r>
              <w:rPr>
                <w:sz w:val="20"/>
                <w:szCs w:val="20"/>
              </w:rPr>
              <w:t>0.139</w:t>
            </w:r>
          </w:p>
        </w:tc>
        <w:tc>
          <w:tcPr>
            <w:tcW w:w="1669" w:type="dxa"/>
            <w:tcBorders>
              <w:top w:val="single" w:color="auto" w:sz="4" w:space="0"/>
              <w:bottom w:val="single" w:color="auto" w:sz="4" w:space="0"/>
            </w:tcBorders>
            <w:shd w:val="clear" w:color="auto" w:fill="A8D08D" w:themeFill="accent6" w:themeFillTint="99"/>
          </w:tcPr>
          <w:p>
            <w:pPr>
              <w:snapToGrid w:val="0"/>
              <w:spacing w:before="156" w:beforeLines="50" w:after="156" w:afterLines="50"/>
              <w:jc w:val="center"/>
              <w:rPr>
                <w:sz w:val="20"/>
                <w:szCs w:val="20"/>
                <w:lang w:val="en-GB" w:eastAsia="en-US"/>
              </w:rPr>
            </w:pPr>
            <w:r>
              <w:rPr>
                <w:sz w:val="20"/>
                <w:szCs w:val="20"/>
              </w:rPr>
              <w:t>0.192</w:t>
            </w:r>
          </w:p>
        </w:tc>
        <w:tc>
          <w:tcPr>
            <w:tcW w:w="1376" w:type="dxa"/>
            <w:tcBorders>
              <w:top w:val="single" w:color="auto" w:sz="4" w:space="0"/>
              <w:bottom w:val="single" w:color="auto" w:sz="4" w:space="0"/>
            </w:tcBorders>
            <w:shd w:val="clear" w:color="auto" w:fill="A8D08D" w:themeFill="accent6" w:themeFillTint="99"/>
          </w:tcPr>
          <w:p>
            <w:pPr>
              <w:snapToGrid w:val="0"/>
              <w:spacing w:before="156" w:beforeLines="50" w:after="156" w:afterLines="50"/>
              <w:jc w:val="center"/>
              <w:rPr>
                <w:sz w:val="20"/>
                <w:szCs w:val="20"/>
                <w:lang w:val="en-GB" w:eastAsia="en-US"/>
              </w:rPr>
            </w:pPr>
            <w:r>
              <w:rPr>
                <w:sz w:val="20"/>
                <w:szCs w:val="20"/>
              </w:rPr>
              <w:t>0.246</w:t>
            </w:r>
          </w:p>
        </w:tc>
        <w:tc>
          <w:tcPr>
            <w:tcW w:w="1376" w:type="dxa"/>
            <w:tcBorders>
              <w:top w:val="single" w:color="auto" w:sz="4" w:space="0"/>
              <w:bottom w:val="single" w:color="auto" w:sz="4" w:space="0"/>
            </w:tcBorders>
            <w:shd w:val="clear" w:color="auto" w:fill="A8D08D" w:themeFill="accent6" w:themeFillTint="99"/>
          </w:tcPr>
          <w:p>
            <w:pPr>
              <w:snapToGrid w:val="0"/>
              <w:spacing w:before="156" w:beforeLines="50" w:after="156" w:afterLines="50"/>
              <w:jc w:val="center"/>
              <w:rPr>
                <w:sz w:val="20"/>
                <w:szCs w:val="20"/>
                <w:lang w:val="en-GB" w:eastAsia="en-US"/>
              </w:rPr>
            </w:pPr>
            <w:r>
              <w:rPr>
                <w:sz w:val="20"/>
                <w:szCs w:val="20"/>
              </w:rPr>
              <w:t>0.314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0.245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w:t>
            </w:r>
            <w:r>
              <w:rPr>
                <w:rFonts w:hint="eastAsia"/>
                <w:sz w:val="20"/>
                <w:szCs w:val="20"/>
              </w:rPr>
              <w:t>50</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w:t>
            </w:r>
            <w:r>
              <w:rPr>
                <w:rFonts w:hint="eastAsia"/>
                <w:sz w:val="20"/>
                <w:szCs w:val="20"/>
              </w:rPr>
              <w:t>3</w:t>
            </w:r>
            <w:r>
              <w:rPr>
                <w:sz w:val="20"/>
                <w:szCs w:val="20"/>
              </w:rPr>
              <w:t>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0. 6</w:t>
            </w:r>
            <w:r>
              <w:rPr>
                <w:rFonts w:hint="eastAsia"/>
                <w:sz w:val="20"/>
                <w:szCs w:val="20"/>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Single FL (100MHz)</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0.217</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0.267</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0.329</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0.421</w:t>
            </w:r>
          </w:p>
        </w:tc>
      </w:tr>
    </w:tbl>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hAnsi="Cambria Math" w:eastAsia="宋体" w:cs="v4.2.0"/>
          <w:i w:val="0"/>
          <w:sz w:val="20"/>
          <w:szCs w:val="22"/>
          <w:lang w:val="en-US" w:eastAsia="zh-CN" w:bidi="ar-SA"/>
        </w:rPr>
      </w:pPr>
      <w:r>
        <w:rPr>
          <w:rFonts w:hint="eastAsia" w:eastAsia="宋体"/>
          <w:sz w:val="20"/>
          <w:szCs w:val="20"/>
          <w:lang w:val="en-US" w:eastAsia="zh-CN"/>
        </w:rPr>
        <w:t xml:space="preserve">Figure 5  </w:t>
      </w:r>
      <w:r>
        <w:rPr>
          <w:rFonts w:hint="eastAsia"/>
          <w:sz w:val="20"/>
          <w:szCs w:val="20"/>
        </w:rPr>
        <w:t>Summary of</w:t>
      </w:r>
      <w:r>
        <w:rPr>
          <w:sz w:val="20"/>
          <w:szCs w:val="20"/>
        </w:rPr>
        <w:t xml:space="preserve"> </w:t>
      </w:r>
      <w:r>
        <w:rPr>
          <w:rFonts w:hint="eastAsia"/>
          <w:sz w:val="20"/>
          <w:szCs w:val="20"/>
        </w:rPr>
        <w:t>p</w:t>
      </w:r>
      <w:r>
        <w:rPr>
          <w:sz w:val="20"/>
          <w:szCs w:val="20"/>
        </w:rPr>
        <w:t>ositioning accuracy</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hAnsi="Cambria Math" w:eastAsia="宋体" w:cs="v4.2.0"/>
          <w:i w:val="0"/>
          <w:lang w:val="en-US" w:eastAsia="zh-CN"/>
        </w:rPr>
      </w:pPr>
      <w:r>
        <w:rPr>
          <w:rFonts w:hint="eastAsia" w:hAnsi="Cambria Math" w:eastAsia="宋体" w:cs="v4.2.0"/>
          <w:i w:val="0"/>
          <w:lang w:val="en-US" w:eastAsia="zh-CN"/>
        </w:rPr>
        <w:t>For the case of 50MHz+50MHz (InF_SH), as in the Figure 5, when the relative timing alignment error exceeds 4ns, then the positioning accuracy of intra-band contiguous CA would be worse than that of single carrier. For the case of 100MHz+100MHz (InF_SH), when the relative timing alignment error exceeds 2ns, then the positioning accuracy of intra-band contiguous CA is worse than that of single carrier (100MHz).No matter which of the three cases, the delay is nanosecond, far less than the inherent CP length, taking 4ns as an example:</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hAnsi="Cambria Math" w:eastAsia="宋体" w:cs="v4.2.0"/>
          <w:i w:val="0"/>
          <w:sz w:val="20"/>
          <w:szCs w:val="22"/>
          <w:lang w:val="en-US" w:eastAsia="zh-CN" w:bidi="ar-SA"/>
        </w:rPr>
      </w:pPr>
      <m:oMathPara>
        <m:oMath>
          <m:r>
            <m:rPr>
              <m:sty m:val="p"/>
            </m:rPr>
            <w:rPr>
              <w:rFonts w:hint="default" w:ascii="Cambria Math" w:hAnsi="Cambria Math" w:eastAsia="宋体" w:cs="v4.2.0"/>
              <w:sz w:val="20"/>
              <w:szCs w:val="22"/>
              <w:lang w:val="en-US" w:eastAsia="zh-CN" w:bidi="ar-SA"/>
            </w:rPr>
            <m:t>4∗</m:t>
          </m:r>
          <m:sSup>
            <m:sSupPr>
              <m:ctrlPr>
                <w:rPr>
                  <w:rFonts w:hint="default" w:ascii="Cambria Math" w:hAnsi="Cambria Math" w:eastAsia="宋体" w:cs="v4.2.0"/>
                  <w:i w:val="0"/>
                  <w:sz w:val="20"/>
                  <w:szCs w:val="22"/>
                  <w:lang w:val="en-US" w:eastAsia="zh-CN" w:bidi="ar-SA"/>
                </w:rPr>
              </m:ctrlPr>
            </m:sSupPr>
            <m:e>
              <m:r>
                <m:rPr>
                  <m:sty m:val="p"/>
                </m:rPr>
                <w:rPr>
                  <w:rFonts w:hint="default" w:ascii="Cambria Math" w:hAnsi="Cambria Math" w:eastAsia="宋体" w:cs="v4.2.0"/>
                  <w:sz w:val="20"/>
                  <w:szCs w:val="22"/>
                  <w:lang w:val="en-US" w:eastAsia="zh-CN" w:bidi="ar-SA"/>
                </w:rPr>
                <m:t>10</m:t>
              </m:r>
              <m:ctrlPr>
                <w:rPr>
                  <w:rFonts w:hint="default" w:ascii="Cambria Math" w:hAnsi="Cambria Math" w:eastAsia="宋体" w:cs="v4.2.0"/>
                  <w:i w:val="0"/>
                  <w:sz w:val="20"/>
                  <w:szCs w:val="22"/>
                  <w:lang w:val="en-US" w:eastAsia="zh-CN" w:bidi="ar-SA"/>
                </w:rPr>
              </m:ctrlPr>
            </m:e>
            <m:sup>
              <m:r>
                <m:rPr>
                  <m:sty m:val="p"/>
                </m:rPr>
                <w:rPr>
                  <w:rFonts w:hint="default" w:ascii="Cambria Math" w:hAnsi="Cambria Math" w:eastAsia="宋体" w:cs="v4.2.0"/>
                  <w:sz w:val="20"/>
                  <w:szCs w:val="22"/>
                  <w:lang w:val="en-US" w:eastAsia="zh-CN" w:bidi="ar-SA"/>
                </w:rPr>
                <m:t>−9</m:t>
              </m:r>
              <m:ctrlPr>
                <w:rPr>
                  <w:rFonts w:hint="default" w:ascii="Cambria Math" w:hAnsi="Cambria Math" w:eastAsia="宋体" w:cs="v4.2.0"/>
                  <w:i w:val="0"/>
                  <w:sz w:val="20"/>
                  <w:szCs w:val="22"/>
                  <w:lang w:val="en-US" w:eastAsia="zh-CN" w:bidi="ar-SA"/>
                </w:rPr>
              </m:ctrlPr>
            </m:sup>
          </m:sSup>
          <m:r>
            <m:rPr>
              <m:sty m:val="p"/>
            </m:rPr>
            <w:rPr>
              <w:rFonts w:hint="default" w:ascii="Cambria Math" w:hAnsi="Cambria Math" w:eastAsia="宋体" w:cs="v4.2.0"/>
              <w:sz w:val="20"/>
              <w:szCs w:val="22"/>
              <w:lang w:val="en-US" w:eastAsia="zh-CN" w:bidi="ar-SA"/>
            </w:rPr>
            <m:t>∗3∗</m:t>
          </m:r>
          <m:sSup>
            <m:sSupPr>
              <m:ctrlPr>
                <w:rPr>
                  <w:rFonts w:hint="default" w:ascii="Cambria Math" w:hAnsi="Cambria Math" w:eastAsia="宋体" w:cs="v4.2.0"/>
                  <w:i w:val="0"/>
                  <w:sz w:val="20"/>
                  <w:szCs w:val="22"/>
                  <w:lang w:val="en-US" w:eastAsia="zh-CN" w:bidi="ar-SA"/>
                </w:rPr>
              </m:ctrlPr>
            </m:sSupPr>
            <m:e>
              <m:r>
                <m:rPr>
                  <m:sty m:val="p"/>
                </m:rPr>
                <w:rPr>
                  <w:rFonts w:hint="default" w:ascii="Cambria Math" w:hAnsi="Cambria Math" w:eastAsia="宋体" w:cs="v4.2.0"/>
                  <w:sz w:val="20"/>
                  <w:szCs w:val="22"/>
                  <w:lang w:val="en-US" w:eastAsia="zh-CN" w:bidi="ar-SA"/>
                </w:rPr>
                <m:t>10</m:t>
              </m:r>
              <m:ctrlPr>
                <w:rPr>
                  <w:rFonts w:hint="default" w:ascii="Cambria Math" w:hAnsi="Cambria Math" w:eastAsia="宋体" w:cs="v4.2.0"/>
                  <w:i w:val="0"/>
                  <w:sz w:val="20"/>
                  <w:szCs w:val="22"/>
                  <w:lang w:val="en-US" w:eastAsia="zh-CN" w:bidi="ar-SA"/>
                </w:rPr>
              </m:ctrlPr>
            </m:e>
            <m:sup>
              <m:r>
                <m:rPr>
                  <m:sty m:val="p"/>
                </m:rPr>
                <w:rPr>
                  <w:rFonts w:hint="default" w:ascii="Cambria Math" w:hAnsi="Cambria Math" w:eastAsia="宋体" w:cs="v4.2.0"/>
                  <w:sz w:val="20"/>
                  <w:szCs w:val="22"/>
                  <w:lang w:val="en-US" w:eastAsia="zh-CN" w:bidi="ar-SA"/>
                </w:rPr>
                <m:t>8</m:t>
              </m:r>
              <m:ctrlPr>
                <w:rPr>
                  <w:rFonts w:hint="default" w:ascii="Cambria Math" w:hAnsi="Cambria Math" w:eastAsia="宋体" w:cs="v4.2.0"/>
                  <w:i w:val="0"/>
                  <w:sz w:val="20"/>
                  <w:szCs w:val="22"/>
                  <w:lang w:val="en-US" w:eastAsia="zh-CN" w:bidi="ar-SA"/>
                </w:rPr>
              </m:ctrlPr>
            </m:sup>
          </m:sSup>
          <m:r>
            <m:rPr>
              <m:sty m:val="p"/>
            </m:rPr>
            <w:rPr>
              <w:rFonts w:hint="default" w:ascii="Cambria Math" w:hAnsi="Cambria Math" w:eastAsia="宋体" w:cs="v4.2.0"/>
              <w:sz w:val="20"/>
              <w:szCs w:val="22"/>
              <w:lang w:val="en-US" w:eastAsia="zh-CN" w:bidi="ar-SA"/>
            </w:rPr>
            <m:t>=1.2m</m:t>
          </m:r>
        </m:oMath>
      </m:oMathPara>
    </w:p>
    <w:p>
      <w:pPr>
        <w:jc w:val="both"/>
        <w:rPr>
          <w:rFonts w:hint="default" w:hAnsi="Cambria Math" w:eastAsia="宋体" w:cs="v4.2.0"/>
          <w:b w:val="0"/>
          <w:i w:val="0"/>
          <w:sz w:val="20"/>
          <w:szCs w:val="22"/>
          <w:highlight w:val="none"/>
          <w:lang w:val="en-US" w:eastAsia="zh-CN" w:bidi="ar-SA"/>
        </w:rPr>
      </w:pPr>
      <w:r>
        <w:rPr>
          <w:rFonts w:hint="eastAsia" w:hAnsi="Cambria Math" w:eastAsia="宋体" w:cs="v4.2.0"/>
          <w:i w:val="0"/>
          <w:sz w:val="20"/>
          <w:szCs w:val="22"/>
          <w:lang w:val="en-US" w:eastAsia="zh-CN" w:bidi="ar-SA"/>
        </w:rPr>
        <w:t xml:space="preserve">Compared to the existing MRTD value in the spec. </w:t>
      </w:r>
      <w:r>
        <w:rPr>
          <w:rFonts w:hint="eastAsia" w:hAnsi="Cambria Math" w:eastAsia="宋体" w:cs="v4.2.0"/>
          <w:i w:val="0"/>
          <w:sz w:val="20"/>
          <w:szCs w:val="22"/>
          <w:highlight w:val="yellow"/>
          <w:lang w:val="en-US" w:eastAsia="zh-CN" w:bidi="ar-SA"/>
        </w:rPr>
        <w:t>1.2m</w:t>
      </w:r>
      <m:oMath>
        <m:r>
          <m:rPr>
            <m:sty m:val="p"/>
          </m:rPr>
          <w:rPr>
            <w:rFonts w:ascii="Cambria Math" w:hAnsi="Cambria Math" w:cs="v4.2.0"/>
            <w:sz w:val="20"/>
            <w:szCs w:val="22"/>
            <w:highlight w:val="yellow"/>
            <w:lang w:val="en-US" w:bidi="ar-SA"/>
          </w:rPr>
          <m:t>≪</m:t>
        </m:r>
      </m:oMath>
      <w:r>
        <w:rPr>
          <w:rFonts w:hint="eastAsia" w:hAnsi="Cambria Math" w:eastAsia="宋体" w:cs="v4.2.0"/>
          <w:i w:val="0"/>
          <w:sz w:val="20"/>
          <w:szCs w:val="22"/>
          <w:highlight w:val="yellow"/>
          <w:lang w:val="en-US" w:eastAsia="zh-CN" w:bidi="ar-SA"/>
        </w:rPr>
        <w:t>900m,</w:t>
      </w:r>
      <w:r>
        <w:rPr>
          <w:rFonts w:hint="eastAsia" w:hAnsi="Cambria Math" w:eastAsia="宋体" w:cs="v4.2.0"/>
          <w:i w:val="0"/>
          <w:sz w:val="20"/>
          <w:szCs w:val="22"/>
          <w:highlight w:val="none"/>
          <w:lang w:val="en-US" w:eastAsia="zh-CN" w:bidi="ar-SA"/>
        </w:rPr>
        <w:t xml:space="preserve"> and </w:t>
      </w:r>
      <w:r>
        <w:rPr>
          <w:rFonts w:hint="eastAsia" w:hAnsi="Cambria Math" w:eastAsia="宋体" w:cs="v4.2.0"/>
          <w:i w:val="0"/>
          <w:sz w:val="20"/>
          <w:szCs w:val="22"/>
          <w:highlight w:val="yellow"/>
          <w:lang w:val="en-US" w:eastAsia="zh-CN" w:bidi="ar-SA"/>
        </w:rPr>
        <w:t>4ns</w:t>
      </w:r>
      <m:oMath>
        <m:r>
          <m:rPr>
            <m:sty m:val="p"/>
          </m:rPr>
          <w:rPr>
            <w:rFonts w:ascii="Cambria Math" w:hAnsi="Cambria Math" w:cs="v4.2.0"/>
            <w:sz w:val="20"/>
            <w:szCs w:val="22"/>
            <w:highlight w:val="yellow"/>
            <w:lang w:val="en-US" w:bidi="ar-SA"/>
          </w:rPr>
          <m:t>≪</m:t>
        </m:r>
      </m:oMath>
      <w:r>
        <w:rPr>
          <w:rFonts w:hint="eastAsia" w:hAnsi="Cambria Math" w:eastAsia="宋体" w:cs="v4.2.0"/>
          <w:b w:val="0"/>
          <w:i w:val="0"/>
          <w:sz w:val="20"/>
          <w:szCs w:val="22"/>
          <w:highlight w:val="yellow"/>
          <w:lang w:val="en-US" w:eastAsia="zh-CN" w:bidi="ar-SA"/>
        </w:rPr>
        <w:t xml:space="preserve">(the length of CP in 15KHz and 30KHz showed above). </w:t>
      </w:r>
      <w:r>
        <w:rPr>
          <w:rFonts w:hint="eastAsia" w:hAnsi="Cambria Math" w:eastAsia="宋体" w:cs="v4.2.0"/>
          <w:b w:val="0"/>
          <w:i w:val="0"/>
          <w:sz w:val="20"/>
          <w:szCs w:val="22"/>
          <w:highlight w:val="none"/>
          <w:lang w:val="en-US" w:eastAsia="zh-CN" w:bidi="ar-SA"/>
        </w:rPr>
        <w:t xml:space="preserve">In this way, the accuracy of time difference between two CCs from the existing MRTD value, </w:t>
      </w:r>
      <m:oMath>
        <m:r>
          <m:rPr>
            <m:sty m:val="p"/>
          </m:rPr>
          <w:rPr>
            <w:rFonts w:hint="default" w:ascii="Cambria Math" w:hAnsi="Cambria Math" w:eastAsia="宋体" w:cs="v4.2.0"/>
            <w:sz w:val="20"/>
            <w:szCs w:val="22"/>
            <w:lang w:val="en-US" w:eastAsia="zh-CN" w:bidi="ar-SA"/>
          </w:rPr>
          <m:t>3</m:t>
        </m:r>
        <m:r>
          <m:rPr>
            <m:sty m:val="p"/>
          </m:rPr>
          <w:rPr>
            <w:rFonts w:ascii="Cambria Math" w:hAnsi="Cambria Math" w:cs="v4.2.0"/>
            <w:sz w:val="20"/>
            <w:szCs w:val="22"/>
            <w:lang w:val="en-US" w:bidi="ar-SA"/>
          </w:rPr>
          <m:t>μ</m:t>
        </m:r>
        <m:r>
          <m:rPr>
            <m:sty m:val="p"/>
          </m:rPr>
          <w:rPr>
            <w:rFonts w:hint="default" w:ascii="Cambria Math" w:hAnsi="Cambria Math" w:eastAsia="宋体" w:cs="v4.2.0"/>
            <w:sz w:val="20"/>
            <w:szCs w:val="22"/>
            <w:lang w:val="en-US" w:eastAsia="zh-CN" w:bidi="ar-SA"/>
          </w:rPr>
          <m:t>s</m:t>
        </m:r>
      </m:oMath>
      <w:r>
        <w:rPr>
          <w:rFonts w:hint="eastAsia" w:hAnsi="Cambria Math" w:eastAsia="宋体" w:cs="v4.2.0"/>
          <w:b w:val="0"/>
          <w:i w:val="0"/>
          <w:sz w:val="20"/>
          <w:szCs w:val="22"/>
          <w:lang w:val="en-US" w:eastAsia="zh-CN" w:bidi="ar-SA"/>
        </w:rPr>
        <w:t xml:space="preserve">, </w:t>
      </w:r>
      <w:r>
        <w:rPr>
          <w:rFonts w:hint="eastAsia" w:hAnsi="Cambria Math" w:eastAsia="宋体" w:cs="v4.2.0"/>
          <w:b w:val="0"/>
          <w:i w:val="0"/>
          <w:sz w:val="20"/>
          <w:szCs w:val="22"/>
          <w:highlight w:val="none"/>
          <w:lang w:val="en-US" w:eastAsia="zh-CN" w:bidi="ar-SA"/>
        </w:rPr>
        <w:t>is improper. But the concrete value will continue to study in RF session.</w:t>
      </w:r>
    </w:p>
    <w:p>
      <w:pPr>
        <w:jc w:val="both"/>
        <w:rPr>
          <w:rFonts w:hint="eastAsia" w:hAnsi="Cambria Math" w:eastAsia="宋体" w:cs="v4.2.0"/>
          <w:b w:val="0"/>
          <w:i w:val="0"/>
          <w:sz w:val="20"/>
          <w:szCs w:val="22"/>
          <w:highlight w:val="none"/>
          <w:lang w:val="en-US" w:eastAsia="zh-CN" w:bidi="ar-SA"/>
        </w:rPr>
      </w:pPr>
    </w:p>
    <w:p>
      <w:pPr>
        <w:pStyle w:val="75"/>
        <w:numPr>
          <w:ilvl w:val="0"/>
          <w:numId w:val="11"/>
        </w:numPr>
        <w:ind w:left="0" w:firstLine="0"/>
        <w:rPr>
          <w:rFonts w:hint="default"/>
          <w:lang w:val="en-US"/>
        </w:rPr>
      </w:pPr>
      <w:r>
        <w:t xml:space="preserve">For </w:t>
      </w:r>
      <w:r>
        <w:rPr>
          <w:rFonts w:hint="eastAsia" w:eastAsia="宋体"/>
          <w:lang w:val="en-US" w:eastAsia="zh-CN"/>
        </w:rPr>
        <w:t>time difference between PRS/SRS CCs in intra-band contiguous CA</w:t>
      </w:r>
      <w:r>
        <w:t>,</w:t>
      </w:r>
      <w:r>
        <w:rPr>
          <w:rFonts w:hint="eastAsia" w:eastAsia="宋体"/>
          <w:lang w:val="en-US" w:eastAsia="zh-CN"/>
        </w:rPr>
        <w:t xml:space="preserve"> we do not need to use the existing MRTD value since the </w:t>
      </w:r>
      <m:oMath>
        <m:r>
          <m:rPr>
            <m:sty m:val="b"/>
          </m:rPr>
          <w:rPr>
            <w:rFonts w:hint="default" w:ascii="Cambria Math" w:hAnsi="Cambria Math" w:eastAsia="宋体" w:cs="Times New Roman"/>
            <w:sz w:val="20"/>
            <w:szCs w:val="18"/>
            <w:lang w:val="en-US" w:eastAsia="zh-CN" w:bidi="ar-SA"/>
          </w:rPr>
          <m:t>3</m:t>
        </m:r>
        <m:r>
          <m:rPr>
            <m:sty m:val="b"/>
          </m:rPr>
          <w:rPr>
            <w:rFonts w:ascii="Cambria Math" w:hAnsi="Cambria Math" w:cs="Times New Roman"/>
            <w:sz w:val="20"/>
            <w:szCs w:val="18"/>
            <w:lang w:val="en-US" w:bidi="ar-SA"/>
          </w:rPr>
          <m:t>μ</m:t>
        </m:r>
        <m:r>
          <m:rPr>
            <m:sty m:val="b"/>
          </m:rPr>
          <w:rPr>
            <w:rFonts w:hint="default" w:ascii="Cambria Math" w:hAnsi="Cambria Math" w:eastAsia="宋体" w:cs="Times New Roman"/>
            <w:sz w:val="20"/>
            <w:szCs w:val="18"/>
            <w:lang w:val="en-US" w:eastAsia="zh-CN" w:bidi="ar-SA"/>
          </w:rPr>
          <m:t>s</m:t>
        </m:r>
      </m:oMath>
      <w:r>
        <w:rPr>
          <w:rFonts w:hint="eastAsia" w:hAnsi="Cambria Math" w:eastAsia="宋体" w:cs="Times New Roman"/>
          <w:b/>
          <w:i w:val="0"/>
          <w:iCs/>
          <w:sz w:val="20"/>
          <w:szCs w:val="18"/>
          <w:lang w:val="en-US" w:eastAsia="zh-CN" w:bidi="ar-SA"/>
        </w:rPr>
        <w:t xml:space="preserve"> is too large to improve the positioning accuracy.</w:t>
      </w:r>
    </w:p>
    <w:p>
      <w:pPr>
        <w:pStyle w:val="75"/>
        <w:numPr>
          <w:ilvl w:val="0"/>
          <w:numId w:val="11"/>
        </w:numPr>
        <w:ind w:left="0" w:firstLine="0"/>
        <w:rPr>
          <w:rFonts w:hint="default"/>
          <w:lang w:val="en-US"/>
        </w:rPr>
      </w:pPr>
      <w:r>
        <w:t xml:space="preserve">For </w:t>
      </w:r>
      <w:r>
        <w:rPr>
          <w:rFonts w:hint="eastAsia" w:eastAsia="宋体"/>
          <w:lang w:val="en-US" w:eastAsia="zh-CN"/>
        </w:rPr>
        <w:t>time difference between PRS/SRS CCs in intra-band contiguous CA</w:t>
      </w:r>
      <w:r>
        <w:t>,</w:t>
      </w:r>
      <w:r>
        <w:rPr>
          <w:rFonts w:hint="eastAsia" w:eastAsia="宋体"/>
          <w:lang w:val="en-US" w:eastAsia="zh-CN"/>
        </w:rPr>
        <w:t xml:space="preserve"> we need to wait for the concrete value from RF session.</w:t>
      </w:r>
    </w:p>
    <w:p>
      <w:pPr>
        <w:pStyle w:val="72"/>
        <w:rPr>
          <w:lang w:val="en-US"/>
        </w:rPr>
      </w:pPr>
      <w:r>
        <w:rPr>
          <w:lang w:val="en-US"/>
        </w:rPr>
        <w:t>Conclusion</w:t>
      </w:r>
    </w:p>
    <w:p>
      <w:r>
        <w:t xml:space="preserve">RRM impacts for both Rel-18 NR accuracy improvements, namely PRS/SRS bandwidth aggregation </w:t>
      </w:r>
      <w:r>
        <w:rPr>
          <w:rFonts w:hint="eastAsia" w:eastAsia="宋体"/>
          <w:lang w:val="en-US" w:eastAsia="zh-CN"/>
        </w:rPr>
        <w:t xml:space="preserve">is </w:t>
      </w:r>
      <w:r>
        <w:t>discussed on high level in this contribution.</w:t>
      </w:r>
    </w:p>
    <w:p>
      <w:pPr>
        <w:rPr>
          <w:lang w:val="en-GB"/>
        </w:rPr>
      </w:pPr>
      <w:r>
        <w:rPr>
          <w:lang w:val="en-GB"/>
        </w:rPr>
        <w:t>The following proposals are made.</w:t>
      </w:r>
    </w:p>
    <w:p>
      <w:pPr>
        <w:pStyle w:val="75"/>
        <w:numPr>
          <w:ilvl w:val="0"/>
          <w:numId w:val="0"/>
        </w:numPr>
        <w:ind w:leftChars="0"/>
        <w:rPr>
          <w:rFonts w:hint="default"/>
          <w:lang w:val="en-US"/>
        </w:rPr>
      </w:pPr>
      <w:r>
        <w:rPr>
          <w:rFonts w:hint="eastAsia" w:eastAsia="宋体"/>
          <w:lang w:val="en-US" w:eastAsia="zh-CN"/>
        </w:rPr>
        <w:t xml:space="preserve">Proposal 1: </w:t>
      </w:r>
      <w:r>
        <w:t xml:space="preserve">For </w:t>
      </w:r>
      <w:r>
        <w:rPr>
          <w:rFonts w:hint="eastAsia" w:eastAsia="宋体"/>
          <w:lang w:val="en-US" w:eastAsia="zh-CN"/>
        </w:rPr>
        <w:t>time difference between PRS/SRS CCs in intra-band contiguous CA</w:t>
      </w:r>
      <w:r>
        <w:t>,</w:t>
      </w:r>
      <w:r>
        <w:rPr>
          <w:rFonts w:hint="eastAsia" w:eastAsia="宋体"/>
          <w:lang w:val="en-US" w:eastAsia="zh-CN"/>
        </w:rPr>
        <w:t xml:space="preserve"> we do not need to use the existing MRTD value since the </w:t>
      </w:r>
      <m:oMath>
        <m:r>
          <m:rPr>
            <m:sty m:val="b"/>
          </m:rPr>
          <w:rPr>
            <w:rFonts w:hint="default" w:ascii="Cambria Math" w:hAnsi="Cambria Math" w:eastAsia="宋体" w:cs="Times New Roman"/>
            <w:sz w:val="20"/>
            <w:szCs w:val="18"/>
            <w:lang w:val="en-US" w:eastAsia="zh-CN" w:bidi="ar-SA"/>
          </w:rPr>
          <m:t>3</m:t>
        </m:r>
        <m:r>
          <m:rPr>
            <m:sty m:val="b"/>
          </m:rPr>
          <w:rPr>
            <w:rFonts w:ascii="Cambria Math" w:hAnsi="Cambria Math" w:cs="Times New Roman"/>
            <w:sz w:val="20"/>
            <w:szCs w:val="18"/>
            <w:lang w:val="en-US" w:bidi="ar-SA"/>
          </w:rPr>
          <m:t>μ</m:t>
        </m:r>
        <m:r>
          <m:rPr>
            <m:sty m:val="b"/>
          </m:rPr>
          <w:rPr>
            <w:rFonts w:hint="default" w:ascii="Cambria Math" w:hAnsi="Cambria Math" w:eastAsia="宋体" w:cs="Times New Roman"/>
            <w:sz w:val="20"/>
            <w:szCs w:val="18"/>
            <w:lang w:val="en-US" w:eastAsia="zh-CN" w:bidi="ar-SA"/>
          </w:rPr>
          <m:t>s</m:t>
        </m:r>
      </m:oMath>
      <w:r>
        <w:rPr>
          <w:rFonts w:hint="eastAsia" w:hAnsi="Cambria Math" w:eastAsia="宋体" w:cs="Times New Roman"/>
          <w:b/>
          <w:i w:val="0"/>
          <w:iCs/>
          <w:sz w:val="20"/>
          <w:szCs w:val="18"/>
          <w:lang w:val="en-US" w:eastAsia="zh-CN" w:bidi="ar-SA"/>
        </w:rPr>
        <w:t xml:space="preserve"> is too large to improve the positioning accuracy.</w:t>
      </w:r>
    </w:p>
    <w:p>
      <w:pPr>
        <w:pStyle w:val="75"/>
        <w:numPr>
          <w:ilvl w:val="0"/>
          <w:numId w:val="0"/>
        </w:numPr>
        <w:ind w:leftChars="0"/>
        <w:rPr>
          <w:rFonts w:hint="default"/>
          <w:lang w:val="en-US"/>
        </w:rPr>
      </w:pPr>
      <w:r>
        <w:rPr>
          <w:rFonts w:hint="eastAsia" w:eastAsia="宋体"/>
          <w:lang w:val="en-US" w:eastAsia="zh-CN"/>
        </w:rPr>
        <w:t xml:space="preserve">Proposal 2: </w:t>
      </w:r>
      <w:r>
        <w:t xml:space="preserve">For </w:t>
      </w:r>
      <w:r>
        <w:rPr>
          <w:rFonts w:hint="eastAsia" w:eastAsia="宋体"/>
          <w:lang w:val="en-US" w:eastAsia="zh-CN"/>
        </w:rPr>
        <w:t>time difference between PRS/SRS CCs in intra-band contiguous CA</w:t>
      </w:r>
      <w:r>
        <w:t>,</w:t>
      </w:r>
      <w:r>
        <w:rPr>
          <w:rFonts w:hint="eastAsia" w:eastAsia="宋体"/>
          <w:lang w:val="en-US" w:eastAsia="zh-CN"/>
        </w:rPr>
        <w:t xml:space="preserve"> we need to wait for the concrete value from RF session.</w:t>
      </w:r>
    </w:p>
    <w:p>
      <w:pPr>
        <w:pStyle w:val="72"/>
        <w:numPr>
          <w:ilvl w:val="0"/>
          <w:numId w:val="0"/>
        </w:numPr>
        <w:ind w:left="360" w:hanging="360"/>
        <w:rPr>
          <w:lang w:val="en-US"/>
        </w:rPr>
      </w:pPr>
      <w:r>
        <w:rPr>
          <w:lang w:val="en-US"/>
        </w:rPr>
        <w:t>References</w:t>
      </w:r>
    </w:p>
    <w:p>
      <w:pPr>
        <w:pStyle w:val="68"/>
        <w:numPr>
          <w:ilvl w:val="0"/>
          <w:numId w:val="12"/>
        </w:numPr>
        <w:ind w:right="-22"/>
      </w:pPr>
      <w:bookmarkStart w:id="3" w:name="_Ref114500673"/>
      <w:bookmarkEnd w:id="3"/>
      <w:r>
        <w:t>RP-213588, “Study on expanded and improved NR positioning”, Intel Corporation, RAN#94-e</w:t>
      </w:r>
    </w:p>
    <w:p>
      <w:pPr>
        <w:pStyle w:val="68"/>
        <w:numPr>
          <w:ilvl w:val="0"/>
          <w:numId w:val="12"/>
        </w:numPr>
        <w:ind w:right="-22"/>
      </w:pPr>
      <w:r>
        <w:t>R4-2214248, “Email discussion summary for [104-e][137] FS_NR_pos_UERF”, Moderator (Intel Corporation)</w:t>
      </w:r>
    </w:p>
    <w:p>
      <w:pPr>
        <w:pStyle w:val="68"/>
        <w:numPr>
          <w:ilvl w:val="0"/>
          <w:numId w:val="12"/>
        </w:numPr>
        <w:ind w:right="-22"/>
      </w:pPr>
      <w:r>
        <w:t>R4-2214462, “WF on expanded and improved NR positioning study”, Intel Corporation</w:t>
      </w:r>
    </w:p>
    <w:p>
      <w:pPr>
        <w:pStyle w:val="68"/>
        <w:numPr>
          <w:ilvl w:val="0"/>
          <w:numId w:val="12"/>
        </w:numPr>
        <w:ind w:right="-22"/>
      </w:pPr>
      <w:r>
        <w:t>3GPP TR 38.859 V0.1.0, “Study on Expanded and Improved NR Positioning (Release 18)”</w:t>
      </w:r>
    </w:p>
    <w:p>
      <w:pPr>
        <w:pStyle w:val="68"/>
        <w:numPr>
          <w:ilvl w:val="0"/>
          <w:numId w:val="12"/>
        </w:numPr>
        <w:ind w:right="-22"/>
      </w:pPr>
      <w:r>
        <w:rPr>
          <w:rFonts w:hint="eastAsia" w:eastAsia="宋体"/>
          <w:lang w:val="en-US" w:eastAsia="zh-CN"/>
        </w:rPr>
        <w:t xml:space="preserve">R4-2216229, </w:t>
      </w:r>
      <w:r>
        <w:rPr>
          <w:rFonts w:hint="default" w:eastAsia="宋体"/>
          <w:lang w:val="en-US" w:eastAsia="zh-CN"/>
        </w:rPr>
        <w:t>“RRM impacts for NR positioning accuracy improvements bandwidth aggregation and carrier phase measurements ”</w:t>
      </w:r>
      <w:r>
        <w:rPr>
          <w:rFonts w:hint="eastAsia" w:eastAsia="宋体"/>
          <w:lang w:val="en-US" w:eastAsia="zh-CN"/>
        </w:rPr>
        <w:t>, Nokia, Nokia Shanghai Bell.</w:t>
      </w:r>
    </w:p>
    <w:p>
      <w:pPr>
        <w:pStyle w:val="68"/>
        <w:numPr>
          <w:ilvl w:val="0"/>
          <w:numId w:val="12"/>
        </w:numPr>
        <w:ind w:right="-22"/>
      </w:pPr>
      <w:r>
        <w:rPr>
          <w:rFonts w:hint="eastAsia" w:eastAsia="宋体"/>
          <w:lang w:val="en-US" w:eastAsia="zh-CN"/>
        </w:rPr>
        <w:t xml:space="preserve">R4-2216541, </w:t>
      </w:r>
      <w:r>
        <w:rPr>
          <w:rFonts w:hint="default" w:eastAsia="宋体"/>
          <w:lang w:val="en-US" w:eastAsia="zh-CN"/>
        </w:rPr>
        <w:t>“Further discussion on CA based positioning enhancement ”</w:t>
      </w:r>
      <w:r>
        <w:rPr>
          <w:rFonts w:hint="eastAsia" w:eastAsia="宋体"/>
          <w:lang w:val="en-US" w:eastAsia="zh-CN"/>
        </w:rPr>
        <w:t>, ZTE Corporation.</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2"/>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7C8356"/>
    <w:multiLevelType w:val="singleLevel"/>
    <w:tmpl w:val="A07C8356"/>
    <w:lvl w:ilvl="0" w:tentative="0">
      <w:start w:val="1"/>
      <w:numFmt w:val="bullet"/>
      <w:lvlText w:val=""/>
      <w:lvlJc w:val="left"/>
      <w:pPr>
        <w:ind w:left="420" w:hanging="420"/>
      </w:pPr>
      <w:rPr>
        <w:rFonts w:hint="default" w:ascii="Wingdings" w:hAnsi="Wingdings"/>
      </w:rPr>
    </w:lvl>
  </w:abstractNum>
  <w:abstractNum w:abstractNumId="1">
    <w:nsid w:val="A4333067"/>
    <w:multiLevelType w:val="singleLevel"/>
    <w:tmpl w:val="A4333067"/>
    <w:lvl w:ilvl="0" w:tentative="0">
      <w:start w:val="1"/>
      <w:numFmt w:val="bullet"/>
      <w:lvlText w:val=""/>
      <w:lvlJc w:val="left"/>
      <w:pPr>
        <w:ind w:left="420" w:hanging="420"/>
      </w:pPr>
      <w:rPr>
        <w:rFonts w:hint="default" w:ascii="Wingdings" w:hAnsi="Wingdings"/>
      </w:rPr>
    </w:lvl>
  </w:abstractNum>
  <w:abstractNum w:abstractNumId="2">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F065933"/>
    <w:multiLevelType w:val="singleLevel"/>
    <w:tmpl w:val="3F065933"/>
    <w:lvl w:ilvl="0" w:tentative="0">
      <w:start w:val="1"/>
      <w:numFmt w:val="bullet"/>
      <w:lvlText w:val=""/>
      <w:lvlJc w:val="left"/>
      <w:pPr>
        <w:ind w:left="420" w:hanging="420"/>
      </w:pPr>
      <w:rPr>
        <w:rFonts w:hint="default" w:ascii="Wingdings" w:hAnsi="Wingdings"/>
      </w:rPr>
    </w:lvl>
  </w:abstractNum>
  <w:abstractNum w:abstractNumId="4">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75"/>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51E90F97"/>
    <w:multiLevelType w:val="multilevel"/>
    <w:tmpl w:val="51E90F9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83F2627"/>
    <w:multiLevelType w:val="multilevel"/>
    <w:tmpl w:val="583F262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65C217B"/>
    <w:multiLevelType w:val="multilevel"/>
    <w:tmpl w:val="665C217B"/>
    <w:lvl w:ilvl="0" w:tentative="0">
      <w:start w:val="1"/>
      <w:numFmt w:val="decimal"/>
      <w:pStyle w:val="72"/>
      <w:lvlText w:val="%1"/>
      <w:lvlJc w:val="left"/>
      <w:pPr>
        <w:ind w:left="360" w:hanging="360"/>
      </w:pPr>
      <w:rPr>
        <w:rFonts w:hint="default"/>
      </w:rPr>
    </w:lvl>
    <w:lvl w:ilvl="1" w:tentative="0">
      <w:start w:val="1"/>
      <w:numFmt w:val="decimal"/>
      <w:pStyle w:val="74"/>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0">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9"/>
  </w:num>
  <w:num w:numId="2">
    <w:abstractNumId w:val="5"/>
  </w:num>
  <w:num w:numId="3">
    <w:abstractNumId w:val="2"/>
  </w:num>
  <w:num w:numId="4">
    <w:abstractNumId w:val="4"/>
  </w:num>
  <w:num w:numId="5">
    <w:abstractNumId w:val="10"/>
  </w:num>
  <w:num w:numId="6">
    <w:abstractNumId w:val="7"/>
  </w:num>
  <w:num w:numId="7">
    <w:abstractNumId w:val="6"/>
  </w:num>
  <w:num w:numId="8">
    <w:abstractNumId w:val="0"/>
  </w:num>
  <w:num w:numId="9">
    <w:abstractNumId w:val="1"/>
  </w:num>
  <w:num w:numId="10">
    <w:abstractNumId w:val="3"/>
  </w:num>
  <w:num w:numId="11">
    <w:abstractNumId w:val="5"/>
    <w:lvlOverride w:ilvl="0">
      <w:startOverride w:val="1"/>
    </w:lvlOverride>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708"/>
    <w:rsid w:val="00F80895"/>
    <w:rsid w:val="00F9008D"/>
    <w:rsid w:val="00FA1266"/>
    <w:rsid w:val="00FC1192"/>
    <w:rsid w:val="01907C39"/>
    <w:rsid w:val="046301A2"/>
    <w:rsid w:val="05DB67C3"/>
    <w:rsid w:val="07F66AC5"/>
    <w:rsid w:val="084C657D"/>
    <w:rsid w:val="09606948"/>
    <w:rsid w:val="096E0D4F"/>
    <w:rsid w:val="0ABC02E8"/>
    <w:rsid w:val="0B3F6621"/>
    <w:rsid w:val="0B6A4840"/>
    <w:rsid w:val="0B707256"/>
    <w:rsid w:val="0D8972A3"/>
    <w:rsid w:val="0E777792"/>
    <w:rsid w:val="0F511411"/>
    <w:rsid w:val="10BB3068"/>
    <w:rsid w:val="11846297"/>
    <w:rsid w:val="11EE75FC"/>
    <w:rsid w:val="12C003F7"/>
    <w:rsid w:val="13C23A1B"/>
    <w:rsid w:val="142A2204"/>
    <w:rsid w:val="1646133C"/>
    <w:rsid w:val="170716B6"/>
    <w:rsid w:val="17D01F3A"/>
    <w:rsid w:val="185A42FA"/>
    <w:rsid w:val="18E96032"/>
    <w:rsid w:val="18EE62E8"/>
    <w:rsid w:val="19551A74"/>
    <w:rsid w:val="197C2433"/>
    <w:rsid w:val="1AC56317"/>
    <w:rsid w:val="1B777BC9"/>
    <w:rsid w:val="1B990279"/>
    <w:rsid w:val="1B9B4E1C"/>
    <w:rsid w:val="1B9C50E9"/>
    <w:rsid w:val="1BAD4429"/>
    <w:rsid w:val="1BB80557"/>
    <w:rsid w:val="1DB553DF"/>
    <w:rsid w:val="1EAD4127"/>
    <w:rsid w:val="1EB8797A"/>
    <w:rsid w:val="1F25251D"/>
    <w:rsid w:val="1FBB5482"/>
    <w:rsid w:val="200D64BE"/>
    <w:rsid w:val="20584BED"/>
    <w:rsid w:val="21361FB5"/>
    <w:rsid w:val="214B3D89"/>
    <w:rsid w:val="21575426"/>
    <w:rsid w:val="2177769E"/>
    <w:rsid w:val="230D3451"/>
    <w:rsid w:val="25425A19"/>
    <w:rsid w:val="25AB3D1C"/>
    <w:rsid w:val="26274BB6"/>
    <w:rsid w:val="26AA20D3"/>
    <w:rsid w:val="26F81EB4"/>
    <w:rsid w:val="27310B9A"/>
    <w:rsid w:val="273E1C11"/>
    <w:rsid w:val="27D65541"/>
    <w:rsid w:val="27EC5FCE"/>
    <w:rsid w:val="28671C46"/>
    <w:rsid w:val="28F045AC"/>
    <w:rsid w:val="29D60A95"/>
    <w:rsid w:val="2A2D73EC"/>
    <w:rsid w:val="2AA369DD"/>
    <w:rsid w:val="2E106E4C"/>
    <w:rsid w:val="2F2B12A9"/>
    <w:rsid w:val="2FC73BC7"/>
    <w:rsid w:val="30160ACC"/>
    <w:rsid w:val="30944718"/>
    <w:rsid w:val="31B9498A"/>
    <w:rsid w:val="320C562E"/>
    <w:rsid w:val="33106E3B"/>
    <w:rsid w:val="35290A77"/>
    <w:rsid w:val="356A601B"/>
    <w:rsid w:val="36225127"/>
    <w:rsid w:val="36237E20"/>
    <w:rsid w:val="376C5D00"/>
    <w:rsid w:val="39D3500A"/>
    <w:rsid w:val="39E55169"/>
    <w:rsid w:val="3AA02CE4"/>
    <w:rsid w:val="3AD31906"/>
    <w:rsid w:val="3CBD75BF"/>
    <w:rsid w:val="3D555673"/>
    <w:rsid w:val="3D876DDA"/>
    <w:rsid w:val="3DF55B8D"/>
    <w:rsid w:val="3E320B89"/>
    <w:rsid w:val="3EF13BC7"/>
    <w:rsid w:val="40D34024"/>
    <w:rsid w:val="41366B89"/>
    <w:rsid w:val="41771599"/>
    <w:rsid w:val="420558C2"/>
    <w:rsid w:val="42FF71DC"/>
    <w:rsid w:val="43BD5DE5"/>
    <w:rsid w:val="444D54BA"/>
    <w:rsid w:val="44B36E39"/>
    <w:rsid w:val="44EC7013"/>
    <w:rsid w:val="45427AA4"/>
    <w:rsid w:val="455B6233"/>
    <w:rsid w:val="46A9603F"/>
    <w:rsid w:val="48CB1CC0"/>
    <w:rsid w:val="49582843"/>
    <w:rsid w:val="49C8100A"/>
    <w:rsid w:val="4A885CE1"/>
    <w:rsid w:val="4C6F66E5"/>
    <w:rsid w:val="4E993495"/>
    <w:rsid w:val="4EB2058C"/>
    <w:rsid w:val="4F1D369F"/>
    <w:rsid w:val="4F290247"/>
    <w:rsid w:val="4F433DC8"/>
    <w:rsid w:val="4FA14EEC"/>
    <w:rsid w:val="51286AE9"/>
    <w:rsid w:val="51B463DB"/>
    <w:rsid w:val="52853336"/>
    <w:rsid w:val="52881D50"/>
    <w:rsid w:val="53707DDE"/>
    <w:rsid w:val="53EE67E9"/>
    <w:rsid w:val="54591CDE"/>
    <w:rsid w:val="5652511E"/>
    <w:rsid w:val="58510290"/>
    <w:rsid w:val="58C64CF3"/>
    <w:rsid w:val="58CB3B78"/>
    <w:rsid w:val="5A723A0D"/>
    <w:rsid w:val="5A762255"/>
    <w:rsid w:val="5A9D621A"/>
    <w:rsid w:val="5ACF40CD"/>
    <w:rsid w:val="5BD637EC"/>
    <w:rsid w:val="5BDE5A43"/>
    <w:rsid w:val="5C34166A"/>
    <w:rsid w:val="5D230368"/>
    <w:rsid w:val="5E1463C6"/>
    <w:rsid w:val="5F892553"/>
    <w:rsid w:val="60A859A2"/>
    <w:rsid w:val="62F67597"/>
    <w:rsid w:val="630C34D0"/>
    <w:rsid w:val="63F75B8A"/>
    <w:rsid w:val="647F6D16"/>
    <w:rsid w:val="64EB1866"/>
    <w:rsid w:val="65A240BE"/>
    <w:rsid w:val="65A273A9"/>
    <w:rsid w:val="679D7D9D"/>
    <w:rsid w:val="67B84A87"/>
    <w:rsid w:val="685A52F7"/>
    <w:rsid w:val="68E84B74"/>
    <w:rsid w:val="69D9569F"/>
    <w:rsid w:val="6A3001E9"/>
    <w:rsid w:val="6BB554FE"/>
    <w:rsid w:val="6C1363EA"/>
    <w:rsid w:val="6C9803A4"/>
    <w:rsid w:val="6D243939"/>
    <w:rsid w:val="6D447778"/>
    <w:rsid w:val="6D84645E"/>
    <w:rsid w:val="6E7D48F4"/>
    <w:rsid w:val="6EE10B05"/>
    <w:rsid w:val="6F0472BB"/>
    <w:rsid w:val="6F5B3B07"/>
    <w:rsid w:val="6F7A7501"/>
    <w:rsid w:val="6FAD5E72"/>
    <w:rsid w:val="6FE54985"/>
    <w:rsid w:val="71B752EE"/>
    <w:rsid w:val="724062B5"/>
    <w:rsid w:val="72700C83"/>
    <w:rsid w:val="74044161"/>
    <w:rsid w:val="744446C4"/>
    <w:rsid w:val="74EE31EA"/>
    <w:rsid w:val="75842DFC"/>
    <w:rsid w:val="75BE0722"/>
    <w:rsid w:val="77247924"/>
    <w:rsid w:val="77D62A56"/>
    <w:rsid w:val="77E62733"/>
    <w:rsid w:val="77F84B71"/>
    <w:rsid w:val="78293DC3"/>
    <w:rsid w:val="785D218D"/>
    <w:rsid w:val="79307089"/>
    <w:rsid w:val="79A86542"/>
    <w:rsid w:val="7A3A078E"/>
    <w:rsid w:val="7A850292"/>
    <w:rsid w:val="7AC528C4"/>
    <w:rsid w:val="7B0320BB"/>
    <w:rsid w:val="7BCD7043"/>
    <w:rsid w:val="7DAA16F6"/>
    <w:rsid w:val="7E183EEA"/>
    <w:rsid w:val="7E855AE7"/>
    <w:rsid w:val="7E9D718F"/>
    <w:rsid w:val="7F912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1"/>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semiHidden/>
    <w:qFormat/>
    <w:uiPriority w:val="0"/>
  </w:style>
  <w:style w:type="character" w:styleId="29">
    <w:name w:val="FollowedHyperlink"/>
    <w:basedOn w:val="27"/>
    <w:qFormat/>
    <w:uiPriority w:val="0"/>
    <w:rPr>
      <w:color w:val="954F72" w:themeColor="followedHyperlink"/>
      <w:u w:val="single"/>
      <w14:textFill>
        <w14:solidFill>
          <w14:schemeClr w14:val="folHlink"/>
        </w14:solidFill>
      </w14:textFill>
    </w:rPr>
  </w:style>
  <w:style w:type="character" w:styleId="30">
    <w:name w:val="Hyperlink"/>
    <w:basedOn w:val="27"/>
    <w:qFormat/>
    <w:uiPriority w:val="0"/>
    <w:rPr>
      <w:color w:val="0563C1" w:themeColor="hyperlink"/>
      <w:u w:val="single"/>
      <w14:textFill>
        <w14:solidFill>
          <w14:schemeClr w14:val="hlink"/>
        </w14:solidFill>
      </w14:textFill>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basedOn w:val="27"/>
    <w:semiHidden/>
    <w:unhideWhenUsed/>
    <w:qFormat/>
    <w:uiPriority w:val="99"/>
    <w:rPr>
      <w:color w:val="605E5C"/>
      <w:shd w:val="clear" w:color="auto" w:fill="E1DFDD"/>
    </w:rPr>
  </w:style>
  <w:style w:type="paragraph" w:styleId="68">
    <w:name w:val="List Paragraph"/>
    <w:basedOn w:val="1"/>
    <w:link w:val="69"/>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69">
    <w:name w:val="List Paragraph Char"/>
    <w:link w:val="68"/>
    <w:qFormat/>
    <w:locked/>
    <w:uiPriority w:val="34"/>
    <w:rPr>
      <w:rFonts w:asciiTheme="minorHAnsi" w:hAnsiTheme="minorHAnsi" w:eastAsiaTheme="minorHAnsi" w:cstheme="minorBidi"/>
      <w:sz w:val="22"/>
      <w:szCs w:val="22"/>
      <w:lang w:val="sv-SE" w:eastAsia="en-US"/>
    </w:rPr>
  </w:style>
  <w:style w:type="paragraph" w:customStyle="1" w:styleId="70">
    <w:name w:val="CR Cover Page"/>
    <w:link w:val="71"/>
    <w:qFormat/>
    <w:uiPriority w:val="0"/>
    <w:pPr>
      <w:spacing w:after="120"/>
    </w:pPr>
    <w:rPr>
      <w:rFonts w:ascii="Arial" w:hAnsi="Arial" w:eastAsia="Times New Roman" w:cs="Times New Roman"/>
      <w:lang w:val="en-GB" w:eastAsia="en-US" w:bidi="ar-SA"/>
    </w:rPr>
  </w:style>
  <w:style w:type="character" w:customStyle="1" w:styleId="71">
    <w:name w:val="CR Cover Page Char"/>
    <w:link w:val="70"/>
    <w:qFormat/>
    <w:uiPriority w:val="0"/>
    <w:rPr>
      <w:rFonts w:ascii="Arial" w:hAnsi="Arial"/>
      <w:lang w:eastAsia="en-US"/>
    </w:rPr>
  </w:style>
  <w:style w:type="paragraph" w:customStyle="1" w:styleId="72">
    <w:name w:val="RAN4 H1"/>
    <w:basedOn w:val="1"/>
    <w:next w:val="1"/>
    <w:link w:val="73"/>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3">
    <w:name w:val="RAN4 H1 Char"/>
    <w:basedOn w:val="27"/>
    <w:link w:val="72"/>
    <w:qFormat/>
    <w:uiPriority w:val="0"/>
    <w:rPr>
      <w:rFonts w:ascii="Arial" w:hAnsi="Arial" w:eastAsia="宋体" w:cs="Times New Roman"/>
      <w:sz w:val="36"/>
      <w:szCs w:val="20"/>
      <w:lang w:val="en-GB"/>
    </w:rPr>
  </w:style>
  <w:style w:type="paragraph" w:customStyle="1" w:styleId="74">
    <w:name w:val="RAN4 H2"/>
    <w:basedOn w:val="3"/>
    <w:next w:val="1"/>
    <w:qFormat/>
    <w:uiPriority w:val="0"/>
    <w:pPr>
      <w:numPr>
        <w:ilvl w:val="1"/>
        <w:numId w:val="1"/>
      </w:numPr>
      <w:ind w:left="431" w:hanging="431"/>
    </w:pPr>
    <w:rPr>
      <w:lang w:val="en-US"/>
    </w:rPr>
  </w:style>
  <w:style w:type="paragraph" w:customStyle="1" w:styleId="75">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5</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10334769</cp:lastModifiedBy>
  <cp:lastPrinted>2019-02-25T14:05:00Z</cp:lastPrinted>
  <dcterms:modified xsi:type="dcterms:W3CDTF">2022-11-07T12:06:08Z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