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777FCA6E" w:rsidR="004A4802" w:rsidRPr="00A412D5" w:rsidRDefault="004A4802" w:rsidP="004A4802">
      <w:pPr>
        <w:pStyle w:val="3GPPHeader"/>
        <w:spacing w:after="0"/>
        <w:rPr>
          <w:lang w:val="en-US"/>
        </w:rPr>
      </w:pPr>
      <w:r w:rsidRPr="00DE5DDF">
        <w:rPr>
          <w:lang w:val="en-US"/>
        </w:rPr>
        <w:t>3GPP TSG-RAN4 Meeting #</w:t>
      </w:r>
      <w:r w:rsidR="00631481">
        <w:rPr>
          <w:lang w:val="en-US"/>
        </w:rPr>
        <w:t>105</w:t>
      </w:r>
      <w:r>
        <w:rPr>
          <w:lang w:val="en-US"/>
        </w:rPr>
        <w:tab/>
      </w:r>
      <w:r w:rsidR="00EC54C5" w:rsidRPr="00EC54C5">
        <w:rPr>
          <w:lang w:val="en-US"/>
        </w:rPr>
        <w:t>R4-2218415</w:t>
      </w:r>
    </w:p>
    <w:p w14:paraId="765E1C96" w14:textId="75111F67" w:rsidR="007F357C" w:rsidRPr="00B23518" w:rsidRDefault="008C2EDE" w:rsidP="007F357C">
      <w:pPr>
        <w:pStyle w:val="Header"/>
        <w:tabs>
          <w:tab w:val="right" w:pos="9781"/>
          <w:tab w:val="right" w:pos="13323"/>
        </w:tabs>
        <w:outlineLvl w:val="0"/>
        <w:rPr>
          <w:rFonts w:eastAsia="SimSun" w:cs="Arial"/>
          <w:b w:val="0"/>
          <w:sz w:val="24"/>
          <w:szCs w:val="24"/>
          <w:lang w:eastAsia="zh-CN"/>
        </w:rPr>
      </w:pPr>
      <w:r>
        <w:fldChar w:fldCharType="begin"/>
      </w:r>
      <w:r>
        <w:instrText xml:space="preserve"> DOCPROPERTY  Location  \* MERGEFORMAT </w:instrText>
      </w:r>
      <w:r>
        <w:fldChar w:fldCharType="separate"/>
      </w:r>
      <w:r w:rsidR="00785450" w:rsidRPr="00BA51D9">
        <w:rPr>
          <w:sz w:val="24"/>
        </w:rPr>
        <w:t>Toulouse</w:t>
      </w:r>
      <w:r>
        <w:rPr>
          <w:sz w:val="24"/>
        </w:rPr>
        <w:fldChar w:fldCharType="end"/>
      </w:r>
      <w:r w:rsidR="00785450">
        <w:rPr>
          <w:sz w:val="24"/>
        </w:rPr>
        <w:t xml:space="preserve">, </w:t>
      </w:r>
      <w:r>
        <w:fldChar w:fldCharType="begin"/>
      </w:r>
      <w:r>
        <w:instrText xml:space="preserve"> DOCPROPERTY  Country  \* MERGEFORMAT </w:instrText>
      </w:r>
      <w:r>
        <w:fldChar w:fldCharType="separate"/>
      </w:r>
      <w:r w:rsidR="00785450" w:rsidRPr="00BA51D9">
        <w:rPr>
          <w:sz w:val="24"/>
        </w:rPr>
        <w:t>France</w:t>
      </w:r>
      <w:r>
        <w:rPr>
          <w:sz w:val="24"/>
        </w:rPr>
        <w:fldChar w:fldCharType="end"/>
      </w:r>
      <w:r w:rsidR="00785450">
        <w:rPr>
          <w:sz w:val="24"/>
        </w:rPr>
        <w:t xml:space="preserve">, </w:t>
      </w:r>
      <w:r>
        <w:fldChar w:fldCharType="begin"/>
      </w:r>
      <w:r>
        <w:instrText xml:space="preserve"> DOCPROPERTY  StartDate  \* MERGEFORMAT </w:instrText>
      </w:r>
      <w:r>
        <w:fldChar w:fldCharType="separate"/>
      </w:r>
      <w:r w:rsidR="00785450" w:rsidRPr="00BA51D9">
        <w:rPr>
          <w:sz w:val="24"/>
        </w:rPr>
        <w:t>14th Nov 2022</w:t>
      </w:r>
      <w:r>
        <w:rPr>
          <w:sz w:val="24"/>
        </w:rPr>
        <w:fldChar w:fldCharType="end"/>
      </w:r>
      <w:r w:rsidR="00785450">
        <w:rPr>
          <w:sz w:val="24"/>
        </w:rPr>
        <w:t xml:space="preserve"> - </w:t>
      </w:r>
      <w:r>
        <w:fldChar w:fldCharType="begin"/>
      </w:r>
      <w:r>
        <w:instrText xml:space="preserve"> DOCPROPERTY  EndDate  \* MERGEFORMAT </w:instrText>
      </w:r>
      <w:r>
        <w:fldChar w:fldCharType="separate"/>
      </w:r>
      <w:r w:rsidR="00785450" w:rsidRPr="00BA51D9">
        <w:rPr>
          <w:sz w:val="24"/>
        </w:rPr>
        <w:t>18th Nov 2022</w:t>
      </w:r>
      <w:r>
        <w:rPr>
          <w:sz w:val="24"/>
        </w:rPr>
        <w:fldChar w:fldCharType="end"/>
      </w:r>
    </w:p>
    <w:p w14:paraId="6DBA1303" w14:textId="77777777" w:rsidR="00DB3907" w:rsidRPr="00E53F32" w:rsidRDefault="00DB3907" w:rsidP="00DB3907">
      <w:pPr>
        <w:pStyle w:val="Footer"/>
      </w:pPr>
    </w:p>
    <w:p w14:paraId="16783F2C" w14:textId="28B83F66"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785450">
        <w:rPr>
          <w:rFonts w:ascii="Arial" w:hAnsi="Arial"/>
          <w:sz w:val="24"/>
          <w:szCs w:val="24"/>
          <w:lang w:val="en-US"/>
        </w:rPr>
        <w:t>8.2</w:t>
      </w:r>
      <w:r w:rsidR="006C5460">
        <w:rPr>
          <w:rFonts w:ascii="Arial" w:hAnsi="Arial"/>
          <w:sz w:val="24"/>
          <w:szCs w:val="24"/>
          <w:lang w:val="en-US"/>
        </w:rPr>
        <w:t>4</w:t>
      </w:r>
      <w:r w:rsidR="00785450">
        <w:rPr>
          <w:rFonts w:ascii="Arial" w:hAnsi="Arial"/>
          <w:sz w:val="24"/>
          <w:szCs w:val="24"/>
          <w:lang w:val="en-US"/>
        </w:rPr>
        <w:t>.1</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1DC35C70"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293D25">
        <w:rPr>
          <w:rFonts w:ascii="Arial" w:hAnsi="Arial"/>
          <w:sz w:val="24"/>
          <w:szCs w:val="24"/>
          <w:lang w:val="en-US"/>
        </w:rPr>
        <w:t xml:space="preserve">Scope of </w:t>
      </w:r>
      <w:r w:rsidR="00293D25" w:rsidRPr="00293D25">
        <w:rPr>
          <w:rFonts w:ascii="Arial" w:hAnsi="Arial"/>
          <w:sz w:val="24"/>
          <w:szCs w:val="24"/>
          <w:lang w:val="en-US"/>
        </w:rPr>
        <w:t>increasing UE power high limit for CA and DC</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87FB403" w14:textId="5C7612B6" w:rsidR="00293D25" w:rsidRDefault="00F74253" w:rsidP="002200B5">
      <w:pPr>
        <w:rPr>
          <w:rFonts w:ascii="Arial" w:eastAsiaTheme="minorEastAsia" w:hAnsi="Arial" w:cs="Arial"/>
          <w:sz w:val="18"/>
          <w:szCs w:val="18"/>
        </w:rPr>
      </w:pPr>
      <w:r>
        <w:t>RAN4#104-</w:t>
      </w:r>
      <w:r w:rsidR="00631481">
        <w:t>bis-</w:t>
      </w:r>
      <w:r>
        <w:t xml:space="preserve">e </w:t>
      </w:r>
      <w:r w:rsidR="00372B91">
        <w:t>approved WF of [1]</w:t>
      </w:r>
      <w:r w:rsidR="00293D25">
        <w:t xml:space="preserve"> and RAN1</w:t>
      </w:r>
      <w:r w:rsidR="001417B2">
        <w:t>#</w:t>
      </w:r>
      <w:r w:rsidR="001417B2" w:rsidRPr="001417B2">
        <w:t xml:space="preserve">110bis-e </w:t>
      </w:r>
      <w:r w:rsidR="00293D25">
        <w:t>sent an LS to RAN4 [</w:t>
      </w:r>
      <w:r w:rsidR="00EC0AD0">
        <w:t>2</w:t>
      </w:r>
      <w:r w:rsidR="00293D25">
        <w:t xml:space="preserve">]. Both indicates that the objective of </w:t>
      </w:r>
      <w:r w:rsidR="00293D25" w:rsidRPr="00293D25">
        <w:t>increasing UE power high limit for CA and DC</w:t>
      </w:r>
      <w:r w:rsidR="00293D25">
        <w:t xml:space="preserve"> aspect in </w:t>
      </w:r>
      <w:r w:rsidR="00293D25" w:rsidRPr="004C4001">
        <w:rPr>
          <w:rFonts w:ascii="Arial" w:eastAsiaTheme="minorEastAsia" w:hAnsi="Arial" w:cs="Arial"/>
          <w:sz w:val="18"/>
          <w:szCs w:val="18"/>
        </w:rPr>
        <w:t>NR_cov_enh2</w:t>
      </w:r>
      <w:r w:rsidR="00293D25">
        <w:rPr>
          <w:rFonts w:ascii="Arial" w:eastAsiaTheme="minorEastAsia" w:hAnsi="Arial" w:cs="Arial"/>
          <w:sz w:val="18"/>
          <w:szCs w:val="18"/>
        </w:rPr>
        <w:t xml:space="preserve"> WID is not clear.</w:t>
      </w:r>
    </w:p>
    <w:p w14:paraId="3CEAC2E0" w14:textId="77777777" w:rsidR="00EC0AD0" w:rsidRPr="000D279D" w:rsidRDefault="00EC0AD0" w:rsidP="00EC0AD0">
      <w:pPr>
        <w:pStyle w:val="ListParagraph"/>
        <w:numPr>
          <w:ilvl w:val="0"/>
          <w:numId w:val="47"/>
        </w:numPr>
        <w:spacing w:line="259" w:lineRule="auto"/>
        <w:contextualSpacing w:val="0"/>
        <w:rPr>
          <w:b/>
          <w:u w:val="single"/>
          <w:lang w:val="en-US"/>
        </w:rPr>
      </w:pPr>
      <w:r>
        <w:rPr>
          <w:rFonts w:eastAsiaTheme="minorEastAsia"/>
          <w:lang w:val="en-US" w:eastAsia="zh-CN"/>
        </w:rPr>
        <w:t>intra-band contiguous/non-contiguous UL CA with PC2 on CC1 and PC3 on CC2</w:t>
      </w:r>
      <w:r w:rsidRPr="000D279D">
        <w:rPr>
          <w:rFonts w:eastAsiaTheme="minorEastAsia"/>
          <w:lang w:val="en-US" w:eastAsia="zh-CN"/>
        </w:rPr>
        <w:t>.</w:t>
      </w:r>
    </w:p>
    <w:p w14:paraId="507A3386" w14:textId="58429D12" w:rsidR="00EC0AD0" w:rsidRPr="00EC0AD0" w:rsidRDefault="00EC0AD0" w:rsidP="00293D25">
      <w:pPr>
        <w:pStyle w:val="ListParagraph"/>
        <w:numPr>
          <w:ilvl w:val="0"/>
          <w:numId w:val="47"/>
        </w:numPr>
        <w:spacing w:line="259" w:lineRule="auto"/>
        <w:contextualSpacing w:val="0"/>
        <w:rPr>
          <w:b/>
          <w:u w:val="single"/>
          <w:lang w:val="en-US"/>
        </w:rPr>
      </w:pPr>
      <w:r w:rsidRPr="0089121C">
        <w:rPr>
          <w:rFonts w:eastAsiaTheme="minorEastAsia"/>
          <w:lang w:val="en-US" w:eastAsia="zh-CN"/>
        </w:rPr>
        <w:t>PC 2 single band UL-MIMO with PC3 PA + PC2 PA</w:t>
      </w:r>
      <w:r>
        <w:rPr>
          <w:rFonts w:eastAsiaTheme="minorEastAsia"/>
          <w:lang w:val="en-US" w:eastAsia="zh-CN"/>
        </w:rPr>
        <w:t>.</w:t>
      </w:r>
    </w:p>
    <w:p w14:paraId="10F6602E" w14:textId="35F604E0" w:rsidR="007E1E78" w:rsidRDefault="00F92A64" w:rsidP="0099327E">
      <w:pPr>
        <w:pStyle w:val="Heading1"/>
        <w:tabs>
          <w:tab w:val="clear" w:pos="432"/>
          <w:tab w:val="num" w:pos="522"/>
        </w:tabs>
        <w:ind w:left="522" w:hanging="522"/>
        <w:rPr>
          <w:lang w:val="en-US"/>
        </w:rPr>
      </w:pPr>
      <w:r>
        <w:rPr>
          <w:lang w:val="en-US"/>
        </w:rPr>
        <w:t>Enhancements of power class concept</w:t>
      </w:r>
    </w:p>
    <w:p w14:paraId="26D11957" w14:textId="77777777" w:rsidR="00F92A64" w:rsidRDefault="00F92A64" w:rsidP="00F92A64">
      <w:pPr>
        <w:snapToGrid w:val="0"/>
        <w:spacing w:before="60" w:after="60"/>
        <w:rPr>
          <w:szCs w:val="21"/>
        </w:rPr>
      </w:pPr>
      <w:r>
        <w:rPr>
          <w:szCs w:val="21"/>
        </w:rPr>
        <w:t>The WF of [1] included following agreements.</w:t>
      </w:r>
    </w:p>
    <w:p w14:paraId="3EC5EF14" w14:textId="77777777" w:rsidR="00F92A64" w:rsidRPr="00F92A64" w:rsidRDefault="00F92A64" w:rsidP="00F92A64">
      <w:pPr>
        <w:snapToGrid w:val="0"/>
        <w:spacing w:before="60" w:after="60"/>
        <w:rPr>
          <w:b/>
          <w:bCs/>
          <w:szCs w:val="21"/>
        </w:rPr>
      </w:pPr>
      <w:r w:rsidRPr="00F92A64">
        <w:rPr>
          <w:b/>
          <w:bCs/>
          <w:szCs w:val="21"/>
        </w:rPr>
        <w:t>Agreement:</w:t>
      </w:r>
    </w:p>
    <w:p w14:paraId="4A71AF40" w14:textId="77777777" w:rsidR="00F92A64" w:rsidRPr="000D279D" w:rsidRDefault="00F92A64" w:rsidP="00F92A64">
      <w:pPr>
        <w:pStyle w:val="ListParagraph"/>
        <w:numPr>
          <w:ilvl w:val="0"/>
          <w:numId w:val="47"/>
        </w:numPr>
        <w:spacing w:line="259" w:lineRule="auto"/>
        <w:contextualSpacing w:val="0"/>
        <w:rPr>
          <w:b/>
          <w:u w:val="single"/>
          <w:lang w:val="en-US"/>
        </w:rPr>
      </w:pPr>
      <w:r>
        <w:rPr>
          <w:rFonts w:eastAsiaTheme="minorEastAsia"/>
          <w:lang w:val="en-US" w:eastAsia="zh-CN"/>
        </w:rPr>
        <w:t xml:space="preserve">Further study on </w:t>
      </w:r>
      <w:r w:rsidRPr="0089121C">
        <w:rPr>
          <w:rFonts w:eastAsiaTheme="minorEastAsia"/>
          <w:lang w:val="en-US" w:eastAsia="zh-CN"/>
        </w:rPr>
        <w:t>the case ‘</w:t>
      </w:r>
      <w:r>
        <w:rPr>
          <w:rFonts w:eastAsiaTheme="minorEastAsia"/>
          <w:lang w:val="en-US" w:eastAsia="zh-CN"/>
        </w:rPr>
        <w:t>intra-band contiguous/non-contiguous UL CA with PC2 on CC1 and PC3 on CC2</w:t>
      </w:r>
      <w:r w:rsidRPr="0089121C">
        <w:rPr>
          <w:rFonts w:eastAsiaTheme="minorEastAsia"/>
          <w:lang w:val="en-US" w:eastAsia="zh-CN"/>
        </w:rPr>
        <w:t>’</w:t>
      </w:r>
      <w:r w:rsidRPr="000D279D">
        <w:rPr>
          <w:rFonts w:eastAsiaTheme="minorEastAsia"/>
          <w:lang w:val="en-US" w:eastAsia="zh-CN"/>
        </w:rPr>
        <w:t>.</w:t>
      </w:r>
    </w:p>
    <w:p w14:paraId="4725BBCF" w14:textId="77777777" w:rsidR="00F92A64" w:rsidRPr="00F92A64" w:rsidRDefault="00F92A64" w:rsidP="00F92A64">
      <w:pPr>
        <w:snapToGrid w:val="0"/>
        <w:spacing w:before="60" w:after="60"/>
        <w:rPr>
          <w:b/>
          <w:bCs/>
          <w:szCs w:val="21"/>
        </w:rPr>
      </w:pPr>
      <w:r w:rsidRPr="00F92A64">
        <w:rPr>
          <w:b/>
          <w:bCs/>
          <w:szCs w:val="21"/>
        </w:rPr>
        <w:t>Agreement:</w:t>
      </w:r>
    </w:p>
    <w:p w14:paraId="0DA2D4A3" w14:textId="77777777" w:rsidR="00F92A64" w:rsidRPr="002C30C3" w:rsidRDefault="00F92A64" w:rsidP="00F92A64">
      <w:pPr>
        <w:pStyle w:val="ListParagraph"/>
        <w:numPr>
          <w:ilvl w:val="0"/>
          <w:numId w:val="47"/>
        </w:numPr>
        <w:spacing w:line="259" w:lineRule="auto"/>
        <w:contextualSpacing w:val="0"/>
        <w:rPr>
          <w:b/>
          <w:u w:val="single"/>
          <w:lang w:val="en-US"/>
        </w:rPr>
      </w:pPr>
      <w:r>
        <w:rPr>
          <w:rFonts w:eastAsiaTheme="minorEastAsia"/>
          <w:lang w:val="en-US" w:eastAsia="zh-CN"/>
        </w:rPr>
        <w:t xml:space="preserve">Further study on </w:t>
      </w:r>
      <w:r w:rsidRPr="0089121C">
        <w:rPr>
          <w:rFonts w:eastAsiaTheme="minorEastAsia"/>
          <w:lang w:val="en-US" w:eastAsia="zh-CN"/>
        </w:rPr>
        <w:t>the case ‘PC 2 single band UL-MIMO with PC3 PA + PC2 PA’</w:t>
      </w:r>
      <w:r>
        <w:rPr>
          <w:rFonts w:eastAsiaTheme="minorEastAsia"/>
          <w:lang w:val="en-US" w:eastAsia="zh-CN"/>
        </w:rPr>
        <w:t>.</w:t>
      </w:r>
    </w:p>
    <w:p w14:paraId="7DC66A22" w14:textId="12231336" w:rsidR="004927A5" w:rsidRDefault="00F92A64" w:rsidP="00E33E8E">
      <w:pPr>
        <w:spacing w:after="160" w:line="259" w:lineRule="auto"/>
      </w:pPr>
      <w:r>
        <w:t xml:space="preserve">In our understanding, the both above cases cannot be covered by just applying </w:t>
      </w:r>
      <w:r w:rsidRPr="00F92A64">
        <w:rPr>
          <w:i/>
          <w:iCs/>
        </w:rPr>
        <w:t>higherPowerLimit-r17</w:t>
      </w:r>
      <w:r>
        <w:t xml:space="preserve"> to them since </w:t>
      </w:r>
      <w:r w:rsidR="004927A5">
        <w:t xml:space="preserve">the total power as UE can be indicated correctly with </w:t>
      </w:r>
      <w:r w:rsidR="004927A5" w:rsidRPr="004927A5">
        <w:rPr>
          <w:i/>
          <w:iCs/>
        </w:rPr>
        <w:t>higherPowerLimit-r17</w:t>
      </w:r>
      <w:r w:rsidR="004927A5">
        <w:t xml:space="preserve"> while it</w:t>
      </w:r>
      <w:r w:rsidR="008F2431">
        <w:t xml:space="preserve"> cannot tell</w:t>
      </w:r>
      <w:r w:rsidR="004927A5">
        <w:t xml:space="preserve"> how much maximum power each of the </w:t>
      </w:r>
      <w:r w:rsidR="008F2431">
        <w:t>CC</w:t>
      </w:r>
      <w:r w:rsidR="004927A5">
        <w:t>s can achieve.</w:t>
      </w:r>
    </w:p>
    <w:p w14:paraId="082CFAF7" w14:textId="244387DC" w:rsidR="004927A5" w:rsidRDefault="004927A5" w:rsidP="00E33E8E">
      <w:pPr>
        <w:spacing w:after="160" w:line="259" w:lineRule="auto"/>
      </w:pPr>
      <w:r>
        <w:t>For more specific, the 1</w:t>
      </w:r>
      <w:r w:rsidRPr="004927A5">
        <w:rPr>
          <w:vertAlign w:val="superscript"/>
        </w:rPr>
        <w:t>st</w:t>
      </w:r>
      <w:r>
        <w:t xml:space="preserve"> agreement and the 2</w:t>
      </w:r>
      <w:r w:rsidRPr="004927A5">
        <w:rPr>
          <w:vertAlign w:val="superscript"/>
        </w:rPr>
        <w:t>nd</w:t>
      </w:r>
      <w:r>
        <w:t xml:space="preserve"> agreement are illustrated</w:t>
      </w:r>
      <w:r w:rsidR="00A15092">
        <w:t xml:space="preserve"> as Case 1 and Case 2</w:t>
      </w:r>
      <w:r>
        <w:t xml:space="preserve"> in Figure 1.</w:t>
      </w:r>
    </w:p>
    <w:p w14:paraId="5387441F" w14:textId="577BE003" w:rsidR="004927A5" w:rsidRDefault="00A15092" w:rsidP="00E33E8E">
      <w:pPr>
        <w:spacing w:after="160" w:line="259" w:lineRule="auto"/>
      </w:pPr>
      <w:r>
        <w:rPr>
          <w:noProof/>
        </w:rPr>
        <w:drawing>
          <wp:inline distT="0" distB="0" distL="0" distR="0" wp14:anchorId="464DB240" wp14:editId="70308BBB">
            <wp:extent cx="5915948" cy="2175185"/>
            <wp:effectExtent l="19050" t="19050" r="27940" b="15875"/>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15948" cy="2175185"/>
                    </a:xfrm>
                    <a:prstGeom prst="rect">
                      <a:avLst/>
                    </a:prstGeom>
                    <a:ln>
                      <a:solidFill>
                        <a:schemeClr val="tx1"/>
                      </a:solidFill>
                    </a:ln>
                  </pic:spPr>
                </pic:pic>
              </a:graphicData>
            </a:graphic>
          </wp:inline>
        </w:drawing>
      </w:r>
    </w:p>
    <w:p w14:paraId="25E57D5B" w14:textId="70DCF485" w:rsidR="004927A5" w:rsidRPr="004927A5" w:rsidRDefault="004927A5" w:rsidP="004927A5">
      <w:pPr>
        <w:spacing w:after="160" w:line="259" w:lineRule="auto"/>
        <w:jc w:val="center"/>
        <w:rPr>
          <w:rFonts w:ascii="Arial" w:hAnsi="Arial" w:cs="Arial"/>
        </w:rPr>
      </w:pPr>
      <w:r w:rsidRPr="004927A5">
        <w:rPr>
          <w:rFonts w:ascii="Arial" w:hAnsi="Arial" w:cs="Arial"/>
        </w:rPr>
        <w:t>Figure 1: Achievable power per CC depending on mapping power source to CC</w:t>
      </w:r>
    </w:p>
    <w:p w14:paraId="4FB6A3B7" w14:textId="62C2B79A" w:rsidR="00813D16" w:rsidRDefault="00A15092" w:rsidP="004927A5">
      <w:pPr>
        <w:spacing w:after="160" w:line="259" w:lineRule="auto"/>
      </w:pPr>
      <w:r>
        <w:t>Regarding case 1, the total power as a band is 27.8 dBm, but each of the CCs can achieve 26 dBm and 23 dBm, respectively. Informing a network of the total power of 27.8 dBm</w:t>
      </w:r>
      <w:r w:rsidR="008F2431">
        <w:t xml:space="preserve"> alone in this way</w:t>
      </w:r>
      <w:r>
        <w:t xml:space="preserve">, however, </w:t>
      </w:r>
      <w:r w:rsidR="008F2431">
        <w:t xml:space="preserve">will confuse </w:t>
      </w:r>
      <w:r>
        <w:t xml:space="preserve">the network since power control is conducted per CC basis. The network </w:t>
      </w:r>
      <w:proofErr w:type="gramStart"/>
      <w:r>
        <w:t>has to</w:t>
      </w:r>
      <w:proofErr w:type="gramEnd"/>
      <w:r>
        <w:t xml:space="preserve"> know </w:t>
      </w:r>
      <w:r w:rsidR="008F2431">
        <w:t>the amount of configured maximum output power for each</w:t>
      </w:r>
      <w:r>
        <w:t xml:space="preserve"> CC</w:t>
      </w:r>
      <w:r w:rsidR="008F2431">
        <w:t xml:space="preserve"> that the UE</w:t>
      </w:r>
      <w:r>
        <w:t xml:space="preserve"> can achieve. </w:t>
      </w:r>
    </w:p>
    <w:p w14:paraId="4C4C44BC" w14:textId="4EB8F301" w:rsidR="00A15092" w:rsidRDefault="00A15092" w:rsidP="004927A5">
      <w:pPr>
        <w:spacing w:after="160" w:line="259" w:lineRule="auto"/>
      </w:pPr>
      <w:r>
        <w:lastRenderedPageBreak/>
        <w:t xml:space="preserve">With respect to case 2, the total power of 27.8 dBm and </w:t>
      </w:r>
      <w:r w:rsidR="00813D16">
        <w:t xml:space="preserve">achievable maximum power in CC1 are the same. Still, however, </w:t>
      </w:r>
      <w:r w:rsidR="00813D16" w:rsidRPr="004927A5">
        <w:rPr>
          <w:i/>
          <w:iCs/>
        </w:rPr>
        <w:t>higherPowerLimit-r17</w:t>
      </w:r>
      <w:r w:rsidR="00813D16">
        <w:t xml:space="preserve"> cannot be directly applied to since, currently there is no means for a UE to inform a network of achievable power per power source</w:t>
      </w:r>
      <w:r w:rsidR="008F2431">
        <w:t>, e.g., power per PA or panel,</w:t>
      </w:r>
      <w:r w:rsidR="00813D16">
        <w:t xml:space="preserve"> and associated CC(s).</w:t>
      </w:r>
    </w:p>
    <w:p w14:paraId="255F7932" w14:textId="177DD984" w:rsidR="00813D16" w:rsidRDefault="00813D16" w:rsidP="00813D16">
      <w:pPr>
        <w:snapToGrid w:val="0"/>
        <w:spacing w:before="60" w:after="60"/>
        <w:rPr>
          <w:b/>
          <w:bCs/>
          <w:szCs w:val="21"/>
        </w:rPr>
      </w:pPr>
      <w:r>
        <w:rPr>
          <w:b/>
          <w:bCs/>
          <w:szCs w:val="21"/>
        </w:rPr>
        <w:t>Observation 1</w:t>
      </w:r>
      <w:r w:rsidRPr="00F92A64">
        <w:rPr>
          <w:b/>
          <w:bCs/>
          <w:szCs w:val="21"/>
        </w:rPr>
        <w:t>:</w:t>
      </w:r>
      <w:r>
        <w:rPr>
          <w:b/>
          <w:bCs/>
          <w:szCs w:val="21"/>
        </w:rPr>
        <w:t xml:space="preserve"> </w:t>
      </w:r>
      <w:r w:rsidRPr="007D3518">
        <w:rPr>
          <w:szCs w:val="21"/>
        </w:rPr>
        <w:t xml:space="preserve">In order to realize following cases, it is necessary to inform a network of the information on </w:t>
      </w:r>
      <w:r w:rsidR="008F2431">
        <w:rPr>
          <w:szCs w:val="21"/>
        </w:rPr>
        <w:t>configured maximum output</w:t>
      </w:r>
      <w:r w:rsidRPr="007D3518">
        <w:rPr>
          <w:szCs w:val="21"/>
        </w:rPr>
        <w:t xml:space="preserve"> power per power source</w:t>
      </w:r>
      <w:r w:rsidR="008F2431">
        <w:rPr>
          <w:szCs w:val="21"/>
        </w:rPr>
        <w:t xml:space="preserve">, e.g., </w:t>
      </w:r>
      <w:r w:rsidR="008F2431">
        <w:t xml:space="preserve">power per PA or panel, </w:t>
      </w:r>
      <w:r w:rsidRPr="007D3518">
        <w:rPr>
          <w:szCs w:val="21"/>
        </w:rPr>
        <w:t>and which CC(s) the respective power sources are associated with.</w:t>
      </w:r>
    </w:p>
    <w:p w14:paraId="6E6AFCE0" w14:textId="595B4E14" w:rsidR="00813D16" w:rsidRPr="000D279D" w:rsidRDefault="00813D16" w:rsidP="00813D16">
      <w:pPr>
        <w:pStyle w:val="ListParagraph"/>
        <w:numPr>
          <w:ilvl w:val="0"/>
          <w:numId w:val="47"/>
        </w:numPr>
        <w:spacing w:line="259" w:lineRule="auto"/>
        <w:contextualSpacing w:val="0"/>
        <w:rPr>
          <w:b/>
          <w:u w:val="single"/>
          <w:lang w:val="en-US"/>
        </w:rPr>
      </w:pPr>
      <w:r>
        <w:rPr>
          <w:rFonts w:eastAsiaTheme="minorEastAsia"/>
          <w:lang w:val="en-US" w:eastAsia="zh-CN"/>
        </w:rPr>
        <w:t>intra-band contiguous/non-contiguous UL CA with PC2 on CC1 and PC3 on CC2</w:t>
      </w:r>
      <w:r w:rsidRPr="000D279D">
        <w:rPr>
          <w:rFonts w:eastAsiaTheme="minorEastAsia"/>
          <w:lang w:val="en-US" w:eastAsia="zh-CN"/>
        </w:rPr>
        <w:t>.</w:t>
      </w:r>
    </w:p>
    <w:p w14:paraId="0CF5EB7F" w14:textId="029538C0" w:rsidR="00813D16" w:rsidRPr="002C30C3" w:rsidRDefault="00813D16" w:rsidP="00813D16">
      <w:pPr>
        <w:pStyle w:val="ListParagraph"/>
        <w:numPr>
          <w:ilvl w:val="0"/>
          <w:numId w:val="47"/>
        </w:numPr>
        <w:spacing w:line="259" w:lineRule="auto"/>
        <w:contextualSpacing w:val="0"/>
        <w:rPr>
          <w:b/>
          <w:u w:val="single"/>
          <w:lang w:val="en-US"/>
        </w:rPr>
      </w:pPr>
      <w:r w:rsidRPr="0089121C">
        <w:rPr>
          <w:rFonts w:eastAsiaTheme="minorEastAsia"/>
          <w:lang w:val="en-US" w:eastAsia="zh-CN"/>
        </w:rPr>
        <w:t>PC 2 single band UL-MIMO with PC3 PA + PC2 PA</w:t>
      </w:r>
      <w:r>
        <w:rPr>
          <w:rFonts w:eastAsiaTheme="minorEastAsia"/>
          <w:lang w:val="en-US" w:eastAsia="zh-CN"/>
        </w:rPr>
        <w:t>.</w:t>
      </w:r>
    </w:p>
    <w:p w14:paraId="1A6F71D1" w14:textId="15DD938A" w:rsidR="00813D16" w:rsidRDefault="00813D16" w:rsidP="00813D16">
      <w:pPr>
        <w:spacing w:after="160" w:line="259" w:lineRule="auto"/>
      </w:pPr>
      <w:r>
        <w:t xml:space="preserve">In the end, this kind of concept would be necessary sooner or later not only in FR1 but also in FR2. For instance, in FR2, each of the panels can be </w:t>
      </w:r>
      <w:r w:rsidR="00EC0AD0">
        <w:t xml:space="preserve">a power source and each of them may support </w:t>
      </w:r>
      <w:r w:rsidR="008F2431">
        <w:t xml:space="preserve">different power class and/or </w:t>
      </w:r>
      <w:r w:rsidR="00EC0AD0">
        <w:t xml:space="preserve">different CCs in the same band. Given that this concept cannot be resolved in RAN4 alone, it </w:t>
      </w:r>
      <w:r w:rsidR="008F2431">
        <w:t>would be</w:t>
      </w:r>
      <w:r w:rsidR="00EC0AD0">
        <w:t xml:space="preserve"> a good opportunity to resolve it in this WI </w:t>
      </w:r>
      <w:r w:rsidR="0051290F">
        <w:t>that</w:t>
      </w:r>
      <w:r w:rsidR="00EC0AD0">
        <w:t xml:space="preserve"> it has RAN1 TU as default.</w:t>
      </w:r>
    </w:p>
    <w:p w14:paraId="5F248D84" w14:textId="7DAA6227" w:rsidR="00EC0AD0" w:rsidRDefault="00EC0AD0" w:rsidP="00EC0AD0">
      <w:pPr>
        <w:snapToGrid w:val="0"/>
        <w:spacing w:before="60" w:after="60"/>
        <w:rPr>
          <w:b/>
          <w:bCs/>
          <w:szCs w:val="21"/>
        </w:rPr>
      </w:pPr>
      <w:r>
        <w:rPr>
          <w:b/>
          <w:bCs/>
          <w:szCs w:val="21"/>
        </w:rPr>
        <w:t>Observation 2</w:t>
      </w:r>
      <w:r w:rsidRPr="00F92A64">
        <w:rPr>
          <w:b/>
          <w:bCs/>
          <w:szCs w:val="21"/>
        </w:rPr>
        <w:t>:</w:t>
      </w:r>
      <w:r>
        <w:rPr>
          <w:b/>
          <w:bCs/>
          <w:szCs w:val="21"/>
        </w:rPr>
        <w:t xml:space="preserve"> </w:t>
      </w:r>
      <w:r w:rsidRPr="007D3518">
        <w:rPr>
          <w:szCs w:val="21"/>
        </w:rPr>
        <w:t>In the end, a similar concept may be needed in FR2, e.g., different panels may bring different power and associated with different CCs.</w:t>
      </w:r>
      <w:r>
        <w:rPr>
          <w:b/>
          <w:bCs/>
          <w:szCs w:val="21"/>
        </w:rPr>
        <w:t xml:space="preserve"> </w:t>
      </w:r>
    </w:p>
    <w:p w14:paraId="6C6E44A1" w14:textId="7071DABD" w:rsidR="00B85E87" w:rsidRPr="007D3518" w:rsidRDefault="00EC0AD0" w:rsidP="00EC0AD0">
      <w:pPr>
        <w:snapToGrid w:val="0"/>
        <w:spacing w:before="60" w:after="60"/>
        <w:rPr>
          <w:szCs w:val="21"/>
        </w:rPr>
      </w:pPr>
      <w:r>
        <w:rPr>
          <w:b/>
          <w:bCs/>
          <w:szCs w:val="21"/>
        </w:rPr>
        <w:t>Observation 3</w:t>
      </w:r>
      <w:r w:rsidRPr="00F92A64">
        <w:rPr>
          <w:b/>
          <w:bCs/>
          <w:szCs w:val="21"/>
        </w:rPr>
        <w:t>:</w:t>
      </w:r>
      <w:r>
        <w:rPr>
          <w:b/>
          <w:bCs/>
          <w:szCs w:val="21"/>
        </w:rPr>
        <w:t xml:space="preserve"> </w:t>
      </w:r>
      <w:r w:rsidRPr="007D3518">
        <w:rPr>
          <w:szCs w:val="21"/>
        </w:rPr>
        <w:t>Given that the WI has RAN1 TU for this objective, it’s a good opportunity to resolve the issue in NR_cov_enh2 WI.</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1E311DE9" w:rsidR="006F4C85" w:rsidRPr="006E13D1" w:rsidRDefault="006F4C85" w:rsidP="006F4C85">
      <w:r>
        <w:t>This document has made the following observation</w:t>
      </w:r>
      <w:r w:rsidR="007D3518">
        <w:t>s</w:t>
      </w:r>
      <w:r w:rsidR="009D17FF">
        <w:t xml:space="preserve"> and proposal.</w:t>
      </w:r>
    </w:p>
    <w:p w14:paraId="69EEC347" w14:textId="77777777" w:rsidR="008F2431" w:rsidRDefault="008F2431" w:rsidP="008F2431">
      <w:pPr>
        <w:snapToGrid w:val="0"/>
        <w:spacing w:before="60" w:after="60"/>
        <w:rPr>
          <w:b/>
          <w:bCs/>
          <w:szCs w:val="21"/>
        </w:rPr>
      </w:pPr>
      <w:r>
        <w:rPr>
          <w:b/>
          <w:bCs/>
          <w:szCs w:val="21"/>
        </w:rPr>
        <w:t>Observation 1</w:t>
      </w:r>
      <w:r w:rsidRPr="00F92A64">
        <w:rPr>
          <w:b/>
          <w:bCs/>
          <w:szCs w:val="21"/>
        </w:rPr>
        <w:t>:</w:t>
      </w:r>
      <w:r>
        <w:rPr>
          <w:b/>
          <w:bCs/>
          <w:szCs w:val="21"/>
        </w:rPr>
        <w:t xml:space="preserve"> </w:t>
      </w:r>
      <w:r w:rsidRPr="007D3518">
        <w:rPr>
          <w:szCs w:val="21"/>
        </w:rPr>
        <w:t xml:space="preserve">In order to realize following cases, it is necessary to inform a network of the information on </w:t>
      </w:r>
      <w:r>
        <w:rPr>
          <w:szCs w:val="21"/>
        </w:rPr>
        <w:t>configured maximum output</w:t>
      </w:r>
      <w:r w:rsidRPr="007D3518">
        <w:rPr>
          <w:szCs w:val="21"/>
        </w:rPr>
        <w:t xml:space="preserve"> power per power source</w:t>
      </w:r>
      <w:r>
        <w:rPr>
          <w:szCs w:val="21"/>
        </w:rPr>
        <w:t xml:space="preserve">, e.g., </w:t>
      </w:r>
      <w:r>
        <w:t xml:space="preserve">power per PA or panel, </w:t>
      </w:r>
      <w:r w:rsidRPr="007D3518">
        <w:rPr>
          <w:szCs w:val="21"/>
        </w:rPr>
        <w:t>and which CC(s) the respective power sources are associated with.</w:t>
      </w:r>
    </w:p>
    <w:p w14:paraId="07C67D2C" w14:textId="77777777" w:rsidR="008F2431" w:rsidRPr="000D279D" w:rsidRDefault="008F2431" w:rsidP="008F2431">
      <w:pPr>
        <w:pStyle w:val="ListParagraph"/>
        <w:numPr>
          <w:ilvl w:val="0"/>
          <w:numId w:val="47"/>
        </w:numPr>
        <w:spacing w:line="259" w:lineRule="auto"/>
        <w:contextualSpacing w:val="0"/>
        <w:rPr>
          <w:b/>
          <w:u w:val="single"/>
          <w:lang w:val="en-US"/>
        </w:rPr>
      </w:pPr>
      <w:r>
        <w:rPr>
          <w:rFonts w:eastAsiaTheme="minorEastAsia"/>
          <w:lang w:val="en-US" w:eastAsia="zh-CN"/>
        </w:rPr>
        <w:t>intra-band contiguous/non-contiguous UL CA with PC2 on CC1 and PC3 on CC2</w:t>
      </w:r>
      <w:r w:rsidRPr="000D279D">
        <w:rPr>
          <w:rFonts w:eastAsiaTheme="minorEastAsia"/>
          <w:lang w:val="en-US" w:eastAsia="zh-CN"/>
        </w:rPr>
        <w:t>.</w:t>
      </w:r>
    </w:p>
    <w:p w14:paraId="64BCB68E" w14:textId="77777777" w:rsidR="008F2431" w:rsidRPr="002C30C3" w:rsidRDefault="008F2431" w:rsidP="008F2431">
      <w:pPr>
        <w:pStyle w:val="ListParagraph"/>
        <w:numPr>
          <w:ilvl w:val="0"/>
          <w:numId w:val="47"/>
        </w:numPr>
        <w:spacing w:line="259" w:lineRule="auto"/>
        <w:contextualSpacing w:val="0"/>
        <w:rPr>
          <w:b/>
          <w:u w:val="single"/>
          <w:lang w:val="en-US"/>
        </w:rPr>
      </w:pPr>
      <w:r w:rsidRPr="0089121C">
        <w:rPr>
          <w:rFonts w:eastAsiaTheme="minorEastAsia"/>
          <w:lang w:val="en-US" w:eastAsia="zh-CN"/>
        </w:rPr>
        <w:t>PC 2 single band UL-MIMO with PC3 PA + PC2 PA</w:t>
      </w:r>
      <w:r>
        <w:rPr>
          <w:rFonts w:eastAsiaTheme="minorEastAsia"/>
          <w:lang w:val="en-US" w:eastAsia="zh-CN"/>
        </w:rPr>
        <w:t>.</w:t>
      </w:r>
    </w:p>
    <w:p w14:paraId="5E1AD2DC" w14:textId="77777777" w:rsidR="007D3518" w:rsidRPr="007D3518" w:rsidRDefault="007D3518" w:rsidP="007D3518">
      <w:pPr>
        <w:snapToGrid w:val="0"/>
        <w:spacing w:before="60" w:after="60"/>
        <w:rPr>
          <w:szCs w:val="21"/>
        </w:rPr>
      </w:pPr>
      <w:r w:rsidRPr="007D3518">
        <w:rPr>
          <w:b/>
          <w:bCs/>
          <w:szCs w:val="21"/>
        </w:rPr>
        <w:t xml:space="preserve">Observation 2: </w:t>
      </w:r>
      <w:r w:rsidRPr="007D3518">
        <w:rPr>
          <w:szCs w:val="21"/>
        </w:rPr>
        <w:t xml:space="preserve">In the end, a similar concept may be needed in FR2, e.g., different panels may bring different power and associated with different CCs. </w:t>
      </w:r>
    </w:p>
    <w:p w14:paraId="6EFF3DAB" w14:textId="77777777" w:rsidR="008C2EDE" w:rsidRDefault="0051290F" w:rsidP="00FF5817">
      <w:pPr>
        <w:rPr>
          <w:szCs w:val="21"/>
        </w:rPr>
      </w:pPr>
      <w:r>
        <w:rPr>
          <w:b/>
          <w:bCs/>
          <w:szCs w:val="21"/>
        </w:rPr>
        <w:t>Observation 3</w:t>
      </w:r>
      <w:r w:rsidRPr="00F92A64">
        <w:rPr>
          <w:b/>
          <w:bCs/>
          <w:szCs w:val="21"/>
        </w:rPr>
        <w:t>:</w:t>
      </w:r>
      <w:r>
        <w:rPr>
          <w:b/>
          <w:bCs/>
          <w:szCs w:val="21"/>
        </w:rPr>
        <w:t xml:space="preserve"> </w:t>
      </w:r>
      <w:r w:rsidRPr="007D3518">
        <w:rPr>
          <w:szCs w:val="21"/>
        </w:rPr>
        <w:t>Given that the WI has RAN1 TU for this objective, it’s a good opportunity to resolve the issue in NR_cov_enh2 WI.</w:t>
      </w:r>
    </w:p>
    <w:p w14:paraId="337AE685" w14:textId="7C9804DB" w:rsidR="007D3518" w:rsidRDefault="00D77506" w:rsidP="00FF5817">
      <w:pPr>
        <w:rPr>
          <w:szCs w:val="21"/>
        </w:rPr>
      </w:pPr>
      <w:r>
        <w:rPr>
          <w:b/>
          <w:bCs/>
          <w:lang w:val="en-US"/>
        </w:rPr>
        <w:t>Proposal</w:t>
      </w:r>
      <w:r w:rsidR="007D3518">
        <w:rPr>
          <w:b/>
          <w:bCs/>
          <w:lang w:val="en-US"/>
        </w:rPr>
        <w:t xml:space="preserve">: </w:t>
      </w:r>
      <w:r w:rsidR="007D3518" w:rsidRPr="007D3518">
        <w:rPr>
          <w:lang w:val="en-US"/>
        </w:rPr>
        <w:t>Introduce a</w:t>
      </w:r>
      <w:r w:rsidR="007D3518">
        <w:rPr>
          <w:lang w:val="en-US"/>
        </w:rPr>
        <w:t xml:space="preserve"> following</w:t>
      </w:r>
      <w:r w:rsidR="007D3518" w:rsidRPr="007D3518">
        <w:rPr>
          <w:lang w:val="en-US"/>
        </w:rPr>
        <w:t xml:space="preserve"> objective in </w:t>
      </w:r>
      <w:r w:rsidR="007D3518" w:rsidRPr="007D3518">
        <w:rPr>
          <w:szCs w:val="21"/>
        </w:rPr>
        <w:t>NR_cov_enh2 WID</w:t>
      </w:r>
      <w:r w:rsidR="007D3518">
        <w:rPr>
          <w:szCs w:val="21"/>
        </w:rPr>
        <w:t>.</w:t>
      </w:r>
    </w:p>
    <w:p w14:paraId="6D08180B" w14:textId="2B1DCA93" w:rsidR="007D3518" w:rsidRPr="007D3518" w:rsidRDefault="007D3518" w:rsidP="007D3518">
      <w:pPr>
        <w:snapToGrid w:val="0"/>
        <w:spacing w:before="60" w:after="60"/>
        <w:rPr>
          <w:szCs w:val="21"/>
        </w:rPr>
      </w:pPr>
      <w:r w:rsidRPr="008C2EDE">
        <w:rPr>
          <w:szCs w:val="21"/>
        </w:rPr>
        <w:t xml:space="preserve">Specify necessary requirements to allow a UE to report 27.8 dBm as power class per UE as well as </w:t>
      </w:r>
      <w:r w:rsidR="0051290F" w:rsidRPr="008C2EDE">
        <w:t>to identify and, if needed, to specify</w:t>
      </w:r>
      <w:r w:rsidR="0051290F" w:rsidRPr="008C2EDE">
        <w:rPr>
          <w:i/>
          <w:iCs/>
        </w:rPr>
        <w:t xml:space="preserve"> </w:t>
      </w:r>
      <w:r w:rsidRPr="008C2EDE">
        <w:rPr>
          <w:szCs w:val="21"/>
        </w:rPr>
        <w:t xml:space="preserve">UE/network </w:t>
      </w:r>
      <w:r w:rsidR="0051290F" w:rsidRPr="008C2EDE">
        <w:t xml:space="preserve">enhancements </w:t>
      </w:r>
      <w:r w:rsidRPr="008C2EDE">
        <w:rPr>
          <w:szCs w:val="21"/>
        </w:rPr>
        <w:t xml:space="preserve">to conduct power control according to achievable maximum power per </w:t>
      </w:r>
      <w:r>
        <w:rPr>
          <w:szCs w:val="21"/>
        </w:rPr>
        <w:t>CC</w:t>
      </w:r>
      <w:r w:rsidR="0051290F">
        <w:rPr>
          <w:szCs w:val="21"/>
        </w:rPr>
        <w:t xml:space="preserve"> at least for the following cases</w:t>
      </w:r>
      <w:r>
        <w:rPr>
          <w:szCs w:val="21"/>
        </w:rPr>
        <w:t>.</w:t>
      </w:r>
    </w:p>
    <w:p w14:paraId="27B86008" w14:textId="1F3DC0C6" w:rsidR="007D3518" w:rsidRPr="007D3518" w:rsidRDefault="007D3518" w:rsidP="007D3518">
      <w:pPr>
        <w:pStyle w:val="ListParagraph"/>
        <w:numPr>
          <w:ilvl w:val="0"/>
          <w:numId w:val="47"/>
        </w:numPr>
        <w:spacing w:line="259" w:lineRule="auto"/>
        <w:contextualSpacing w:val="0"/>
        <w:rPr>
          <w:b/>
          <w:u w:val="single"/>
          <w:lang w:val="en-US"/>
        </w:rPr>
      </w:pPr>
      <w:r>
        <w:rPr>
          <w:rFonts w:eastAsiaTheme="minorEastAsia"/>
          <w:lang w:val="en-US" w:eastAsia="zh-CN"/>
        </w:rPr>
        <w:t>intra-band contiguous/non-contiguous UL CA with PC2 on CC1 and PC3 on CC2</w:t>
      </w:r>
    </w:p>
    <w:p w14:paraId="62B9897B" w14:textId="4BFC48FE" w:rsidR="006D0087" w:rsidRPr="007D3518" w:rsidRDefault="007D3518" w:rsidP="007D3518">
      <w:pPr>
        <w:pStyle w:val="ListParagraph"/>
        <w:numPr>
          <w:ilvl w:val="0"/>
          <w:numId w:val="47"/>
        </w:numPr>
        <w:spacing w:line="259" w:lineRule="auto"/>
        <w:contextualSpacing w:val="0"/>
        <w:rPr>
          <w:b/>
          <w:u w:val="single"/>
          <w:lang w:val="en-US"/>
        </w:rPr>
      </w:pPr>
      <w:r w:rsidRPr="007D3518">
        <w:rPr>
          <w:rFonts w:eastAsiaTheme="minorEastAsia"/>
          <w:lang w:val="en-US" w:eastAsia="zh-CN"/>
        </w:rPr>
        <w:t>PC2 single band UL-MIMO with PC3 PA + PC2 PA.</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1A753FAB" w:rsidR="00B303F3" w:rsidRDefault="00F92A64" w:rsidP="00B303F3">
      <w:pPr>
        <w:pStyle w:val="ListParagraph"/>
        <w:numPr>
          <w:ilvl w:val="0"/>
          <w:numId w:val="2"/>
        </w:numPr>
        <w:overflowPunct/>
        <w:autoSpaceDE/>
        <w:autoSpaceDN/>
        <w:adjustRightInd/>
        <w:spacing w:after="160" w:line="259" w:lineRule="auto"/>
        <w:ind w:right="-22"/>
        <w:textAlignment w:val="auto"/>
      </w:pPr>
      <w:bookmarkStart w:id="0" w:name="_Hlk859252"/>
      <w:r w:rsidRPr="00F92A64">
        <w:t>R4-2217744</w:t>
      </w:r>
      <w:r w:rsidR="002200B5">
        <w:t xml:space="preserve">, </w:t>
      </w:r>
      <w:r w:rsidRPr="00F92A64">
        <w:t>WF on enhancements of increasing UE power high limit</w:t>
      </w:r>
      <w:r w:rsidR="002200B5">
        <w:t>,</w:t>
      </w:r>
      <w:r w:rsidR="002200B5" w:rsidRPr="00F06AEF">
        <w:t xml:space="preserve"> </w:t>
      </w:r>
      <w:r w:rsidRPr="00F92A64">
        <w:t xml:space="preserve">Huawei, </w:t>
      </w:r>
      <w:proofErr w:type="spellStart"/>
      <w:r w:rsidRPr="00F92A64">
        <w:t>HiSilicon</w:t>
      </w:r>
      <w:proofErr w:type="spellEnd"/>
      <w:r w:rsidR="00372B91">
        <w:t xml:space="preserve">, </w:t>
      </w:r>
      <w:r w:rsidR="00372B91" w:rsidRPr="00EF24F2">
        <w:t>TSG-RAN WG4 #10</w:t>
      </w:r>
      <w:r w:rsidR="00372B91">
        <w:t>4</w:t>
      </w:r>
      <w:r w:rsidR="00372B91" w:rsidRPr="00EF24F2">
        <w:t>-</w:t>
      </w:r>
      <w:r w:rsidR="00631481">
        <w:t>bis-</w:t>
      </w:r>
      <w:r w:rsidR="00372B91" w:rsidRPr="00EF24F2">
        <w:t>e</w:t>
      </w:r>
    </w:p>
    <w:p w14:paraId="12517178" w14:textId="5CF10648" w:rsidR="00F92A64" w:rsidRDefault="00F92A64" w:rsidP="00B303F3">
      <w:pPr>
        <w:pStyle w:val="ListParagraph"/>
        <w:numPr>
          <w:ilvl w:val="0"/>
          <w:numId w:val="2"/>
        </w:numPr>
        <w:overflowPunct/>
        <w:autoSpaceDE/>
        <w:autoSpaceDN/>
        <w:adjustRightInd/>
        <w:spacing w:after="160" w:line="259" w:lineRule="auto"/>
        <w:ind w:right="-22"/>
        <w:textAlignment w:val="auto"/>
      </w:pPr>
      <w:r w:rsidRPr="001417B2">
        <w:t>R1-2210739</w:t>
      </w:r>
      <w:r>
        <w:t xml:space="preserve">, </w:t>
      </w:r>
      <w:r w:rsidRPr="00F92A64">
        <w:t>LS on enhancements to realize increasing UE power high limit for CA and DC</w:t>
      </w:r>
      <w:r>
        <w:t xml:space="preserve">, RAN1, </w:t>
      </w:r>
      <w:r w:rsidRPr="00EF24F2">
        <w:t>TSG-RAN WG</w:t>
      </w:r>
      <w:r>
        <w:t>1</w:t>
      </w:r>
      <w:r w:rsidRPr="00EF24F2">
        <w:t xml:space="preserve"> #1</w:t>
      </w:r>
      <w:r>
        <w:t>10</w:t>
      </w:r>
      <w:r w:rsidRPr="00EF24F2">
        <w:t>-</w:t>
      </w:r>
      <w:r>
        <w:t>bis-</w:t>
      </w:r>
      <w:r w:rsidRPr="00EF24F2">
        <w:t>e</w:t>
      </w:r>
    </w:p>
    <w:bookmarkEnd w:id="0"/>
    <w:sectPr w:rsidR="00F92A64"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B000" w14:textId="77777777" w:rsidR="00347781" w:rsidRDefault="00347781">
      <w:r>
        <w:separator/>
      </w:r>
    </w:p>
  </w:endnote>
  <w:endnote w:type="continuationSeparator" w:id="0">
    <w:p w14:paraId="16436B0E" w14:textId="77777777" w:rsidR="00347781" w:rsidRDefault="00347781">
      <w:r>
        <w:continuationSeparator/>
      </w:r>
    </w:p>
  </w:endnote>
  <w:endnote w:type="continuationNotice" w:id="1">
    <w:p w14:paraId="3C029395" w14:textId="77777777" w:rsidR="00347781" w:rsidRDefault="0034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453C2" w14:textId="77777777" w:rsidR="00347781" w:rsidRDefault="00347781">
      <w:r>
        <w:separator/>
      </w:r>
    </w:p>
  </w:footnote>
  <w:footnote w:type="continuationSeparator" w:id="0">
    <w:p w14:paraId="0D23D7F6" w14:textId="77777777" w:rsidR="00347781" w:rsidRDefault="00347781">
      <w:r>
        <w:continuationSeparator/>
      </w:r>
    </w:p>
  </w:footnote>
  <w:footnote w:type="continuationNotice" w:id="1">
    <w:p w14:paraId="0A97EAAD" w14:textId="77777777" w:rsidR="00347781" w:rsidRDefault="00347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143886"/>
    <w:multiLevelType w:val="hybridMultilevel"/>
    <w:tmpl w:val="F39E88AC"/>
    <w:lvl w:ilvl="0" w:tplc="E16ECE68">
      <w:start w:val="3"/>
      <w:numFmt w:val="bullet"/>
      <w:lvlText w:val="-"/>
      <w:lvlJc w:val="left"/>
      <w:pPr>
        <w:ind w:left="720" w:hanging="360"/>
      </w:pPr>
      <w:rPr>
        <w:rFonts w:ascii="Segoe UI" w:eastAsiaTheme="minorEastAsia"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31C53BC"/>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5166EC2"/>
    <w:multiLevelType w:val="hybridMultilevel"/>
    <w:tmpl w:val="A5761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0" w:hanging="360"/>
      </w:pPr>
      <w:rPr>
        <w:rFonts w:ascii="Symbol" w:hAnsi="Symbol" w:hint="default"/>
      </w:rPr>
    </w:lvl>
    <w:lvl w:ilvl="1">
      <w:start w:val="1"/>
      <w:numFmt w:val="bullet"/>
      <w:lvlText w:val=""/>
      <w:lvlJc w:val="left"/>
      <w:pPr>
        <w:ind w:left="-576" w:hanging="360"/>
      </w:pPr>
      <w:rPr>
        <w:rFonts w:ascii="Symbol" w:hAnsi="Symbol"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1"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1236CE"/>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5A411CB"/>
    <w:multiLevelType w:val="hybridMultilevel"/>
    <w:tmpl w:val="2CFE7BD4"/>
    <w:lvl w:ilvl="0" w:tplc="66182EA0">
      <w:numFmt w:val="bullet"/>
      <w:lvlText w:val=""/>
      <w:lvlJc w:val="left"/>
      <w:pPr>
        <w:ind w:left="720" w:hanging="360"/>
      </w:pPr>
      <w:rPr>
        <w:rFonts w:ascii="Wingdings" w:eastAsiaTheme="minorEastAsia" w:hAnsi="Wingdings"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3"/>
  </w:num>
  <w:num w:numId="3">
    <w:abstractNumId w:val="38"/>
  </w:num>
  <w:num w:numId="4">
    <w:abstractNumId w:val="42"/>
  </w:num>
  <w:num w:numId="5">
    <w:abstractNumId w:val="29"/>
  </w:num>
  <w:num w:numId="6">
    <w:abstractNumId w:val="9"/>
  </w:num>
  <w:num w:numId="7">
    <w:abstractNumId w:val="2"/>
  </w:num>
  <w:num w:numId="8">
    <w:abstractNumId w:val="37"/>
  </w:num>
  <w:num w:numId="9">
    <w:abstractNumId w:val="10"/>
  </w:num>
  <w:num w:numId="10">
    <w:abstractNumId w:val="23"/>
  </w:num>
  <w:num w:numId="11">
    <w:abstractNumId w:val="45"/>
  </w:num>
  <w:num w:numId="12">
    <w:abstractNumId w:val="8"/>
  </w:num>
  <w:num w:numId="13">
    <w:abstractNumId w:val="21"/>
  </w:num>
  <w:num w:numId="14">
    <w:abstractNumId w:val="4"/>
  </w:num>
  <w:num w:numId="15">
    <w:abstractNumId w:val="20"/>
  </w:num>
  <w:num w:numId="16">
    <w:abstractNumId w:val="4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3"/>
  </w:num>
  <w:num w:numId="23">
    <w:abstractNumId w:val="25"/>
  </w:num>
  <w:num w:numId="24">
    <w:abstractNumId w:val="39"/>
  </w:num>
  <w:num w:numId="25">
    <w:abstractNumId w:val="40"/>
  </w:num>
  <w:num w:numId="26">
    <w:abstractNumId w:val="3"/>
  </w:num>
  <w:num w:numId="27">
    <w:abstractNumId w:val="22"/>
  </w:num>
  <w:num w:numId="28">
    <w:abstractNumId w:val="24"/>
  </w:num>
  <w:num w:numId="29">
    <w:abstractNumId w:val="36"/>
  </w:num>
  <w:num w:numId="30">
    <w:abstractNumId w:val="12"/>
  </w:num>
  <w:num w:numId="31">
    <w:abstractNumId w:val="44"/>
  </w:num>
  <w:num w:numId="32">
    <w:abstractNumId w:val="14"/>
  </w:num>
  <w:num w:numId="33">
    <w:abstractNumId w:val="7"/>
  </w:num>
  <w:num w:numId="34">
    <w:abstractNumId w:val="31"/>
  </w:num>
  <w:num w:numId="35">
    <w:abstractNumId w:val="1"/>
  </w:num>
  <w:num w:numId="36">
    <w:abstractNumId w:val="11"/>
  </w:num>
  <w:num w:numId="37">
    <w:abstractNumId w:val="26"/>
  </w:num>
  <w:num w:numId="38">
    <w:abstractNumId w:val="32"/>
  </w:num>
  <w:num w:numId="39">
    <w:abstractNumId w:val="41"/>
  </w:num>
  <w:num w:numId="40">
    <w:abstractNumId w:val="18"/>
  </w:num>
  <w:num w:numId="41">
    <w:abstractNumId w:val="30"/>
  </w:num>
  <w:num w:numId="42">
    <w:abstractNumId w:val="35"/>
  </w:num>
  <w:num w:numId="43">
    <w:abstractNumId w:val="27"/>
  </w:num>
  <w:num w:numId="44">
    <w:abstractNumId w:val="15"/>
  </w:num>
  <w:num w:numId="45">
    <w:abstractNumId w:val="5"/>
  </w:num>
  <w:num w:numId="46">
    <w:abstractNumId w:val="34"/>
  </w:num>
  <w:num w:numId="4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2EDE"/>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2022-11-07T16:24:00Z</dcterms:created>
  <dcterms:modified xsi:type="dcterms:W3CDTF">2022-11-07T16:24:00Z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0x010100BBDBA4A0CE900D49AEF559CCDDBD8D19</vt:lpwstr>
  </property>
  <property fmtid="{D5CDD505-2E9C-101B-9397-08002B2CF9AE}" pid="11" name="_dlc_DocIdItemGuid">
    <vt:lpwstr>d2d2d4ea-f0ff-43bb-b853-1151c6626495</vt:lpwstr>
  </property>
  <property fmtid="{D5CDD505-2E9C-101B-9397-08002B2CF9AE}" pid="12" name="_ReviewingToolsShownOnce">
    <vt:lpwstr/>
  </property>
</Properties>
</file>