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00524EEA">
        <w:rPr>
          <w:rFonts w:cs="Arial"/>
          <w:sz w:val="24"/>
          <w:szCs w:val="24"/>
        </w:rPr>
        <w:t>-bis</w:t>
      </w:r>
      <w:r w:rsidRPr="004A029C">
        <w:rPr>
          <w:rFonts w:cs="Arial"/>
          <w:sz w:val="24"/>
          <w:szCs w:val="24"/>
        </w:rPr>
        <w:t>-e</w:t>
      </w:r>
      <w:r w:rsidRPr="004A029C">
        <w:rPr>
          <w:rFonts w:cs="Arial"/>
          <w:sz w:val="24"/>
          <w:szCs w:val="24"/>
        </w:rPr>
        <w:tab/>
      </w:r>
      <w:r w:rsidR="00290B11" w:rsidRPr="00290B11">
        <w:rPr>
          <w:rFonts w:cs="Arial"/>
          <w:sz w:val="24"/>
          <w:szCs w:val="24"/>
        </w:rPr>
        <w:t>R4-2216271</w:t>
      </w:r>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524EEA">
        <w:rPr>
          <w:rFonts w:eastAsia="宋体" w:cs="Arial"/>
          <w:sz w:val="24"/>
          <w:szCs w:val="24"/>
          <w:lang w:eastAsia="zh-CN"/>
        </w:rPr>
        <w:t xml:space="preserve">October </w:t>
      </w:r>
      <w:r w:rsidR="00E41266" w:rsidRPr="00090215">
        <w:rPr>
          <w:rFonts w:eastAsia="宋体" w:cs="Arial"/>
          <w:sz w:val="24"/>
          <w:szCs w:val="24"/>
          <w:lang w:eastAsia="zh-CN"/>
        </w:rPr>
        <w:t>1</w:t>
      </w:r>
      <w:r w:rsidR="00524EEA">
        <w:rPr>
          <w:rFonts w:eastAsia="宋体" w:cs="Arial"/>
          <w:sz w:val="24"/>
          <w:szCs w:val="24"/>
          <w:lang w:eastAsia="zh-CN"/>
        </w:rPr>
        <w:t>0</w:t>
      </w:r>
      <w:r w:rsidR="00E41266" w:rsidRPr="00090215">
        <w:rPr>
          <w:rFonts w:eastAsia="宋体" w:cs="Arial"/>
          <w:sz w:val="24"/>
          <w:szCs w:val="24"/>
          <w:lang w:eastAsia="zh-CN"/>
        </w:rPr>
        <w:t xml:space="preserve"> – </w:t>
      </w:r>
      <w:r w:rsidR="00524EEA">
        <w:rPr>
          <w:rFonts w:eastAsia="宋体" w:cs="Arial"/>
          <w:sz w:val="24"/>
          <w:szCs w:val="24"/>
          <w:lang w:eastAsia="zh-CN"/>
        </w:rPr>
        <w:t>October</w:t>
      </w:r>
      <w:r w:rsidR="00E41266" w:rsidRPr="00090215">
        <w:rPr>
          <w:rFonts w:eastAsia="宋体" w:cs="Arial"/>
          <w:sz w:val="24"/>
          <w:szCs w:val="24"/>
          <w:lang w:eastAsia="zh-CN"/>
        </w:rPr>
        <w:t xml:space="preserve"> </w:t>
      </w:r>
      <w:r w:rsidR="00524EEA">
        <w:rPr>
          <w:rFonts w:eastAsia="宋体" w:cs="Arial"/>
          <w:sz w:val="24"/>
          <w:szCs w:val="24"/>
          <w:lang w:eastAsia="zh-CN"/>
        </w:rPr>
        <w:t>19</w:t>
      </w:r>
      <w:r w:rsidR="00E41266"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24EEA">
        <w:rPr>
          <w:rFonts w:ascii="Arial" w:hAnsi="Arial"/>
          <w:sz w:val="24"/>
          <w:lang w:val="en-US"/>
        </w:rPr>
        <w:t>8.2.1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24EEA" w:rsidRPr="00524EEA">
        <w:rPr>
          <w:rFonts w:ascii="Arial" w:hAnsi="Arial"/>
          <w:sz w:val="24"/>
          <w:lang w:val="en-US"/>
        </w:rPr>
        <w:t>Discussion on UL Segmented Transmission for UL synchronization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FA2885" w:rsidRPr="00622EBC"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eMTC operating over NTN. </w:t>
      </w:r>
      <w:r w:rsidR="00FA2885">
        <w:rPr>
          <w:rFonts w:eastAsiaTheme="minorEastAsia"/>
          <w:lang w:val="en-US" w:eastAsia="zh-CN"/>
        </w:rPr>
        <w:t>RAN1 sent an LS to RAN4 [3] about segmented UL transmission. The impact on RRM timing requirements were discussed in RAN4#104e meeting [4][5]. In this paper, we further provide our views on the remaining issues.</w:t>
      </w:r>
    </w:p>
    <w:p w:rsidR="00FC7913" w:rsidRDefault="00DF0231" w:rsidP="00FC7913">
      <w:pPr>
        <w:pStyle w:val="Heading1"/>
        <w:numPr>
          <w:ilvl w:val="0"/>
          <w:numId w:val="1"/>
        </w:numPr>
        <w:rPr>
          <w:lang w:val="en-US"/>
        </w:rPr>
      </w:pPr>
      <w:r w:rsidRPr="002D2977">
        <w:rPr>
          <w:lang w:val="en-US"/>
        </w:rPr>
        <w:t>Discussion</w:t>
      </w:r>
    </w:p>
    <w:p w:rsidR="00751D0C" w:rsidRDefault="00205C18" w:rsidP="00751D0C">
      <w:pPr>
        <w:rPr>
          <w:lang w:val="en-US" w:eastAsia="zh-CN"/>
        </w:rPr>
      </w:pPr>
      <w:r>
        <w:rPr>
          <w:lang w:val="en-US" w:eastAsia="zh-CN"/>
        </w:rPr>
        <w:t>For gradual timing adjustment, the discussion in RAN4#104-e are summarized as follows:</w:t>
      </w:r>
    </w:p>
    <w:tbl>
      <w:tblPr>
        <w:tblStyle w:val="TableGrid"/>
        <w:tblW w:w="0" w:type="auto"/>
        <w:tblLook w:val="04A0" w:firstRow="1" w:lastRow="0" w:firstColumn="1" w:lastColumn="0" w:noHBand="0" w:noVBand="1"/>
      </w:tblPr>
      <w:tblGrid>
        <w:gridCol w:w="9562"/>
      </w:tblGrid>
      <w:tr w:rsidR="00751D0C" w:rsidTr="00751D0C">
        <w:tc>
          <w:tcPr>
            <w:tcW w:w="9562" w:type="dxa"/>
          </w:tcPr>
          <w:p w:rsidR="00751D0C" w:rsidRPr="00751D0C" w:rsidRDefault="00751D0C" w:rsidP="00751D0C">
            <w:pPr>
              <w:keepNext/>
              <w:keepLines/>
              <w:spacing w:before="120" w:line="259" w:lineRule="auto"/>
              <w:outlineLvl w:val="3"/>
              <w:rPr>
                <w:rFonts w:ascii="Arial" w:eastAsia="宋体" w:hAnsi="Arial"/>
                <w:sz w:val="24"/>
                <w:szCs w:val="18"/>
                <w:lang w:val="sv-SE" w:eastAsia="zh-CN"/>
              </w:rPr>
            </w:pPr>
            <w:r w:rsidRPr="00751D0C">
              <w:rPr>
                <w:rFonts w:ascii="Arial" w:eastAsia="宋体" w:hAnsi="Arial"/>
                <w:sz w:val="24"/>
                <w:szCs w:val="18"/>
                <w:lang w:val="sv-SE" w:eastAsia="zh-CN"/>
              </w:rPr>
              <w:t>__Issue 4-</w:t>
            </w:r>
            <w:r w:rsidRPr="00751D0C">
              <w:rPr>
                <w:rFonts w:ascii="Arial" w:eastAsia="PMingLiU" w:hAnsi="Arial"/>
                <w:sz w:val="24"/>
                <w:szCs w:val="18"/>
                <w:lang w:val="sv-SE" w:eastAsia="zh-TW"/>
              </w:rPr>
              <w:t>1-2</w:t>
            </w:r>
            <w:r w:rsidRPr="00751D0C">
              <w:rPr>
                <w:rFonts w:ascii="Arial" w:eastAsia="宋体" w:hAnsi="Arial"/>
                <w:sz w:val="24"/>
                <w:szCs w:val="18"/>
                <w:lang w:val="sv-SE" w:eastAsia="zh-CN"/>
              </w:rPr>
              <w:t>: Gradual timing adjustment</w:t>
            </w:r>
          </w:p>
          <w:p w:rsidR="00751D0C" w:rsidRPr="00751D0C" w:rsidRDefault="00751D0C" w:rsidP="00751D0C">
            <w:pPr>
              <w:numPr>
                <w:ilvl w:val="0"/>
                <w:numId w:val="15"/>
              </w:numPr>
              <w:overflowPunct w:val="0"/>
              <w:autoSpaceDE w:val="0"/>
              <w:autoSpaceDN w:val="0"/>
              <w:adjustRightInd w:val="0"/>
              <w:spacing w:after="160" w:line="259" w:lineRule="auto"/>
              <w:textAlignment w:val="baseline"/>
              <w:rPr>
                <w:rFonts w:eastAsia="PMingLiU"/>
                <w:iCs/>
                <w:lang w:val="en-US" w:eastAsia="zh-TW"/>
              </w:rPr>
            </w:pPr>
            <w:r w:rsidRPr="00751D0C">
              <w:rPr>
                <w:rFonts w:eastAsia="Arial"/>
                <w:iCs/>
                <w:kern w:val="2"/>
                <w:lang w:val="x-none" w:eastAsia="x-none"/>
              </w:rPr>
              <w:t xml:space="preserve">FFS For gradual timing adjustment, </w:t>
            </w:r>
            <w:r w:rsidRPr="00751D0C">
              <w:t xml:space="preserve">the reference </w:t>
            </w:r>
            <w:r w:rsidRPr="00751D0C">
              <w:rPr>
                <w:lang w:eastAsia="ja-JP"/>
              </w:rPr>
              <w:t>timing</w:t>
            </w:r>
            <w:r w:rsidRPr="00751D0C">
              <w:t xml:space="preserve"> shall be (</w:t>
            </w:r>
            <w:r w:rsidRPr="00751D0C">
              <w:rPr>
                <w:i/>
              </w:rPr>
              <w:t>N</w:t>
            </w:r>
            <w:r w:rsidRPr="00751D0C">
              <w:rPr>
                <w:vertAlign w:val="subscript"/>
              </w:rPr>
              <w:t>TA</w:t>
            </w:r>
            <w:r w:rsidRPr="00751D0C">
              <w:rPr>
                <w:i/>
              </w:rPr>
              <w:t xml:space="preserve"> + N</w:t>
            </w:r>
            <w:r w:rsidRPr="00751D0C">
              <w:rPr>
                <w:vertAlign w:val="subscript"/>
              </w:rPr>
              <w:t>TA-offset</w:t>
            </w:r>
            <w:r w:rsidRPr="00751D0C">
              <w:rPr>
                <w:i/>
              </w:rPr>
              <w:t xml:space="preserve"> + N</w:t>
            </w:r>
            <w:r w:rsidRPr="00751D0C">
              <w:rPr>
                <w:vertAlign w:val="subscript"/>
              </w:rPr>
              <w:t>TA,common</w:t>
            </w:r>
            <w:r w:rsidRPr="00751D0C">
              <w:rPr>
                <w:i/>
              </w:rPr>
              <w:t xml:space="preserve"> + N</w:t>
            </w:r>
            <w:r w:rsidRPr="00751D0C">
              <w:rPr>
                <w:vertAlign w:val="subscript"/>
              </w:rPr>
              <w:t>TA,UE-specific</w:t>
            </w:r>
            <w:r w:rsidRPr="00751D0C">
              <w:t>)</w:t>
            </w:r>
            <w:r w:rsidRPr="00751D0C">
              <w:rPr>
                <w:i/>
                <w:lang w:eastAsia="ko-KR"/>
              </w:rPr>
              <w:t>×</w:t>
            </w:r>
            <w:r w:rsidRPr="00751D0C">
              <w:t>T</w:t>
            </w:r>
            <w:r w:rsidRPr="00751D0C">
              <w:rPr>
                <w:vertAlign w:val="subscript"/>
              </w:rPr>
              <w:t>s</w:t>
            </w:r>
            <w:r w:rsidRPr="00751D0C">
              <w:rPr>
                <w:lang w:eastAsia="ja-JP"/>
              </w:rPr>
              <w:t xml:space="preserve"> before </w:t>
            </w:r>
            <w:r w:rsidRPr="00751D0C">
              <w:t>the d</w:t>
            </w:r>
            <w:r w:rsidRPr="00751D0C">
              <w:rPr>
                <w:lang w:eastAsia="ja-JP"/>
              </w:rPr>
              <w:t xml:space="preserve">ownlink timing of the reference cell. </w:t>
            </w:r>
            <w:r w:rsidRPr="00751D0C">
              <w:rPr>
                <w:rFonts w:eastAsia="PMingLiU"/>
                <w:lang w:val="en-US" w:eastAsia="zh-TW"/>
              </w:rPr>
              <w:t>Clarify the adjustment with “apart from a change of N</w:t>
            </w:r>
            <w:r w:rsidRPr="00751D0C">
              <w:rPr>
                <w:rFonts w:eastAsia="PMingLiU"/>
                <w:vertAlign w:val="subscript"/>
                <w:lang w:val="en-US" w:eastAsia="zh-TW"/>
              </w:rPr>
              <w:t>TA,UE-specific</w:t>
            </w:r>
            <w:r w:rsidRPr="00751D0C">
              <w:rPr>
                <w:rFonts w:eastAsia="PMingLiU"/>
                <w:lang w:val="en-US" w:eastAsia="zh-TW"/>
              </w:rPr>
              <w:t xml:space="preserve"> and N</w:t>
            </w:r>
            <w:r w:rsidRPr="00751D0C">
              <w:rPr>
                <w:rFonts w:eastAsia="PMingLiU"/>
                <w:vertAlign w:val="subscript"/>
                <w:lang w:val="en-US" w:eastAsia="zh-TW"/>
              </w:rPr>
              <w:t>TA,common</w:t>
            </w:r>
            <w:r w:rsidRPr="00751D0C">
              <w:rPr>
                <w:rFonts w:eastAsia="PMingLiU"/>
                <w:lang w:val="en-US" w:eastAsia="zh-TW"/>
              </w:rPr>
              <w:t>”</w:t>
            </w:r>
          </w:p>
          <w:p w:rsidR="00751D0C" w:rsidRPr="00751D0C" w:rsidRDefault="00751D0C" w:rsidP="00751D0C">
            <w:pPr>
              <w:numPr>
                <w:ilvl w:val="0"/>
                <w:numId w:val="15"/>
              </w:numPr>
              <w:overflowPunct w:val="0"/>
              <w:autoSpaceDE w:val="0"/>
              <w:autoSpaceDN w:val="0"/>
              <w:adjustRightInd w:val="0"/>
              <w:spacing w:after="160" w:line="259" w:lineRule="auto"/>
              <w:textAlignment w:val="baseline"/>
              <w:rPr>
                <w:rFonts w:eastAsia="PMingLiU"/>
                <w:iCs/>
                <w:lang w:val="en-US" w:eastAsia="zh-TW"/>
              </w:rPr>
            </w:pPr>
            <w:r w:rsidRPr="00751D0C">
              <w:rPr>
                <w:rFonts w:eastAsia="Arial"/>
                <w:iCs/>
                <w:kern w:val="2"/>
                <w:lang w:val="x-none" w:eastAsia="x-none"/>
              </w:rPr>
              <w:t>FFS the gradual timing adjustment</w:t>
            </w:r>
            <w:r w:rsidRPr="00751D0C">
              <w:t xml:space="preserve"> figures (max step size, max, min rate etc)</w:t>
            </w:r>
          </w:p>
          <w:p w:rsidR="00751D0C" w:rsidRPr="00751D0C" w:rsidRDefault="00751D0C" w:rsidP="00751D0C">
            <w:pPr>
              <w:numPr>
                <w:ilvl w:val="0"/>
                <w:numId w:val="15"/>
              </w:numPr>
              <w:overflowPunct w:val="0"/>
              <w:autoSpaceDE w:val="0"/>
              <w:autoSpaceDN w:val="0"/>
              <w:adjustRightInd w:val="0"/>
              <w:spacing w:after="160" w:line="259" w:lineRule="auto"/>
              <w:textAlignment w:val="baseline"/>
              <w:rPr>
                <w:rFonts w:eastAsia="PMingLiU"/>
                <w:iCs/>
                <w:lang w:val="en-US" w:eastAsia="zh-TW"/>
              </w:rPr>
            </w:pPr>
            <w:r w:rsidRPr="00751D0C">
              <w:rPr>
                <w:rFonts w:eastAsia="Arial"/>
                <w:iCs/>
                <w:kern w:val="2"/>
                <w:lang w:val="x-none" w:eastAsia="x-none"/>
              </w:rPr>
              <w:t>FFS the impact of “segmented UL transmission</w:t>
            </w:r>
          </w:p>
        </w:tc>
      </w:tr>
    </w:tbl>
    <w:p w:rsidR="00751D0C" w:rsidRDefault="00751D0C" w:rsidP="00751D0C">
      <w:pPr>
        <w:rPr>
          <w:lang w:val="en-US" w:eastAsia="zh-CN"/>
        </w:rPr>
      </w:pPr>
    </w:p>
    <w:tbl>
      <w:tblPr>
        <w:tblStyle w:val="TableGrid"/>
        <w:tblW w:w="0" w:type="auto"/>
        <w:tblLook w:val="04A0" w:firstRow="1" w:lastRow="0" w:firstColumn="1" w:lastColumn="0" w:noHBand="0" w:noVBand="1"/>
      </w:tblPr>
      <w:tblGrid>
        <w:gridCol w:w="9562"/>
      </w:tblGrid>
      <w:tr w:rsidR="00E81035" w:rsidTr="00E81035">
        <w:tc>
          <w:tcPr>
            <w:tcW w:w="9562" w:type="dxa"/>
          </w:tcPr>
          <w:p w:rsidR="00E81035" w:rsidRPr="00E81035" w:rsidRDefault="00E81035" w:rsidP="00E81035">
            <w:pPr>
              <w:rPr>
                <w:lang w:val="sv-SE" w:eastAsia="zh-CN"/>
              </w:rPr>
            </w:pPr>
            <w:bookmarkStart w:id="0" w:name="OLE_LINK667"/>
            <w:bookmarkStart w:id="1" w:name="OLE_LINK666"/>
            <w:bookmarkStart w:id="2" w:name="OLE_LINK665"/>
            <w:bookmarkStart w:id="3" w:name="OLE_LINK233"/>
            <w:bookmarkStart w:id="4" w:name="OLE_LINK232"/>
            <w:r w:rsidRPr="00E81035">
              <w:rPr>
                <w:lang w:val="sv-SE" w:eastAsia="zh-CN"/>
              </w:rPr>
              <w:t xml:space="preserve">Sub-topic 3-1: timing adjustment during a UL repetition period </w:t>
            </w:r>
            <w:bookmarkEnd w:id="0"/>
            <w:bookmarkEnd w:id="1"/>
            <w:bookmarkEnd w:id="2"/>
            <w:bookmarkEnd w:id="3"/>
            <w:bookmarkEnd w:id="4"/>
          </w:p>
          <w:p w:rsidR="00E81035" w:rsidRPr="00E81035" w:rsidRDefault="00E81035" w:rsidP="00E81035">
            <w:pPr>
              <w:numPr>
                <w:ilvl w:val="0"/>
                <w:numId w:val="16"/>
              </w:numPr>
              <w:rPr>
                <w:lang w:eastAsia="zh-CN"/>
              </w:rPr>
            </w:pPr>
            <w:r w:rsidRPr="00E81035">
              <w:rPr>
                <w:lang w:eastAsia="zh-CN"/>
              </w:rPr>
              <w:t xml:space="preserve">The following proposals are discussed in this meeting and can be further discussed. </w:t>
            </w:r>
          </w:p>
          <w:p w:rsidR="00E81035" w:rsidRPr="00E81035" w:rsidRDefault="00E81035" w:rsidP="00E81035">
            <w:pPr>
              <w:numPr>
                <w:ilvl w:val="1"/>
                <w:numId w:val="16"/>
              </w:numPr>
              <w:rPr>
                <w:lang w:eastAsia="zh-CN"/>
              </w:rPr>
            </w:pPr>
            <w:r w:rsidRPr="00E81035">
              <w:rPr>
                <w:lang w:eastAsia="zh-CN"/>
              </w:rPr>
              <w:t xml:space="preserve">Proposal 1: RAN4 shall clarify the IoT NTN behaviour in TS 36.133 for Rel-17 to allow UEs to adjust TA during the ongoing repetition. </w:t>
            </w:r>
          </w:p>
          <w:p w:rsidR="00E81035" w:rsidRPr="00E81035" w:rsidRDefault="00E81035" w:rsidP="00E81035">
            <w:pPr>
              <w:numPr>
                <w:ilvl w:val="1"/>
                <w:numId w:val="16"/>
              </w:numPr>
              <w:rPr>
                <w:lang w:eastAsia="zh-CN"/>
              </w:rPr>
            </w:pPr>
            <w:r w:rsidRPr="00E81035">
              <w:rPr>
                <w:lang w:eastAsia="zh-CN"/>
              </w:rPr>
              <w:t xml:space="preserve">Proposal 1a: The restriction on UL transmission adjustment shall be updated according to RAN1 LS on per-segment TA pre-compensation. </w:t>
            </w:r>
          </w:p>
          <w:p w:rsidR="00E81035" w:rsidRPr="00E81035" w:rsidRDefault="00E81035" w:rsidP="00E81035">
            <w:pPr>
              <w:numPr>
                <w:ilvl w:val="1"/>
                <w:numId w:val="16"/>
              </w:numPr>
              <w:rPr>
                <w:lang w:eastAsia="zh-CN"/>
              </w:rPr>
            </w:pPr>
            <w:r w:rsidRPr="00E81035">
              <w:rPr>
                <w:lang w:eastAsia="zh-CN"/>
              </w:rPr>
              <w:t xml:space="preserve">Proposal 2: RAN4 shall specify the IoT NTN behaviour in TS 36.133 to ensure the UE keeps a constant TA value within each segment </w:t>
            </w:r>
          </w:p>
          <w:p w:rsidR="00E81035" w:rsidRPr="00E81035" w:rsidRDefault="00E81035" w:rsidP="00751D0C">
            <w:pPr>
              <w:numPr>
                <w:ilvl w:val="1"/>
                <w:numId w:val="16"/>
              </w:numPr>
              <w:rPr>
                <w:lang w:eastAsia="zh-CN"/>
              </w:rPr>
            </w:pPr>
            <w:r w:rsidRPr="00E81035">
              <w:rPr>
                <w:lang w:eastAsia="zh-CN"/>
              </w:rPr>
              <w:t xml:space="preserve">Proposal 3: Segmented UL transmission can be covered by NTN UE transmit timing requirements, i.e. Te_NTN. FFS whether and how to capture in RAN4 </w:t>
            </w:r>
          </w:p>
        </w:tc>
      </w:tr>
    </w:tbl>
    <w:p w:rsidR="00E81035" w:rsidRDefault="00E81035" w:rsidP="00751D0C">
      <w:pPr>
        <w:rPr>
          <w:lang w:val="en-US" w:eastAsia="zh-CN"/>
        </w:rPr>
      </w:pPr>
    </w:p>
    <w:p w:rsidR="00281524" w:rsidRDefault="00205C18" w:rsidP="00281524">
      <w:pPr>
        <w:jc w:val="both"/>
        <w:rPr>
          <w:lang w:val="en-US" w:eastAsia="zh-CN"/>
        </w:rPr>
      </w:pPr>
      <w:r>
        <w:rPr>
          <w:lang w:val="en-US" w:eastAsia="zh-CN"/>
        </w:rPr>
        <w:t xml:space="preserve">Based on the discussion in last meeting, companies had different interpretations on UE behavior based on RAN1’s LS. </w:t>
      </w:r>
      <w:r w:rsidR="00281524">
        <w:rPr>
          <w:lang w:val="en-US" w:eastAsia="zh-CN"/>
        </w:rPr>
        <w:t xml:space="preserve">The very controversial discussion in last RAN4 meeting is whether UE is allowed to adjust TA during a segment. According to RAN1 spec TS 36.213 clause 16.1.2 which is shown below, the time and frequency pre-compensation is down per uplink segment, which means UE shall keep a constant TA within one segment. In this way, there could be big step accumulated timing drift after the transmission of the segment, and the quantity of adjustment for the next segment could be large which may overlap with the previous one. This is </w:t>
      </w:r>
      <w:r w:rsidR="007C6200">
        <w:rPr>
          <w:lang w:val="en-US" w:eastAsia="zh-CN"/>
        </w:rPr>
        <w:t>why</w:t>
      </w:r>
      <w:r w:rsidR="00281524">
        <w:rPr>
          <w:lang w:val="en-US" w:eastAsia="zh-CN"/>
        </w:rPr>
        <w:t xml:space="preserve"> RAN1 had introduced the transmission gap. </w:t>
      </w:r>
    </w:p>
    <w:tbl>
      <w:tblPr>
        <w:tblStyle w:val="TableGrid"/>
        <w:tblW w:w="0" w:type="auto"/>
        <w:tblLook w:val="04A0" w:firstRow="1" w:lastRow="0" w:firstColumn="1" w:lastColumn="0" w:noHBand="0" w:noVBand="1"/>
      </w:tblPr>
      <w:tblGrid>
        <w:gridCol w:w="9562"/>
      </w:tblGrid>
      <w:tr w:rsidR="00281524" w:rsidTr="00281524">
        <w:tc>
          <w:tcPr>
            <w:tcW w:w="9562" w:type="dxa"/>
          </w:tcPr>
          <w:p w:rsidR="00281524" w:rsidRPr="00281524" w:rsidRDefault="00281524" w:rsidP="00281524">
            <w:pPr>
              <w:tabs>
                <w:tab w:val="num" w:pos="360"/>
              </w:tabs>
              <w:rPr>
                <w:rFonts w:eastAsia="Malgun Gothic"/>
                <w:bCs/>
                <w:lang w:eastAsia="ko-KR"/>
              </w:rPr>
            </w:pPr>
            <w:r>
              <w:rPr>
                <w:bCs/>
              </w:rPr>
              <w:lastRenderedPageBreak/>
              <w:t xml:space="preserve">For a NB-IoT UE communicating over NTN, time and frequency pre-compensation is adjusted </w:t>
            </w:r>
            <w:r w:rsidRPr="00281524">
              <w:rPr>
                <w:bCs/>
                <w:highlight w:val="yellow"/>
              </w:rPr>
              <w:t xml:space="preserve">per uplink </w:t>
            </w:r>
            <w:r w:rsidRPr="00281524">
              <w:rPr>
                <w:highlight w:val="yellow"/>
                <w:lang w:eastAsia="ko-KR"/>
              </w:rPr>
              <w:t>segment</w:t>
            </w:r>
            <w:r>
              <w:rPr>
                <w:lang w:eastAsia="ko-KR"/>
              </w:rPr>
              <w:t xml:space="preserve">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system information, as specified in 3GPP TS 36.331.</w:t>
            </w:r>
          </w:p>
        </w:tc>
      </w:tr>
    </w:tbl>
    <w:p w:rsidR="00281524" w:rsidRDefault="00281524" w:rsidP="00751D0C">
      <w:pPr>
        <w:rPr>
          <w:lang w:val="en-US" w:eastAsia="zh-CN"/>
        </w:rPr>
      </w:pPr>
      <w:r>
        <w:rPr>
          <w:lang w:val="en-US" w:eastAsia="zh-CN"/>
        </w:rPr>
        <w:t xml:space="preserve"> </w:t>
      </w:r>
    </w:p>
    <w:p w:rsidR="00281524" w:rsidRDefault="00281524" w:rsidP="00751D0C">
      <w:pPr>
        <w:rPr>
          <w:b/>
          <w:lang w:val="en-US" w:eastAsia="zh-CN"/>
        </w:rPr>
      </w:pPr>
      <w:r w:rsidRPr="00281524">
        <w:rPr>
          <w:b/>
          <w:lang w:val="en-US" w:eastAsia="zh-CN"/>
        </w:rPr>
        <w:t>Observation 1: RAN1’s agreements imply that UE shall not do time pre-compensation within one segment.</w:t>
      </w:r>
    </w:p>
    <w:p w:rsidR="006C51BD" w:rsidRPr="00751D0C" w:rsidRDefault="006C51BD" w:rsidP="00751D0C">
      <w:pPr>
        <w:rPr>
          <w:lang w:val="en-US" w:eastAsia="zh-CN"/>
        </w:rPr>
      </w:pPr>
      <w:r>
        <w:rPr>
          <w:lang w:val="en-US" w:eastAsia="zh-CN"/>
        </w:rPr>
        <w:t>The above RAN1 agreements may have impacts on RAN4 spec on the restrictions on uplink timing adjustment during one repetition period, which is provided below:</w:t>
      </w:r>
      <w:r>
        <w:rPr>
          <w:lang w:val="en-US" w:eastAsia="zh-CN"/>
        </w:rPr>
        <w:br/>
      </w:r>
    </w:p>
    <w:tbl>
      <w:tblPr>
        <w:tblStyle w:val="TableGrid"/>
        <w:tblW w:w="0" w:type="auto"/>
        <w:tblLook w:val="04A0" w:firstRow="1" w:lastRow="0" w:firstColumn="1" w:lastColumn="0" w:noHBand="0" w:noVBand="1"/>
      </w:tblPr>
      <w:tblGrid>
        <w:gridCol w:w="9562"/>
      </w:tblGrid>
      <w:tr w:rsidR="006C51BD" w:rsidTr="006C51BD">
        <w:tc>
          <w:tcPr>
            <w:tcW w:w="9562" w:type="dxa"/>
          </w:tcPr>
          <w:p w:rsidR="006C51BD" w:rsidRDefault="006C51BD" w:rsidP="006C51BD">
            <w:pPr>
              <w:overflowPunct w:val="0"/>
              <w:autoSpaceDE w:val="0"/>
              <w:autoSpaceDN w:val="0"/>
              <w:adjustRightInd w:val="0"/>
              <w:textAlignment w:val="baseline"/>
              <w:rPr>
                <w:rFonts w:eastAsia="Times New Roman"/>
                <w:lang w:eastAsia="en-GB"/>
              </w:rPr>
            </w:pPr>
            <w:r>
              <w:rPr>
                <w:rFonts w:eastAsia="Times New Roman"/>
                <w:lang w:eastAsia="en-GB"/>
              </w:rPr>
              <w:t>TS 36.133 clause 7.20</w:t>
            </w:r>
          </w:p>
          <w:p w:rsidR="006C51BD" w:rsidRPr="006C51BD" w:rsidRDefault="006C51BD" w:rsidP="006C51BD">
            <w:pPr>
              <w:overflowPunct w:val="0"/>
              <w:autoSpaceDE w:val="0"/>
              <w:autoSpaceDN w:val="0"/>
              <w:adjustRightInd w:val="0"/>
              <w:textAlignment w:val="baseline"/>
              <w:rPr>
                <w:rFonts w:eastAsia="Times New Roman"/>
                <w:lang w:eastAsia="en-GB"/>
              </w:rPr>
            </w:pPr>
            <w:r w:rsidRPr="006C51BD">
              <w:rPr>
                <w:rFonts w:eastAsia="Times New Roman"/>
                <w:lang w:eastAsia="en-GB"/>
              </w:rPr>
              <w:t xml:space="preserve">When a repetition period is configured on the uplink for which R&gt;1, the </w:t>
            </w:r>
            <w:r w:rsidRPr="006C51BD">
              <w:rPr>
                <w:rFonts w:eastAsia="Times New Roman"/>
                <w:highlight w:val="yellow"/>
                <w:lang w:eastAsia="en-GB"/>
              </w:rPr>
              <w:t>UE shall not adjust the uplink transmission timing autonomously during an ongoing repetition period</w:t>
            </w:r>
            <w:r w:rsidRPr="006C51BD">
              <w:rPr>
                <w:rFonts w:eastAsia="Times New Roman"/>
                <w:lang w:eastAsia="en-GB"/>
              </w:rPr>
              <w:t xml:space="preserve"> other than at initial transmission as defined above.</w:t>
            </w:r>
          </w:p>
        </w:tc>
      </w:tr>
    </w:tbl>
    <w:p w:rsidR="00281524" w:rsidRDefault="00281524" w:rsidP="00751D0C">
      <w:pPr>
        <w:rPr>
          <w:lang w:val="en-US" w:eastAsia="zh-CN"/>
        </w:rPr>
      </w:pPr>
    </w:p>
    <w:p w:rsidR="008E2D9E" w:rsidRDefault="008E2D9E" w:rsidP="00880DF0">
      <w:pPr>
        <w:jc w:val="both"/>
        <w:rPr>
          <w:lang w:val="en-US" w:eastAsia="zh-CN"/>
        </w:rPr>
      </w:pPr>
      <w:r>
        <w:rPr>
          <w:lang w:val="en-US" w:eastAsia="zh-CN"/>
        </w:rPr>
        <w:t xml:space="preserve">In TN scenarios, the motivation to have above restrictions is that the autonomous adjustment during repetition may have impact on UL demodulation performance as </w:t>
      </w:r>
      <w:r w:rsidR="00051481">
        <w:rPr>
          <w:lang w:val="en-US" w:eastAsia="zh-CN"/>
        </w:rPr>
        <w:t>e</w:t>
      </w:r>
      <w:r>
        <w:rPr>
          <w:lang w:val="en-US" w:eastAsia="zh-CN"/>
        </w:rPr>
        <w:t xml:space="preserve">NB may need to proceed multiple repetitions before it can assess the timing of UE. The restriction is valid in TN IoT where the mobility is negligible. However, in IoT NTN, if such restriction </w:t>
      </w:r>
      <w:r w:rsidR="00995A6E">
        <w:rPr>
          <w:lang w:val="en-US" w:eastAsia="zh-CN"/>
        </w:rPr>
        <w:t>applies to IoT NTN UE no</w:t>
      </w:r>
      <w:r>
        <w:rPr>
          <w:lang w:val="en-US" w:eastAsia="zh-CN"/>
        </w:rPr>
        <w:t xml:space="preserve"> matter on the whole repetition period or one per segment basis, it means large timing drift is experienced at </w:t>
      </w:r>
      <w:r w:rsidR="00051481">
        <w:rPr>
          <w:lang w:val="en-US" w:eastAsia="zh-CN"/>
        </w:rPr>
        <w:t>e</w:t>
      </w:r>
      <w:r>
        <w:rPr>
          <w:lang w:val="en-US" w:eastAsia="zh-CN"/>
        </w:rPr>
        <w:t xml:space="preserve">NB side. For instance, </w:t>
      </w:r>
      <w:r w:rsidR="00995A6E">
        <w:rPr>
          <w:lang w:val="en-US" w:eastAsia="zh-CN"/>
        </w:rPr>
        <w:t xml:space="preserve">at the beginning of a segment, the timing error of UL transmission could be ranged from [-Te, Te] considering the UE implementation margin. During the segment, </w:t>
      </w:r>
      <w:r w:rsidR="00051481">
        <w:rPr>
          <w:lang w:val="en-US" w:eastAsia="zh-CN"/>
        </w:rPr>
        <w:t>e</w:t>
      </w:r>
      <w:r w:rsidR="00995A6E">
        <w:rPr>
          <w:lang w:val="en-US" w:eastAsia="zh-CN"/>
        </w:rPr>
        <w:t xml:space="preserve">NB will experience constant timing drift caused by the dramatic changing of the propagation delay, and at the end of the segment, the accumulated timing error could be Te + D, where D is </w:t>
      </w:r>
      <w:r w:rsidR="00E23BA6">
        <w:rPr>
          <w:lang w:val="en-US" w:eastAsia="zh-CN"/>
        </w:rPr>
        <w:t xml:space="preserve">the </w:t>
      </w:r>
      <w:r w:rsidR="00995A6E">
        <w:rPr>
          <w:lang w:val="en-US" w:eastAsia="zh-CN"/>
        </w:rPr>
        <w:t>total timing during the segment.</w:t>
      </w:r>
      <w:r w:rsidR="00BE543D">
        <w:rPr>
          <w:lang w:val="en-US" w:eastAsia="zh-CN"/>
        </w:rPr>
        <w:t xml:space="preserve"> </w:t>
      </w:r>
    </w:p>
    <w:p w:rsidR="00E23BA6" w:rsidRPr="00E23BA6" w:rsidRDefault="00E23BA6" w:rsidP="00880DF0">
      <w:pPr>
        <w:jc w:val="both"/>
        <w:rPr>
          <w:b/>
          <w:lang w:val="en-US" w:eastAsia="zh-CN"/>
        </w:rPr>
      </w:pPr>
      <w:r w:rsidRPr="00E23BA6">
        <w:rPr>
          <w:b/>
          <w:lang w:val="en-US" w:eastAsia="zh-CN"/>
        </w:rPr>
        <w:t>Observation 2: If UE is not allowed to perform time pre-compensation during a segment, gNB will experience large timing drift during one segment.</w:t>
      </w:r>
    </w:p>
    <w:p w:rsidR="00E23BA6" w:rsidRDefault="00E23BA6" w:rsidP="00880DF0">
      <w:pPr>
        <w:jc w:val="both"/>
        <w:rPr>
          <w:lang w:val="en-US" w:eastAsia="zh-CN"/>
        </w:rPr>
      </w:pPr>
      <w:r>
        <w:rPr>
          <w:lang w:val="en-US" w:eastAsia="zh-CN"/>
        </w:rPr>
        <w:t xml:space="preserve">An essential problem is whether UE is allowed do pre-compensation during one segment which seems contradicts with RAN1’s agreement. With UE specific TA adjustment, the timing error shall meet Te requirements for each transmission. For instance, for transmission on a segment, UE shall adjust the transmit timing constantly during the segment based on UE specific TA. </w:t>
      </w:r>
      <w:r w:rsidR="00051481">
        <w:rPr>
          <w:lang w:val="en-US" w:eastAsia="zh-CN"/>
        </w:rPr>
        <w:t>From eNB side, the timing drift caused by moving of satellite is eliminated for each subframe of the segment. Besides, the large step timing adjustment can also be avoided.</w:t>
      </w:r>
    </w:p>
    <w:p w:rsidR="00051481" w:rsidRDefault="00051481" w:rsidP="00880DF0">
      <w:pPr>
        <w:jc w:val="both"/>
        <w:rPr>
          <w:b/>
          <w:lang w:val="en-US" w:eastAsia="zh-CN"/>
        </w:rPr>
      </w:pPr>
      <w:r w:rsidRPr="00051481">
        <w:rPr>
          <w:b/>
          <w:lang w:val="en-US" w:eastAsia="zh-CN"/>
        </w:rPr>
        <w:t>Observation 3: If UE is allowed to perform time pre-compensation during a segment, timing drift caused by moving of satellite is eliminated.</w:t>
      </w:r>
    </w:p>
    <w:p w:rsidR="00685E02" w:rsidRDefault="00685E02" w:rsidP="00880DF0">
      <w:pPr>
        <w:jc w:val="both"/>
        <w:rPr>
          <w:b/>
          <w:lang w:val="en-US" w:eastAsia="zh-CN"/>
        </w:rPr>
      </w:pPr>
      <w:r>
        <w:rPr>
          <w:b/>
          <w:lang w:val="en-US" w:eastAsia="zh-CN"/>
        </w:rPr>
        <w:t xml:space="preserve">Proposal 1: UE is </w:t>
      </w:r>
      <w:r w:rsidRPr="00051481">
        <w:rPr>
          <w:b/>
          <w:lang w:val="en-US" w:eastAsia="zh-CN"/>
        </w:rPr>
        <w:t>allowed to perform time pre-compensation during a segment</w:t>
      </w:r>
      <w:r>
        <w:rPr>
          <w:b/>
          <w:lang w:val="en-US" w:eastAsia="zh-CN"/>
        </w:rPr>
        <w:t>.</w:t>
      </w:r>
    </w:p>
    <w:p w:rsidR="00A2454F" w:rsidRDefault="00051481" w:rsidP="00685E02">
      <w:pPr>
        <w:jc w:val="both"/>
      </w:pPr>
      <w:r w:rsidRPr="00227565">
        <w:rPr>
          <w:lang w:val="en-US" w:eastAsia="zh-CN"/>
        </w:rPr>
        <w:t xml:space="preserve">Based on analysis above, </w:t>
      </w:r>
      <w:r w:rsidR="00227565" w:rsidRPr="00227565">
        <w:rPr>
          <w:lang w:val="en-US" w:eastAsia="zh-CN"/>
        </w:rPr>
        <w:t>it is more reasonable that UE can perform time pre-compensation during a segment.</w:t>
      </w:r>
      <w:r w:rsidR="00227565">
        <w:rPr>
          <w:lang w:val="en-US" w:eastAsia="zh-CN"/>
        </w:rPr>
        <w:t xml:space="preserve"> Then the following question is how to define transmit timing requirements for IoT NTN and whether the restriction on UE autonomous timing adjustment is valid.</w:t>
      </w:r>
      <w:r w:rsidR="00100D38">
        <w:rPr>
          <w:lang w:val="en-US" w:eastAsia="zh-CN"/>
        </w:rPr>
        <w:t xml:space="preserve"> From our understanding, the similar approach as NR NTN transmit timing requirement can be adopted. For IoT NTN, </w:t>
      </w:r>
      <w:r w:rsidR="00100D38">
        <w:t>t</w:t>
      </w:r>
      <w:r w:rsidR="00100D38" w:rsidRPr="00691C10">
        <w:t xml:space="preserve">he reference point for the UE initial transmit timing shall be the downlink timing of the serving cell </w:t>
      </w:r>
      <w:r w:rsidR="00100D38" w:rsidRPr="00100D38">
        <w:t xml:space="preserve">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e>
        </m:d>
        <m:sSub>
          <m:sSubPr>
            <m:ctrlPr>
              <w:rPr>
                <w:rFonts w:ascii="Cambria Math" w:hAnsi="Cambria Math"/>
                <w:i/>
              </w:rPr>
            </m:ctrlPr>
          </m:sSubPr>
          <m:e>
            <m:r>
              <w:rPr>
                <w:rFonts w:ascii="Cambria Math" w:hAnsi="Cambria Math"/>
              </w:rPr>
              <m:t>T</m:t>
            </m:r>
          </m:e>
          <m:sub>
            <m:r>
              <m:rPr>
                <m:nor/>
              </m:rPr>
              <m:t>s</m:t>
            </m:r>
          </m:sub>
        </m:sSub>
      </m:oMath>
      <w:r w:rsidR="00100D38" w:rsidRPr="00100D38">
        <w:t>.</w:t>
      </w:r>
    </w:p>
    <w:p w:rsidR="00100D38" w:rsidRPr="00A36622" w:rsidRDefault="00100D38" w:rsidP="00685E02">
      <w:pPr>
        <w:jc w:val="both"/>
        <w:rPr>
          <w:b/>
        </w:rPr>
      </w:pPr>
      <w:r w:rsidRPr="00A36622">
        <w:rPr>
          <w:b/>
        </w:rPr>
        <w:t xml:space="preserve">Proposal 2: </w:t>
      </w:r>
      <w:r w:rsidRPr="00A36622">
        <w:rPr>
          <w:b/>
          <w:lang w:val="en-US" w:eastAsia="zh-CN"/>
        </w:rPr>
        <w:t xml:space="preserve">For IoT NTN, </w:t>
      </w:r>
      <w:r w:rsidRPr="00A36622">
        <w:rPr>
          <w:b/>
        </w:rPr>
        <w:t xml:space="preserve">the reference point for the UE initial transmit timing shall be the downlink timing of the serving cell minus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nor/>
                  </m:rPr>
                  <w:rPr>
                    <w:b/>
                  </w:rPr>
                  <m:t>TA,offset</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e>
        </m:d>
        <m:sSub>
          <m:sSubPr>
            <m:ctrlPr>
              <w:rPr>
                <w:rFonts w:ascii="Cambria Math" w:hAnsi="Cambria Math"/>
                <w:b/>
                <w:i/>
              </w:rPr>
            </m:ctrlPr>
          </m:sSubPr>
          <m:e>
            <m:r>
              <m:rPr>
                <m:sty m:val="bi"/>
              </m:rPr>
              <w:rPr>
                <w:rFonts w:ascii="Cambria Math" w:hAnsi="Cambria Math"/>
              </w:rPr>
              <m:t>T</m:t>
            </m:r>
          </m:e>
          <m:sub>
            <m:r>
              <m:rPr>
                <m:nor/>
              </m:rPr>
              <w:rPr>
                <w:b/>
              </w:rPr>
              <m:t>s</m:t>
            </m:r>
          </m:sub>
        </m:sSub>
      </m:oMath>
      <w:r w:rsidRPr="00A36622">
        <w:rPr>
          <w:b/>
        </w:rPr>
        <w:t>.</w:t>
      </w:r>
    </w:p>
    <w:p w:rsidR="00100D38" w:rsidRDefault="00100D38" w:rsidP="00685E02">
      <w:pPr>
        <w:jc w:val="both"/>
      </w:pPr>
      <w:r>
        <w:t xml:space="preserve">For the gradual timing adjustment, similar statement as NR NTN can be adopted. Current requirements can apply apart from </w:t>
      </w:r>
      <w:r w:rsidR="00A36622">
        <w:t xml:space="preserve">the </w:t>
      </w:r>
      <w:r w:rsidR="00A36622" w:rsidRPr="005B4D4F">
        <w:rPr>
          <w:lang w:eastAsia="zh-CN"/>
        </w:rPr>
        <w:t xml:space="preserve">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A36622"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A36622">
        <w:t>.</w:t>
      </w:r>
    </w:p>
    <w:p w:rsidR="00A36622" w:rsidRPr="00A36622" w:rsidRDefault="00A36622" w:rsidP="00685E02">
      <w:pPr>
        <w:jc w:val="both"/>
        <w:rPr>
          <w:b/>
          <w:lang w:val="en-US" w:eastAsia="zh-CN"/>
        </w:rPr>
      </w:pPr>
      <w:r w:rsidRPr="00A36622">
        <w:rPr>
          <w:b/>
        </w:rPr>
        <w:t xml:space="preserve">Proposal 3: Current requirements on gradual timing adjustment can apply excluding the </w:t>
      </w:r>
      <w:r w:rsidRPr="00A36622">
        <w:rPr>
          <w:b/>
          <w:lang w:eastAsia="zh-CN"/>
        </w:rPr>
        <w:t xml:space="preserve">change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UE</m:t>
            </m:r>
          </m:sup>
        </m:sSubSup>
      </m:oMath>
      <w:r w:rsidRPr="00A36622">
        <w:rPr>
          <w:b/>
          <w:lang w:eastAsia="zh-CN"/>
        </w:rPr>
        <w:t xml:space="preserve"> due to satellite position update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common</m:t>
            </m:r>
          </m:sup>
        </m:sSubSup>
      </m:oMath>
      <w:r w:rsidRPr="00A36622">
        <w:rPr>
          <w:b/>
        </w:rPr>
        <w:t xml:space="preserve"> .</w:t>
      </w:r>
    </w:p>
    <w:p w:rsidR="00FC4388" w:rsidRDefault="00FC4388" w:rsidP="00FC4388">
      <w:pPr>
        <w:jc w:val="both"/>
      </w:pPr>
      <w:r>
        <w:rPr>
          <w:lang w:val="en-US" w:eastAsia="zh-CN"/>
        </w:rPr>
        <w:t xml:space="preserve">Since UE is allowed to perform timing pre-compensation, the restriction on autonomous </w:t>
      </w:r>
      <w:r w:rsidRPr="00691C10">
        <w:t xml:space="preserve">uplink </w:t>
      </w:r>
      <w:r>
        <w:t xml:space="preserve">timing adjustment during </w:t>
      </w:r>
      <w:r w:rsidRPr="00691C10">
        <w:t>an ongoing repetition period</w:t>
      </w:r>
      <w:r>
        <w:t xml:space="preserve"> does not apply to NTN IoT.</w:t>
      </w:r>
    </w:p>
    <w:p w:rsidR="00FC4388" w:rsidRPr="00FC4388" w:rsidRDefault="00FC4388" w:rsidP="00FC4388">
      <w:pPr>
        <w:jc w:val="both"/>
        <w:rPr>
          <w:b/>
          <w:lang w:val="en-US" w:eastAsia="zh-CN"/>
        </w:rPr>
      </w:pPr>
      <w:r w:rsidRPr="00FC4388">
        <w:rPr>
          <w:b/>
        </w:rPr>
        <w:t xml:space="preserve">Proposal 4: </w:t>
      </w:r>
      <w:r w:rsidRPr="00FC4388">
        <w:rPr>
          <w:b/>
          <w:lang w:val="en-US" w:eastAsia="zh-CN"/>
        </w:rPr>
        <w:t xml:space="preserve">The restriction on autonomous </w:t>
      </w:r>
      <w:r w:rsidRPr="00FC4388">
        <w:rPr>
          <w:b/>
        </w:rPr>
        <w:t>uplink timing adjustment during an ongoing repetition period does not apply to NTN IoT.</w:t>
      </w:r>
    </w:p>
    <w:p w:rsidR="00751D0C" w:rsidRPr="000800CD" w:rsidRDefault="00751D0C" w:rsidP="00561171">
      <w:pPr>
        <w:jc w:val="both"/>
        <w:rPr>
          <w:rFonts w:eastAsiaTheme="minorEastAsia"/>
          <w:lang w:val="en-US" w:eastAsia="zh-CN"/>
        </w:rPr>
      </w:pPr>
    </w:p>
    <w:p w:rsidR="00386BEA" w:rsidRPr="00386BEA" w:rsidRDefault="00DF0231" w:rsidP="00A86270">
      <w:pPr>
        <w:pStyle w:val="Heading1"/>
        <w:numPr>
          <w:ilvl w:val="0"/>
          <w:numId w:val="1"/>
        </w:numPr>
        <w:rPr>
          <w:lang w:val="en-US"/>
        </w:rPr>
      </w:pPr>
      <w:bookmarkStart w:id="5" w:name="_GoBack"/>
      <w:bookmarkEnd w:id="5"/>
      <w:r w:rsidRPr="002D2977">
        <w:rPr>
          <w:lang w:val="en-US"/>
        </w:rPr>
        <w:lastRenderedPageBreak/>
        <w:t>Conclusions</w:t>
      </w:r>
    </w:p>
    <w:p w:rsidR="00FC4388" w:rsidRDefault="00FC4388" w:rsidP="00FC4388">
      <w:pPr>
        <w:rPr>
          <w:b/>
          <w:lang w:val="en-US" w:eastAsia="zh-CN"/>
        </w:rPr>
      </w:pPr>
      <w:r w:rsidRPr="00281524">
        <w:rPr>
          <w:b/>
          <w:lang w:val="en-US" w:eastAsia="zh-CN"/>
        </w:rPr>
        <w:t>Observation 1: RAN1’s agreements imply that UE shall not do time pre-compensation within one segment.</w:t>
      </w:r>
    </w:p>
    <w:p w:rsidR="00FC4388" w:rsidRPr="00E23BA6" w:rsidRDefault="00FC4388" w:rsidP="00FC4388">
      <w:pPr>
        <w:jc w:val="both"/>
        <w:rPr>
          <w:b/>
          <w:lang w:val="en-US" w:eastAsia="zh-CN"/>
        </w:rPr>
      </w:pPr>
      <w:r w:rsidRPr="00E23BA6">
        <w:rPr>
          <w:b/>
          <w:lang w:val="en-US" w:eastAsia="zh-CN"/>
        </w:rPr>
        <w:t>Observation 2: If UE is not allowed to perform time pre-compensation during a segment, gNB will experience large timing drift during one segment.</w:t>
      </w:r>
    </w:p>
    <w:p w:rsidR="00FC4388" w:rsidRDefault="00FC4388" w:rsidP="00FC4388">
      <w:pPr>
        <w:jc w:val="both"/>
        <w:rPr>
          <w:b/>
          <w:lang w:val="en-US" w:eastAsia="zh-CN"/>
        </w:rPr>
      </w:pPr>
      <w:r w:rsidRPr="00051481">
        <w:rPr>
          <w:b/>
          <w:lang w:val="en-US" w:eastAsia="zh-CN"/>
        </w:rPr>
        <w:t>Observation 3: If UE is allowed to perform time pre-compensation during a segment, timing drift caused by moving of satellite is eliminated.</w:t>
      </w:r>
    </w:p>
    <w:p w:rsidR="00FC4388" w:rsidRDefault="00FC4388" w:rsidP="00FC4388">
      <w:pPr>
        <w:jc w:val="both"/>
        <w:rPr>
          <w:b/>
          <w:lang w:val="en-US" w:eastAsia="zh-CN"/>
        </w:rPr>
      </w:pPr>
      <w:r>
        <w:rPr>
          <w:b/>
          <w:lang w:val="en-US" w:eastAsia="zh-CN"/>
        </w:rPr>
        <w:t xml:space="preserve">Proposal 1: UE is </w:t>
      </w:r>
      <w:r w:rsidRPr="00051481">
        <w:rPr>
          <w:b/>
          <w:lang w:val="en-US" w:eastAsia="zh-CN"/>
        </w:rPr>
        <w:t>allowed to perform time pre-compensation during a segment</w:t>
      </w:r>
      <w:r>
        <w:rPr>
          <w:b/>
          <w:lang w:val="en-US" w:eastAsia="zh-CN"/>
        </w:rPr>
        <w:t>.</w:t>
      </w:r>
    </w:p>
    <w:p w:rsidR="00FC4388" w:rsidRPr="00A36622" w:rsidRDefault="00FC4388" w:rsidP="00FC4388">
      <w:pPr>
        <w:jc w:val="both"/>
        <w:rPr>
          <w:b/>
        </w:rPr>
      </w:pPr>
      <w:r w:rsidRPr="00A36622">
        <w:rPr>
          <w:b/>
        </w:rPr>
        <w:t xml:space="preserve">Proposal 2: </w:t>
      </w:r>
      <w:r w:rsidRPr="00A36622">
        <w:rPr>
          <w:b/>
          <w:lang w:val="en-US" w:eastAsia="zh-CN"/>
        </w:rPr>
        <w:t xml:space="preserve">For IoT NTN, </w:t>
      </w:r>
      <w:r w:rsidRPr="00A36622">
        <w:rPr>
          <w:b/>
        </w:rPr>
        <w:t xml:space="preserve">the reference point for the UE initial transmit timing shall be the downlink timing of the serving cell minus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nor/>
                  </m:rPr>
                  <w:rPr>
                    <w:b/>
                  </w:rPr>
                  <m:t>TA,offset</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e>
        </m:d>
        <m:sSub>
          <m:sSubPr>
            <m:ctrlPr>
              <w:rPr>
                <w:rFonts w:ascii="Cambria Math" w:hAnsi="Cambria Math"/>
                <w:b/>
                <w:i/>
              </w:rPr>
            </m:ctrlPr>
          </m:sSubPr>
          <m:e>
            <m:r>
              <m:rPr>
                <m:sty m:val="bi"/>
              </m:rPr>
              <w:rPr>
                <w:rFonts w:ascii="Cambria Math" w:hAnsi="Cambria Math"/>
              </w:rPr>
              <m:t>T</m:t>
            </m:r>
          </m:e>
          <m:sub>
            <m:r>
              <m:rPr>
                <m:nor/>
              </m:rPr>
              <w:rPr>
                <w:b/>
              </w:rPr>
              <m:t>s</m:t>
            </m:r>
          </m:sub>
        </m:sSub>
      </m:oMath>
      <w:r w:rsidRPr="00A36622">
        <w:rPr>
          <w:b/>
        </w:rPr>
        <w:t>.</w:t>
      </w:r>
    </w:p>
    <w:p w:rsidR="00FC4388" w:rsidRPr="00A36622" w:rsidRDefault="00FC4388" w:rsidP="00FC4388">
      <w:pPr>
        <w:jc w:val="both"/>
        <w:rPr>
          <w:b/>
          <w:lang w:val="en-US" w:eastAsia="zh-CN"/>
        </w:rPr>
      </w:pPr>
      <w:r w:rsidRPr="00A36622">
        <w:rPr>
          <w:b/>
        </w:rPr>
        <w:t xml:space="preserve">Proposal 3: Current requirements on gradual timing adjustment can apply excluding the </w:t>
      </w:r>
      <w:r w:rsidRPr="00A36622">
        <w:rPr>
          <w:b/>
          <w:lang w:eastAsia="zh-CN"/>
        </w:rPr>
        <w:t xml:space="preserve">change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UE</m:t>
            </m:r>
          </m:sup>
        </m:sSubSup>
      </m:oMath>
      <w:r w:rsidRPr="00A36622">
        <w:rPr>
          <w:b/>
          <w:lang w:eastAsia="zh-CN"/>
        </w:rPr>
        <w:t xml:space="preserve"> due to satellite position update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common</m:t>
            </m:r>
          </m:sup>
        </m:sSubSup>
      </m:oMath>
      <w:r w:rsidRPr="00A36622">
        <w:rPr>
          <w:b/>
        </w:rPr>
        <w:t xml:space="preserve"> .</w:t>
      </w:r>
    </w:p>
    <w:p w:rsidR="00FC4388" w:rsidRPr="00FC4388" w:rsidRDefault="00FC4388" w:rsidP="00386BEA">
      <w:pPr>
        <w:jc w:val="both"/>
        <w:rPr>
          <w:b/>
          <w:lang w:val="en-US" w:eastAsia="zh-CN"/>
        </w:rPr>
      </w:pPr>
      <w:r w:rsidRPr="00FC4388">
        <w:rPr>
          <w:b/>
        </w:rPr>
        <w:t xml:space="preserve">Proposal 4: </w:t>
      </w:r>
      <w:r w:rsidRPr="00FC4388">
        <w:rPr>
          <w:b/>
          <w:lang w:val="en-US" w:eastAsia="zh-CN"/>
        </w:rPr>
        <w:t xml:space="preserve">The restriction on autonomous </w:t>
      </w:r>
      <w:r w:rsidRPr="00FC4388">
        <w:rPr>
          <w:b/>
        </w:rPr>
        <w:t>uplink timing adjustment during an ongoing repetition period does not apply to NTN IoT.</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NB-IoT/eMTC core &amp; performance requirements for Non-Terrestrial Networks</w:t>
      </w:r>
    </w:p>
    <w:p w:rsidR="00411C89" w:rsidRDefault="00411C89" w:rsidP="00637A49">
      <w:r>
        <w:t>[2] RP-211601 NB-IoT/eMTC support for Non-Terrestrial Networks</w:t>
      </w:r>
    </w:p>
    <w:p w:rsidR="00FA2885" w:rsidRDefault="00FA2885" w:rsidP="00637A49">
      <w:pPr>
        <w:rPr>
          <w:rFonts w:eastAsiaTheme="minorEastAsia"/>
          <w:lang w:eastAsia="zh-CN"/>
        </w:rPr>
      </w:pPr>
      <w:r>
        <w:t xml:space="preserve">[3] </w:t>
      </w:r>
      <w:r w:rsidRPr="00FA2885">
        <w:t>R1-2205642</w:t>
      </w:r>
      <w:r>
        <w:t xml:space="preserve"> </w:t>
      </w:r>
      <w:bookmarkStart w:id="6" w:name="_Hlk103862447"/>
      <w:r>
        <w:rPr>
          <w:bCs/>
        </w:rPr>
        <w:t>LS on UL Segmented Transmission for UL synchronization for IoT NTN</w:t>
      </w:r>
      <w:bookmarkEnd w:id="6"/>
    </w:p>
    <w:p w:rsidR="00751D0C" w:rsidRDefault="00D679B7">
      <w:pPr>
        <w:rPr>
          <w:rFonts w:eastAsiaTheme="minorEastAsia"/>
          <w:lang w:val="en-US" w:eastAsia="zh-CN"/>
        </w:rPr>
      </w:pPr>
      <w:r>
        <w:rPr>
          <w:rFonts w:eastAsiaTheme="minorEastAsia"/>
          <w:lang w:val="en-US" w:eastAsia="zh-CN"/>
        </w:rPr>
        <w:t>[</w:t>
      </w:r>
      <w:r w:rsidR="00FA2885">
        <w:rPr>
          <w:rFonts w:eastAsiaTheme="minorEastAsia"/>
          <w:lang w:val="en-US" w:eastAsia="zh-CN"/>
        </w:rPr>
        <w:t>4</w:t>
      </w:r>
      <w:r>
        <w:rPr>
          <w:rFonts w:eastAsiaTheme="minorEastAsia"/>
          <w:lang w:val="en-US" w:eastAsia="zh-CN"/>
        </w:rPr>
        <w:t xml:space="preserve">] </w:t>
      </w:r>
      <w:r w:rsidRPr="00D679B7">
        <w:rPr>
          <w:rFonts w:eastAsiaTheme="minorEastAsia"/>
          <w:lang w:val="en-US" w:eastAsia="zh-CN"/>
        </w:rPr>
        <w:t>R4-2214350</w:t>
      </w:r>
      <w:r>
        <w:rPr>
          <w:rFonts w:eastAsiaTheme="minorEastAsia"/>
          <w:lang w:val="en-US" w:eastAsia="zh-CN"/>
        </w:rPr>
        <w:t xml:space="preserve"> </w:t>
      </w:r>
      <w:r w:rsidRPr="00D679B7">
        <w:rPr>
          <w:rFonts w:eastAsiaTheme="minorEastAsia"/>
          <w:lang w:val="en-US" w:eastAsia="zh-CN"/>
        </w:rPr>
        <w:t>WF on LTE IoT NTN RRM requirements</w:t>
      </w:r>
      <w:r>
        <w:rPr>
          <w:rFonts w:eastAsiaTheme="minorEastAsia"/>
          <w:lang w:val="en-US" w:eastAsia="zh-CN"/>
        </w:rPr>
        <w:t xml:space="preserve">, </w:t>
      </w:r>
      <w:r w:rsidRPr="00D679B7">
        <w:rPr>
          <w:rFonts w:eastAsiaTheme="minorEastAsia"/>
          <w:lang w:val="en-US" w:eastAsia="zh-CN"/>
        </w:rPr>
        <w:t>MediaTek inc</w:t>
      </w:r>
    </w:p>
    <w:p w:rsidR="007F425A" w:rsidRDefault="00751D0C" w:rsidP="00751D0C">
      <w:pPr>
        <w:rPr>
          <w:rFonts w:eastAsiaTheme="minorEastAsia"/>
          <w:lang w:val="en-US" w:eastAsia="zh-CN"/>
        </w:rPr>
      </w:pPr>
      <w:r>
        <w:rPr>
          <w:rFonts w:eastAsiaTheme="minorEastAsia"/>
          <w:lang w:val="en-US" w:eastAsia="zh-CN"/>
        </w:rPr>
        <w:t xml:space="preserve">[5] </w:t>
      </w:r>
      <w:r w:rsidRPr="00751D0C">
        <w:rPr>
          <w:rFonts w:eastAsiaTheme="minorEastAsia"/>
          <w:lang w:val="en-US" w:eastAsia="zh-CN"/>
        </w:rPr>
        <w:t>R4-2214353</w:t>
      </w:r>
      <w:r>
        <w:rPr>
          <w:rFonts w:eastAsiaTheme="minorEastAsia"/>
          <w:lang w:val="en-US" w:eastAsia="zh-CN"/>
        </w:rPr>
        <w:t xml:space="preserve"> </w:t>
      </w:r>
      <w:r w:rsidRPr="00751D0C">
        <w:rPr>
          <w:rFonts w:eastAsiaTheme="minorEastAsia"/>
          <w:lang w:val="en-US" w:eastAsia="zh-CN"/>
        </w:rPr>
        <w:t>WF on UL Segmented Transmission for UL synchronization for IoT NTN</w:t>
      </w:r>
      <w:r>
        <w:rPr>
          <w:rFonts w:eastAsiaTheme="minorEastAsia"/>
          <w:lang w:val="en-US" w:eastAsia="zh-CN"/>
        </w:rPr>
        <w:t xml:space="preserve">, </w:t>
      </w:r>
      <w:r w:rsidRPr="00751D0C">
        <w:rPr>
          <w:rFonts w:eastAsiaTheme="minorEastAsia"/>
          <w:lang w:val="en-US" w:eastAsia="zh-CN"/>
        </w:rPr>
        <w:t>MediaTek inc.</w:t>
      </w:r>
    </w:p>
    <w:p w:rsidR="00FA2885" w:rsidRPr="00751D0C" w:rsidRDefault="00FA2885" w:rsidP="00751D0C">
      <w:pPr>
        <w:rPr>
          <w:rFonts w:eastAsiaTheme="minorEastAsia"/>
          <w:lang w:val="en-US" w:eastAsia="zh-CN"/>
        </w:rPr>
      </w:pPr>
    </w:p>
    <w:sectPr w:rsidR="00FA2885"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7FB" w:rsidRDefault="001337FB">
      <w:pPr>
        <w:spacing w:after="0"/>
      </w:pPr>
      <w:r>
        <w:separator/>
      </w:r>
    </w:p>
  </w:endnote>
  <w:endnote w:type="continuationSeparator" w:id="0">
    <w:p w:rsidR="001337FB" w:rsidRDefault="001337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D38" w:rsidRDefault="00100D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100D38" w:rsidRDefault="00100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D38" w:rsidRDefault="00100D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0B11">
      <w:rPr>
        <w:rStyle w:val="PageNumber"/>
      </w:rPr>
      <w:t>3</w:t>
    </w:r>
    <w:r>
      <w:rPr>
        <w:rStyle w:val="PageNumber"/>
      </w:rPr>
      <w:fldChar w:fldCharType="end"/>
    </w:r>
  </w:p>
  <w:p w:rsidR="00100D38" w:rsidRDefault="00100D3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7FB" w:rsidRDefault="001337FB">
      <w:pPr>
        <w:spacing w:after="0"/>
      </w:pPr>
      <w:r>
        <w:separator/>
      </w:r>
    </w:p>
  </w:footnote>
  <w:footnote w:type="continuationSeparator" w:id="0">
    <w:p w:rsidR="001337FB" w:rsidRDefault="001337F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8"/>
  </w:num>
  <w:num w:numId="2">
    <w:abstractNumId w:val="1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4"/>
  </w:num>
  <w:num w:numId="7">
    <w:abstractNumId w:val="9"/>
  </w:num>
  <w:num w:numId="8">
    <w:abstractNumId w:val="3"/>
  </w:num>
  <w:num w:numId="9">
    <w:abstractNumId w:val="12"/>
  </w:num>
  <w:num w:numId="10">
    <w:abstractNumId w:val="0"/>
  </w:num>
  <w:num w:numId="11">
    <w:abstractNumId w:val="9"/>
  </w:num>
  <w:num w:numId="12">
    <w:abstractNumId w:val="6"/>
  </w:num>
  <w:num w:numId="13">
    <w:abstractNumId w:val="7"/>
  </w:num>
  <w:num w:numId="14">
    <w:abstractNumId w:val="11"/>
  </w:num>
  <w:num w:numId="15">
    <w:abstractNumId w:val="1"/>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109DF"/>
    <w:rsid w:val="000131D4"/>
    <w:rsid w:val="00025036"/>
    <w:rsid w:val="00026467"/>
    <w:rsid w:val="00026991"/>
    <w:rsid w:val="00035B7C"/>
    <w:rsid w:val="00035D42"/>
    <w:rsid w:val="00040779"/>
    <w:rsid w:val="0004356B"/>
    <w:rsid w:val="0004558E"/>
    <w:rsid w:val="00046547"/>
    <w:rsid w:val="00051481"/>
    <w:rsid w:val="00055B5D"/>
    <w:rsid w:val="00063B55"/>
    <w:rsid w:val="00063E08"/>
    <w:rsid w:val="00066D98"/>
    <w:rsid w:val="000676A1"/>
    <w:rsid w:val="00067A48"/>
    <w:rsid w:val="00067B89"/>
    <w:rsid w:val="000731A5"/>
    <w:rsid w:val="00076C0A"/>
    <w:rsid w:val="000800CD"/>
    <w:rsid w:val="00086874"/>
    <w:rsid w:val="00087858"/>
    <w:rsid w:val="000903D2"/>
    <w:rsid w:val="00092907"/>
    <w:rsid w:val="0009578C"/>
    <w:rsid w:val="00096503"/>
    <w:rsid w:val="00097E39"/>
    <w:rsid w:val="000A12FD"/>
    <w:rsid w:val="000A1878"/>
    <w:rsid w:val="000A2ED7"/>
    <w:rsid w:val="000A4BCB"/>
    <w:rsid w:val="000A5097"/>
    <w:rsid w:val="000A7A19"/>
    <w:rsid w:val="000B15EC"/>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38"/>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7FB"/>
    <w:rsid w:val="001343DA"/>
    <w:rsid w:val="001365E9"/>
    <w:rsid w:val="001406A8"/>
    <w:rsid w:val="0014128A"/>
    <w:rsid w:val="00141870"/>
    <w:rsid w:val="001435CB"/>
    <w:rsid w:val="00151949"/>
    <w:rsid w:val="00152334"/>
    <w:rsid w:val="001531EC"/>
    <w:rsid w:val="00153CFF"/>
    <w:rsid w:val="00161981"/>
    <w:rsid w:val="00163724"/>
    <w:rsid w:val="00165992"/>
    <w:rsid w:val="00171619"/>
    <w:rsid w:val="001734E7"/>
    <w:rsid w:val="00175B04"/>
    <w:rsid w:val="0017747E"/>
    <w:rsid w:val="0018314E"/>
    <w:rsid w:val="00184719"/>
    <w:rsid w:val="0019343D"/>
    <w:rsid w:val="00197964"/>
    <w:rsid w:val="001A0A8D"/>
    <w:rsid w:val="001A1E7C"/>
    <w:rsid w:val="001C4240"/>
    <w:rsid w:val="001C5D98"/>
    <w:rsid w:val="001C5E22"/>
    <w:rsid w:val="001D154C"/>
    <w:rsid w:val="001D3006"/>
    <w:rsid w:val="001E17E6"/>
    <w:rsid w:val="001E24D0"/>
    <w:rsid w:val="001E7174"/>
    <w:rsid w:val="001F03D0"/>
    <w:rsid w:val="0020000C"/>
    <w:rsid w:val="0020033A"/>
    <w:rsid w:val="00205C18"/>
    <w:rsid w:val="00207FF4"/>
    <w:rsid w:val="00216AAB"/>
    <w:rsid w:val="00217770"/>
    <w:rsid w:val="002204E2"/>
    <w:rsid w:val="00221C9D"/>
    <w:rsid w:val="002221AC"/>
    <w:rsid w:val="00222A85"/>
    <w:rsid w:val="00222AF7"/>
    <w:rsid w:val="00224857"/>
    <w:rsid w:val="002266C2"/>
    <w:rsid w:val="00227565"/>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81524"/>
    <w:rsid w:val="00282D3C"/>
    <w:rsid w:val="00290B11"/>
    <w:rsid w:val="00294B79"/>
    <w:rsid w:val="002978A7"/>
    <w:rsid w:val="002A0BB1"/>
    <w:rsid w:val="002A235C"/>
    <w:rsid w:val="002A2EF8"/>
    <w:rsid w:val="002A5E54"/>
    <w:rsid w:val="002A677B"/>
    <w:rsid w:val="002B45C3"/>
    <w:rsid w:val="002B6FD5"/>
    <w:rsid w:val="002D2FA8"/>
    <w:rsid w:val="002E109C"/>
    <w:rsid w:val="002E2E5C"/>
    <w:rsid w:val="002E3A74"/>
    <w:rsid w:val="002E668C"/>
    <w:rsid w:val="002E7BC2"/>
    <w:rsid w:val="002F00F2"/>
    <w:rsid w:val="002F579F"/>
    <w:rsid w:val="002F7A50"/>
    <w:rsid w:val="00300DB8"/>
    <w:rsid w:val="003069D8"/>
    <w:rsid w:val="00311CF9"/>
    <w:rsid w:val="003158EC"/>
    <w:rsid w:val="00321181"/>
    <w:rsid w:val="00323702"/>
    <w:rsid w:val="003249F8"/>
    <w:rsid w:val="003356E3"/>
    <w:rsid w:val="0033693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7E6D"/>
    <w:rsid w:val="003C092B"/>
    <w:rsid w:val="003C6DC4"/>
    <w:rsid w:val="003D6632"/>
    <w:rsid w:val="003D6F09"/>
    <w:rsid w:val="003D77C1"/>
    <w:rsid w:val="003E097F"/>
    <w:rsid w:val="003E6285"/>
    <w:rsid w:val="003E7C96"/>
    <w:rsid w:val="003F0F9F"/>
    <w:rsid w:val="003F4698"/>
    <w:rsid w:val="003F762D"/>
    <w:rsid w:val="00401473"/>
    <w:rsid w:val="00407B73"/>
    <w:rsid w:val="00411C89"/>
    <w:rsid w:val="00415933"/>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6AE8"/>
    <w:rsid w:val="00466D02"/>
    <w:rsid w:val="004677F7"/>
    <w:rsid w:val="00477263"/>
    <w:rsid w:val="00485549"/>
    <w:rsid w:val="0049501A"/>
    <w:rsid w:val="004A0F19"/>
    <w:rsid w:val="004A1641"/>
    <w:rsid w:val="004A29B2"/>
    <w:rsid w:val="004A678E"/>
    <w:rsid w:val="004A7CF2"/>
    <w:rsid w:val="004A7F44"/>
    <w:rsid w:val="004B1ECE"/>
    <w:rsid w:val="004B4633"/>
    <w:rsid w:val="004C11F4"/>
    <w:rsid w:val="004C4868"/>
    <w:rsid w:val="004D23BA"/>
    <w:rsid w:val="004D3C97"/>
    <w:rsid w:val="004D5EAE"/>
    <w:rsid w:val="004E3732"/>
    <w:rsid w:val="004E4289"/>
    <w:rsid w:val="004E5D51"/>
    <w:rsid w:val="004F0167"/>
    <w:rsid w:val="004F1FE4"/>
    <w:rsid w:val="004F344B"/>
    <w:rsid w:val="00501A1D"/>
    <w:rsid w:val="00502991"/>
    <w:rsid w:val="00505B5F"/>
    <w:rsid w:val="00513ECE"/>
    <w:rsid w:val="00514A5F"/>
    <w:rsid w:val="0052002B"/>
    <w:rsid w:val="005235DB"/>
    <w:rsid w:val="0052468C"/>
    <w:rsid w:val="005249D7"/>
    <w:rsid w:val="00524EEA"/>
    <w:rsid w:val="00526B85"/>
    <w:rsid w:val="00527DD4"/>
    <w:rsid w:val="00530DAB"/>
    <w:rsid w:val="00530EB0"/>
    <w:rsid w:val="00533C4E"/>
    <w:rsid w:val="005347EA"/>
    <w:rsid w:val="005375AA"/>
    <w:rsid w:val="005409B9"/>
    <w:rsid w:val="00545EC2"/>
    <w:rsid w:val="0054734A"/>
    <w:rsid w:val="00547DE0"/>
    <w:rsid w:val="00552174"/>
    <w:rsid w:val="005546D8"/>
    <w:rsid w:val="005567E5"/>
    <w:rsid w:val="00557527"/>
    <w:rsid w:val="00561171"/>
    <w:rsid w:val="00575156"/>
    <w:rsid w:val="005755A4"/>
    <w:rsid w:val="005763DF"/>
    <w:rsid w:val="00582652"/>
    <w:rsid w:val="005906DB"/>
    <w:rsid w:val="005A2A55"/>
    <w:rsid w:val="005A2C70"/>
    <w:rsid w:val="005A456B"/>
    <w:rsid w:val="005B0D68"/>
    <w:rsid w:val="005B5BD7"/>
    <w:rsid w:val="005B6053"/>
    <w:rsid w:val="005C337F"/>
    <w:rsid w:val="005D15A2"/>
    <w:rsid w:val="005D231A"/>
    <w:rsid w:val="005D3DC0"/>
    <w:rsid w:val="005D6BEF"/>
    <w:rsid w:val="005E29AA"/>
    <w:rsid w:val="005E4CCD"/>
    <w:rsid w:val="005F5231"/>
    <w:rsid w:val="005F74CF"/>
    <w:rsid w:val="006014ED"/>
    <w:rsid w:val="00604490"/>
    <w:rsid w:val="00604A07"/>
    <w:rsid w:val="0060650F"/>
    <w:rsid w:val="00607CE8"/>
    <w:rsid w:val="00616123"/>
    <w:rsid w:val="0061679F"/>
    <w:rsid w:val="00622EBC"/>
    <w:rsid w:val="00622FBA"/>
    <w:rsid w:val="00623834"/>
    <w:rsid w:val="00625728"/>
    <w:rsid w:val="00635494"/>
    <w:rsid w:val="00636A6F"/>
    <w:rsid w:val="00637A49"/>
    <w:rsid w:val="006420CE"/>
    <w:rsid w:val="006538FE"/>
    <w:rsid w:val="0065634B"/>
    <w:rsid w:val="006617B8"/>
    <w:rsid w:val="0066186B"/>
    <w:rsid w:val="00664D04"/>
    <w:rsid w:val="00671047"/>
    <w:rsid w:val="0067220D"/>
    <w:rsid w:val="00672FCE"/>
    <w:rsid w:val="006769A2"/>
    <w:rsid w:val="00677991"/>
    <w:rsid w:val="00681F59"/>
    <w:rsid w:val="00685E02"/>
    <w:rsid w:val="006901CA"/>
    <w:rsid w:val="006A68E5"/>
    <w:rsid w:val="006A7936"/>
    <w:rsid w:val="006A7B70"/>
    <w:rsid w:val="006B21AC"/>
    <w:rsid w:val="006B3462"/>
    <w:rsid w:val="006B637D"/>
    <w:rsid w:val="006B75BA"/>
    <w:rsid w:val="006C3D21"/>
    <w:rsid w:val="006C4BDB"/>
    <w:rsid w:val="006C51BD"/>
    <w:rsid w:val="006C7D66"/>
    <w:rsid w:val="006D43CD"/>
    <w:rsid w:val="006D7325"/>
    <w:rsid w:val="006E2BAB"/>
    <w:rsid w:val="006E38A1"/>
    <w:rsid w:val="006F1BAF"/>
    <w:rsid w:val="006F27CD"/>
    <w:rsid w:val="006F4D95"/>
    <w:rsid w:val="006F5874"/>
    <w:rsid w:val="00701598"/>
    <w:rsid w:val="007028B4"/>
    <w:rsid w:val="00702FA5"/>
    <w:rsid w:val="00703B4D"/>
    <w:rsid w:val="007069DA"/>
    <w:rsid w:val="00710FC3"/>
    <w:rsid w:val="00711654"/>
    <w:rsid w:val="00712395"/>
    <w:rsid w:val="00712608"/>
    <w:rsid w:val="00714064"/>
    <w:rsid w:val="00714E6F"/>
    <w:rsid w:val="007166C4"/>
    <w:rsid w:val="007200C7"/>
    <w:rsid w:val="00723883"/>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C6200"/>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0DF0"/>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2D9E"/>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7098"/>
    <w:rsid w:val="009660E3"/>
    <w:rsid w:val="009708D0"/>
    <w:rsid w:val="00972D26"/>
    <w:rsid w:val="00973C4C"/>
    <w:rsid w:val="009814D6"/>
    <w:rsid w:val="0099102E"/>
    <w:rsid w:val="00993157"/>
    <w:rsid w:val="00995A6E"/>
    <w:rsid w:val="009968CF"/>
    <w:rsid w:val="009A355B"/>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F07"/>
    <w:rsid w:val="00A36622"/>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AF6004"/>
    <w:rsid w:val="00AF7927"/>
    <w:rsid w:val="00B02A13"/>
    <w:rsid w:val="00B07979"/>
    <w:rsid w:val="00B10C6E"/>
    <w:rsid w:val="00B1402B"/>
    <w:rsid w:val="00B22016"/>
    <w:rsid w:val="00B221C2"/>
    <w:rsid w:val="00B23292"/>
    <w:rsid w:val="00B26D02"/>
    <w:rsid w:val="00B343A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763F"/>
    <w:rsid w:val="00BA0FB3"/>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543D"/>
    <w:rsid w:val="00BE677A"/>
    <w:rsid w:val="00BE6A2E"/>
    <w:rsid w:val="00BF00A7"/>
    <w:rsid w:val="00BF136F"/>
    <w:rsid w:val="00BF33D9"/>
    <w:rsid w:val="00BF5AD6"/>
    <w:rsid w:val="00C0184F"/>
    <w:rsid w:val="00C075BD"/>
    <w:rsid w:val="00C11B10"/>
    <w:rsid w:val="00C12B71"/>
    <w:rsid w:val="00C12EA5"/>
    <w:rsid w:val="00C15E40"/>
    <w:rsid w:val="00C161BE"/>
    <w:rsid w:val="00C16239"/>
    <w:rsid w:val="00C338CA"/>
    <w:rsid w:val="00C3428D"/>
    <w:rsid w:val="00C35CB3"/>
    <w:rsid w:val="00C50A0A"/>
    <w:rsid w:val="00C572D7"/>
    <w:rsid w:val="00C60016"/>
    <w:rsid w:val="00C638D8"/>
    <w:rsid w:val="00C63D6B"/>
    <w:rsid w:val="00C64128"/>
    <w:rsid w:val="00C710B7"/>
    <w:rsid w:val="00C73515"/>
    <w:rsid w:val="00C74442"/>
    <w:rsid w:val="00C754BC"/>
    <w:rsid w:val="00C76E52"/>
    <w:rsid w:val="00C82283"/>
    <w:rsid w:val="00C83525"/>
    <w:rsid w:val="00CA1729"/>
    <w:rsid w:val="00CA1984"/>
    <w:rsid w:val="00CA1DAE"/>
    <w:rsid w:val="00CA234E"/>
    <w:rsid w:val="00CA7429"/>
    <w:rsid w:val="00CB6216"/>
    <w:rsid w:val="00CC09A6"/>
    <w:rsid w:val="00CC37D0"/>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D2D"/>
    <w:rsid w:val="00D463A3"/>
    <w:rsid w:val="00D51833"/>
    <w:rsid w:val="00D55894"/>
    <w:rsid w:val="00D57BE5"/>
    <w:rsid w:val="00D679B7"/>
    <w:rsid w:val="00D67ABE"/>
    <w:rsid w:val="00D73373"/>
    <w:rsid w:val="00D74CA3"/>
    <w:rsid w:val="00D76666"/>
    <w:rsid w:val="00D828E1"/>
    <w:rsid w:val="00D8441F"/>
    <w:rsid w:val="00D850B9"/>
    <w:rsid w:val="00D94E39"/>
    <w:rsid w:val="00D9789C"/>
    <w:rsid w:val="00DB10D2"/>
    <w:rsid w:val="00DB1DD4"/>
    <w:rsid w:val="00DB61B3"/>
    <w:rsid w:val="00DC105C"/>
    <w:rsid w:val="00DC260B"/>
    <w:rsid w:val="00DC49A6"/>
    <w:rsid w:val="00DD0915"/>
    <w:rsid w:val="00DD1DFF"/>
    <w:rsid w:val="00DD33CF"/>
    <w:rsid w:val="00DD66E0"/>
    <w:rsid w:val="00DE3896"/>
    <w:rsid w:val="00DE4435"/>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3BA6"/>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77BF2"/>
    <w:rsid w:val="00E81035"/>
    <w:rsid w:val="00E82ED7"/>
    <w:rsid w:val="00E83483"/>
    <w:rsid w:val="00E85BF2"/>
    <w:rsid w:val="00E91110"/>
    <w:rsid w:val="00E9184C"/>
    <w:rsid w:val="00E94DD3"/>
    <w:rsid w:val="00EA2254"/>
    <w:rsid w:val="00EA49BA"/>
    <w:rsid w:val="00EA4E79"/>
    <w:rsid w:val="00EA5149"/>
    <w:rsid w:val="00EB02DF"/>
    <w:rsid w:val="00EB2795"/>
    <w:rsid w:val="00EB58C4"/>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2885"/>
    <w:rsid w:val="00FA4943"/>
    <w:rsid w:val="00FB6BD9"/>
    <w:rsid w:val="00FC0544"/>
    <w:rsid w:val="00FC0F9D"/>
    <w:rsid w:val="00FC3492"/>
    <w:rsid w:val="00FC4388"/>
    <w:rsid w:val="00FC7913"/>
    <w:rsid w:val="00FD1CDD"/>
    <w:rsid w:val="00FD518E"/>
    <w:rsid w:val="00FD7EED"/>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0131955">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0A537-9D91-4E8F-8BD0-3C14F696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15551</TotalTime>
  <Pages>1</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348</cp:revision>
  <dcterms:created xsi:type="dcterms:W3CDTF">2019-09-18T02:52:00Z</dcterms:created>
  <dcterms:modified xsi:type="dcterms:W3CDTF">2022-09-30T12:30:00Z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(3)H8c/LMskU5JBZeN1h++g2q2BHaQd+2vhOeyVta643R4tr3Q1Rtkgh64X9+5v/b5imW2JsibN
XRiNBXJWP/VB4mLC0PYajZpUtaUVfVV8ZWFyDKC0vybDVrtG9gJ1opD5KgGm4N0cC3OfGjdq
2fftRHNSJufljo0KXuMElUm71GpZOt+3mSpCkoY2AbNuZ6IPd4n851jpsM+RCen6+5BVj5Hd
npILR+rwUFURty9Tij</vt:lpwstr>
  </property>
  <property fmtid="{D5CDD505-2E9C-101B-9397-08002B2CF9AE}" pid="3" name="_2015_ms_pID_7253431">
    <vt:lpwstr>usMi4y4uNX6FSuJYbQxdZQVgmEuPXmXg/7W6M59k4rkVpwgrZk+T3D
1HMbv31zkjjih5q0T0yRDFaTYGDBpr/Re4+SL9G0hk9Jz70fi1z05vq8lfeEEKK2cxOURNwm
YB/pjtJ79gy0ipCSJlBB60vPOx5OReWHqzbMPfhGV5E6H/wV4inCL9hSQj114iwujrRAZiFb
YodVL8LbGyoZOvfqT/GUMFrNvh0WdUXBWfU5</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