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0A17D" w14:textId="30401A16" w:rsidR="00803510" w:rsidRPr="00EE2C74" w:rsidRDefault="00E23971" w:rsidP="00803510">
      <w:pPr>
        <w:pStyle w:val="3GPPHeader"/>
        <w:spacing w:after="0"/>
        <w:rPr>
          <w:lang w:val="en-US"/>
        </w:rPr>
      </w:pPr>
      <w:r w:rsidRPr="00E23971">
        <w:rPr>
          <w:lang w:val="en-US"/>
        </w:rPr>
        <w:t xml:space="preserve">3GPP TSG-RAN WG4 Meeting # </w:t>
      </w:r>
      <w:r w:rsidR="002E1F6A">
        <w:rPr>
          <w:lang w:val="en-US"/>
        </w:rPr>
        <w:t>10</w:t>
      </w:r>
      <w:r w:rsidR="008B2128">
        <w:rPr>
          <w:lang w:val="en-US"/>
        </w:rPr>
        <w:t>3</w:t>
      </w:r>
      <w:r w:rsidRPr="00E23971">
        <w:rPr>
          <w:lang w:val="en-US"/>
        </w:rPr>
        <w:t>-e</w:t>
      </w:r>
      <w:r w:rsidR="00803510" w:rsidRPr="00EE2C74">
        <w:rPr>
          <w:lang w:val="en-US"/>
        </w:rPr>
        <w:tab/>
      </w:r>
      <w:r w:rsidR="008B2128" w:rsidRPr="008B2128">
        <w:rPr>
          <w:lang w:val="en-US"/>
        </w:rPr>
        <w:t>R4-2208385</w:t>
      </w:r>
    </w:p>
    <w:p w14:paraId="26F858F2" w14:textId="753B2E66" w:rsidR="0043450E" w:rsidRPr="00803510" w:rsidRDefault="00E21FB6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  <w:r w:rsidRPr="00E21FB6">
        <w:rPr>
          <w:rFonts w:ascii="Arial" w:hAnsi="Arial"/>
          <w:b/>
          <w:sz w:val="24"/>
          <w:lang w:val="en-US" w:eastAsia="zh-CN"/>
        </w:rPr>
        <w:t>Electronic Meeting, May 09 – May 20, 2022</w:t>
      </w: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2998363C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11369F">
        <w:rPr>
          <w:sz w:val="22"/>
        </w:rPr>
        <w:t>Handling of m</w:t>
      </w:r>
      <w:r w:rsidR="00033B55" w:rsidRPr="00033B55">
        <w:rPr>
          <w:sz w:val="22"/>
        </w:rPr>
        <w:t xml:space="preserve">ultiple DC locations for intra-band </w:t>
      </w:r>
      <w:r w:rsidR="00057D24">
        <w:rPr>
          <w:sz w:val="22"/>
        </w:rPr>
        <w:t>CA</w:t>
      </w:r>
    </w:p>
    <w:p w14:paraId="23226DA5" w14:textId="30BAC585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8B2128">
        <w:rPr>
          <w:bCs/>
          <w:sz w:val="22"/>
        </w:rPr>
        <w:t>9.4.4</w:t>
      </w:r>
    </w:p>
    <w:p w14:paraId="7AD518C5" w14:textId="18EDA80A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803510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6AF8FEAC" w14:textId="08385B8F" w:rsidR="003F5CC5" w:rsidRDefault="00126055" w:rsidP="00AE1D3D">
      <w:r>
        <w:t>RAN4#</w:t>
      </w:r>
      <w:r w:rsidR="00A04E4A">
        <w:t>10</w:t>
      </w:r>
      <w:r w:rsidR="00057D24">
        <w:t>2</w:t>
      </w:r>
      <w:r w:rsidR="008926AE">
        <w:t>-</w:t>
      </w:r>
      <w:r w:rsidR="00F62561">
        <w:t>e</w:t>
      </w:r>
      <w:r w:rsidR="005155DE">
        <w:t xml:space="preserve"> </w:t>
      </w:r>
      <w:r w:rsidR="00AF47C0">
        <w:t>approved an</w:t>
      </w:r>
      <w:r w:rsidR="003F5CC5">
        <w:t xml:space="preserve"> </w:t>
      </w:r>
      <w:r w:rsidR="00057D24">
        <w:t>LS</w:t>
      </w:r>
      <w:r w:rsidR="003F5CC5">
        <w:t xml:space="preserve"> of [1], where the following was captured.</w:t>
      </w:r>
    </w:p>
    <w:p w14:paraId="0B2DFE8E" w14:textId="4656ADF6" w:rsidR="003F5CC5" w:rsidRDefault="00057D24" w:rsidP="003F5CC5">
      <w:pPr>
        <w:jc w:val="center"/>
      </w:pPr>
      <w:r>
        <w:rPr>
          <w:noProof/>
        </w:rPr>
        <w:drawing>
          <wp:inline distT="0" distB="0" distL="0" distR="0" wp14:anchorId="3E243E5B" wp14:editId="594FD42E">
            <wp:extent cx="6115050" cy="457200"/>
            <wp:effectExtent l="19050" t="19050" r="19050" b="190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72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5DE3220" w14:textId="751D2110" w:rsidR="008B71FF" w:rsidRPr="002A31E8" w:rsidRDefault="00597A81" w:rsidP="001C3C45">
      <w:r w:rsidRPr="00597A81">
        <w:t>Single CC handling within CA</w:t>
      </w:r>
      <w:r>
        <w:t xml:space="preserve">, however, is still FFS as captured in [2]. </w:t>
      </w:r>
      <w:r w:rsidR="002F66F4">
        <w:t>Also, an offset range is still FFS.</w:t>
      </w:r>
      <w:r w:rsidR="008B2128">
        <w:t xml:space="preserve"> </w:t>
      </w:r>
      <w:r w:rsidR="007E113D">
        <w:t xml:space="preserve">This contribution </w:t>
      </w:r>
      <w:r w:rsidR="008C3489">
        <w:t>addresses</w:t>
      </w:r>
      <w:r w:rsidR="007E113D">
        <w:t xml:space="preserve"> </w:t>
      </w:r>
      <w:r w:rsidR="008C3489">
        <w:t>the single CC handling within CA</w:t>
      </w:r>
      <w:r w:rsidR="002F66F4">
        <w:t xml:space="preserve"> as well as an offset range</w:t>
      </w:r>
      <w:r w:rsidR="008C3489">
        <w:t>.</w:t>
      </w:r>
    </w:p>
    <w:p w14:paraId="33BDEED4" w14:textId="2C5E42F2" w:rsidR="00E014E2" w:rsidRDefault="00E014E2" w:rsidP="005E7C59">
      <w:pPr>
        <w:pStyle w:val="Heading1"/>
        <w:ind w:left="709" w:hanging="709"/>
      </w:pPr>
      <w:r>
        <w:t>2</w:t>
      </w:r>
      <w:r>
        <w:tab/>
      </w:r>
      <w:r w:rsidR="000E2C46">
        <w:t>Discussion</w:t>
      </w:r>
    </w:p>
    <w:p w14:paraId="373AFC08" w14:textId="4E67262E" w:rsidR="002F66F4" w:rsidRPr="002F66F4" w:rsidRDefault="002F66F4" w:rsidP="002F66F4">
      <w:pPr>
        <w:pStyle w:val="Heading2"/>
        <w:ind w:left="709" w:hanging="709"/>
      </w:pPr>
      <w:r>
        <w:t>2.1</w:t>
      </w:r>
      <w:r>
        <w:tab/>
        <w:t>Single CC handing within CA</w:t>
      </w:r>
    </w:p>
    <w:p w14:paraId="3006136D" w14:textId="25FC69B1" w:rsidR="00F700B1" w:rsidRDefault="00F700B1" w:rsidP="00F700B1">
      <w:proofErr w:type="gramStart"/>
      <w:r>
        <w:t>In order to</w:t>
      </w:r>
      <w:proofErr w:type="gramEnd"/>
      <w:r>
        <w:t xml:space="preserve"> discuss the issue in a more specific way, two examples are illustrated in Figure 2-1 as below.</w:t>
      </w:r>
    </w:p>
    <w:p w14:paraId="59D6BBE3" w14:textId="0603034A" w:rsidR="00A554B9" w:rsidRDefault="00A554B9" w:rsidP="00A554B9">
      <w:pPr>
        <w:jc w:val="center"/>
      </w:pPr>
      <w:r>
        <w:rPr>
          <w:noProof/>
        </w:rPr>
        <w:drawing>
          <wp:inline distT="0" distB="0" distL="0" distR="0" wp14:anchorId="3CA1DC1D" wp14:editId="5B6E5ED3">
            <wp:extent cx="3021368" cy="2655192"/>
            <wp:effectExtent l="19050" t="19050" r="26670" b="12065"/>
            <wp:docPr id="9" name="Picture 9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screenshot of a computer&#10;&#10;Description automatically generated with medium confiden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6988" cy="26601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4CED831" w14:textId="29FDDEF7" w:rsidR="00A554B9" w:rsidRDefault="00A554B9" w:rsidP="00A554B9">
      <w:pPr>
        <w:jc w:val="center"/>
        <w:rPr>
          <w:rFonts w:ascii="Arial" w:hAnsi="Arial" w:cs="Arial"/>
        </w:rPr>
      </w:pPr>
      <w:r w:rsidRPr="00C07A46">
        <w:rPr>
          <w:rFonts w:ascii="Arial" w:hAnsi="Arial" w:cs="Arial"/>
        </w:rPr>
        <w:t xml:space="preserve">Figure </w:t>
      </w:r>
      <w:r>
        <w:rPr>
          <w:rFonts w:ascii="Arial" w:hAnsi="Arial" w:cs="Arial"/>
        </w:rPr>
        <w:t>2.1-1</w:t>
      </w:r>
      <w:r w:rsidRPr="00C07A46">
        <w:rPr>
          <w:rFonts w:ascii="Arial" w:hAnsi="Arial" w:cs="Arial"/>
        </w:rPr>
        <w:t xml:space="preserve">: </w:t>
      </w:r>
      <w:r w:rsidR="00800B5D">
        <w:rPr>
          <w:rFonts w:ascii="Arial" w:hAnsi="Arial" w:cs="Arial"/>
        </w:rPr>
        <w:t>Examples for multiple UL DC locations within CA</w:t>
      </w:r>
    </w:p>
    <w:p w14:paraId="50E7A47C" w14:textId="77777777" w:rsidR="00F700B1" w:rsidRPr="00785AE5" w:rsidRDefault="00F700B1" w:rsidP="00F700B1">
      <w:pPr>
        <w:rPr>
          <w:b/>
          <w:bCs/>
          <w:u w:val="single"/>
        </w:rPr>
      </w:pPr>
      <w:r w:rsidRPr="00785AE5">
        <w:rPr>
          <w:b/>
          <w:bCs/>
          <w:u w:val="single"/>
        </w:rPr>
        <w:t>Example 1 (top figure in Figure 2-1)</w:t>
      </w:r>
    </w:p>
    <w:p w14:paraId="619E10E5" w14:textId="55FE7EF0" w:rsidR="00F700B1" w:rsidRDefault="00F700B1" w:rsidP="00F700B1">
      <w:r>
        <w:t>This is a case where each CC group consists of multiple CCs, i.e., the number of CCs is two or more. For this case, Rel-17 UL DC location reporting framework, i.e., “</w:t>
      </w:r>
      <w:r w:rsidRPr="00785AE5">
        <w:rPr>
          <w:i/>
          <w:iCs/>
        </w:rPr>
        <w:t>default DC + offset</w:t>
      </w:r>
      <w:r>
        <w:t>” method applies. It should be noted that this does hold true even for a case where a CC group consists of two CCs. That is, Rel-16 UL DC reporting method does not apply</w:t>
      </w:r>
      <w:r w:rsidR="0063374B">
        <w:t xml:space="preserve"> as agreed</w:t>
      </w:r>
      <w:r>
        <w:t>.</w:t>
      </w:r>
    </w:p>
    <w:p w14:paraId="07FB17F5" w14:textId="77777777" w:rsidR="00F700B1" w:rsidRPr="00785AE5" w:rsidRDefault="00F700B1" w:rsidP="00F700B1">
      <w:pPr>
        <w:rPr>
          <w:b/>
          <w:bCs/>
          <w:u w:val="single"/>
        </w:rPr>
      </w:pPr>
      <w:r w:rsidRPr="00785AE5">
        <w:rPr>
          <w:b/>
          <w:bCs/>
          <w:u w:val="single"/>
        </w:rPr>
        <w:t xml:space="preserve">Example </w:t>
      </w:r>
      <w:r>
        <w:rPr>
          <w:b/>
          <w:bCs/>
          <w:u w:val="single"/>
        </w:rPr>
        <w:t>2</w:t>
      </w:r>
      <w:r w:rsidRPr="00785AE5">
        <w:rPr>
          <w:b/>
          <w:bCs/>
          <w:u w:val="single"/>
        </w:rPr>
        <w:t xml:space="preserve"> (</w:t>
      </w:r>
      <w:r>
        <w:rPr>
          <w:b/>
          <w:bCs/>
          <w:u w:val="single"/>
        </w:rPr>
        <w:t>bottom</w:t>
      </w:r>
      <w:r w:rsidRPr="00785AE5">
        <w:rPr>
          <w:b/>
          <w:bCs/>
          <w:u w:val="single"/>
        </w:rPr>
        <w:t xml:space="preserve"> figure in Figure 2-1)</w:t>
      </w:r>
    </w:p>
    <w:p w14:paraId="0CFD2507" w14:textId="77777777" w:rsidR="001B0CBF" w:rsidRDefault="00F700B1" w:rsidP="00F700B1">
      <w:r>
        <w:t>This is a case where one of the CC groups consists of single CC while the other CC group consists of multiple CCs. There would be no question to apply “</w:t>
      </w:r>
      <w:r w:rsidRPr="00785AE5">
        <w:rPr>
          <w:i/>
          <w:iCs/>
        </w:rPr>
        <w:t>default DC + offset</w:t>
      </w:r>
      <w:r>
        <w:t>” method to the CC group with multiple CCs</w:t>
      </w:r>
      <w:r w:rsidR="001B0CBF">
        <w:t xml:space="preserve">, i.e., CC group(bottom left). </w:t>
      </w:r>
      <w:r>
        <w:t>The question is whether still “</w:t>
      </w:r>
      <w:r w:rsidRPr="00785AE5">
        <w:rPr>
          <w:i/>
          <w:iCs/>
        </w:rPr>
        <w:t>default DC + offset</w:t>
      </w:r>
      <w:r>
        <w:t>” method applies to the CC group with single CC</w:t>
      </w:r>
      <w:r w:rsidR="001B0CBF">
        <w:t>(bottom right)</w:t>
      </w:r>
      <w:r>
        <w:t xml:space="preserve"> or not? </w:t>
      </w:r>
    </w:p>
    <w:p w14:paraId="46D2C1A9" w14:textId="4F51FC1B" w:rsidR="00F700B1" w:rsidRDefault="001B0CBF" w:rsidP="00F700B1">
      <w:r>
        <w:lastRenderedPageBreak/>
        <w:t>Regarding the CC group with single CC, u</w:t>
      </w:r>
      <w:r w:rsidR="00F700B1">
        <w:t xml:space="preserve">nlike a CC group with multiple CCs, there is no need to consider permutations of CCs or BWPs. Then, it may be straight forward to applying Rel-15 method to this case </w:t>
      </w:r>
      <w:r w:rsidR="00F700B1" w:rsidRPr="006F122C">
        <w:rPr>
          <w:b/>
          <w:bCs/>
          <w:i/>
          <w:iCs/>
        </w:rPr>
        <w:t>within Rel-17 UL DC location reporting framework</w:t>
      </w:r>
      <w:r w:rsidR="00F700B1">
        <w:t xml:space="preserve">. </w:t>
      </w:r>
      <w:r w:rsidR="0063374B">
        <w:t xml:space="preserve">It’s noted that supporting Rel-15 method is mandatory without capability. It’s also noted that </w:t>
      </w:r>
      <w:r w:rsidR="00F700B1">
        <w:t xml:space="preserve">we do not propose to use different reporting mechanism </w:t>
      </w:r>
      <w:r>
        <w:t xml:space="preserve">while there may be better for </w:t>
      </w:r>
      <w:r w:rsidR="00F700B1">
        <w:t xml:space="preserve">Rel-17 UL DC reporting framework </w:t>
      </w:r>
      <w:r>
        <w:t xml:space="preserve">to </w:t>
      </w:r>
      <w:r w:rsidR="00F700B1">
        <w:t xml:space="preserve">incorporate Rel-15 mechanism </w:t>
      </w:r>
      <w:r>
        <w:t xml:space="preserve">within it </w:t>
      </w:r>
      <w:r w:rsidR="00F700B1">
        <w:t xml:space="preserve">and </w:t>
      </w:r>
      <w:r w:rsidR="0063374B">
        <w:t xml:space="preserve">exceptionally </w:t>
      </w:r>
      <w:r w:rsidR="00F700B1">
        <w:t xml:space="preserve">apply it to the </w:t>
      </w:r>
      <w:r>
        <w:t>CC group</w:t>
      </w:r>
      <w:r w:rsidR="0063374B">
        <w:t xml:space="preserve"> with </w:t>
      </w:r>
      <w:r>
        <w:t>single CC</w:t>
      </w:r>
      <w:r w:rsidR="00F700B1">
        <w:t>. On the other hand, it would be up to RAN2 to decide whether applying default DC location + offset method to all the CC groups or, applying default DC location + offset method to CC groups with multiple CCs and Rel-15 method to CC groups with single CC.</w:t>
      </w:r>
      <w:r>
        <w:t xml:space="preserve"> </w:t>
      </w:r>
    </w:p>
    <w:p w14:paraId="2B3965D7" w14:textId="77777777" w:rsidR="00693CCF" w:rsidRDefault="00693CCF" w:rsidP="006C3660">
      <w:pPr>
        <w:rPr>
          <w:b/>
          <w:bCs/>
        </w:rPr>
      </w:pPr>
      <w:r>
        <w:rPr>
          <w:b/>
          <w:bCs/>
        </w:rPr>
        <w:t>Proposal 1: Inform RAN2 of a fact that CC groups do not always consist of multiple CCs, but it may consist of single CC.</w:t>
      </w:r>
    </w:p>
    <w:p w14:paraId="6430E710" w14:textId="6E537CFD" w:rsidR="00603768" w:rsidRDefault="00693CCF" w:rsidP="001B0CBF">
      <w:pPr>
        <w:rPr>
          <w:b/>
          <w:bCs/>
        </w:rPr>
      </w:pPr>
      <w:r>
        <w:rPr>
          <w:b/>
          <w:bCs/>
        </w:rPr>
        <w:t xml:space="preserve">Proposal 2: For a case of multiple DC locations, where at least one CC group consists of single CC, it is up to RAN2 to decide if still default DC location method + offset method is applied to or Rel-15 method is applied to </w:t>
      </w:r>
      <w:r w:rsidR="001B0CBF">
        <w:rPr>
          <w:b/>
          <w:bCs/>
        </w:rPr>
        <w:t xml:space="preserve">the </w:t>
      </w:r>
      <w:r>
        <w:rPr>
          <w:b/>
          <w:bCs/>
        </w:rPr>
        <w:t>CC group with single CC within Rel-17 UL DC reporting mechanism framework.</w:t>
      </w:r>
    </w:p>
    <w:p w14:paraId="4FA6FC40" w14:textId="06D5E20C" w:rsidR="002F66F4" w:rsidRPr="002F66F4" w:rsidRDefault="002F66F4" w:rsidP="002F66F4">
      <w:pPr>
        <w:pStyle w:val="Heading2"/>
        <w:ind w:left="709" w:hanging="709"/>
      </w:pPr>
      <w:r>
        <w:t>2.2</w:t>
      </w:r>
      <w:r>
        <w:tab/>
        <w:t>Offset range</w:t>
      </w:r>
    </w:p>
    <w:p w14:paraId="3D0B4C04" w14:textId="6B6EB7B1" w:rsidR="003E44AA" w:rsidRDefault="002F66F4" w:rsidP="001B0CBF">
      <w:r>
        <w:t>RAN4 hasn’t been able to conclude the maximum offset range from the default DC location for more than half years. Currently provided options are +/- 20 MHz or +/-1.5 GHz.</w:t>
      </w:r>
      <w:r w:rsidR="003E44AA">
        <w:t xml:space="preserve"> Though we believe the amount of signalling overhead is one of the important factors, we suggest adopting +/-1.5 GHz or larger with following reasons. </w:t>
      </w:r>
    </w:p>
    <w:p w14:paraId="61AEFA76" w14:textId="4B2B4D38" w:rsidR="003E44AA" w:rsidRDefault="003E44AA" w:rsidP="00212E3A">
      <w:pPr>
        <w:pStyle w:val="ListParagraph"/>
        <w:numPr>
          <w:ilvl w:val="0"/>
          <w:numId w:val="32"/>
        </w:numPr>
      </w:pPr>
      <w:r w:rsidRPr="001E0AE8">
        <w:rPr>
          <w:b/>
          <w:bCs/>
        </w:rPr>
        <w:t xml:space="preserve">If 3300 and/or 3301 is allowed as is </w:t>
      </w:r>
      <w:r w:rsidR="0063374B">
        <w:rPr>
          <w:b/>
          <w:bCs/>
        </w:rPr>
        <w:t xml:space="preserve">allowed </w:t>
      </w:r>
      <w:r w:rsidRPr="001E0AE8">
        <w:rPr>
          <w:b/>
          <w:bCs/>
        </w:rPr>
        <w:t>in Rel15 and 16</w:t>
      </w:r>
      <w:r>
        <w:t>, a UE may just report 3300 or 3301 if the range cannot cover the DC position</w:t>
      </w:r>
      <w:r w:rsidR="00212E3A">
        <w:t>(s) in case the UE is designed, e.g., with consideration of image as proposed in [3]</w:t>
      </w:r>
    </w:p>
    <w:p w14:paraId="15786066" w14:textId="64F32C2D" w:rsidR="00212E3A" w:rsidRDefault="00212E3A" w:rsidP="00212E3A">
      <w:pPr>
        <w:pStyle w:val="ListParagraph"/>
        <w:numPr>
          <w:ilvl w:val="0"/>
          <w:numId w:val="32"/>
        </w:numPr>
      </w:pPr>
      <w:r>
        <w:t>Any values smaller than the half of the band with maximum frequency range may not go beyond speculation</w:t>
      </w:r>
    </w:p>
    <w:p w14:paraId="407BB7DD" w14:textId="0B282B92" w:rsidR="00212E3A" w:rsidRDefault="00212E3A" w:rsidP="00212E3A">
      <w:pPr>
        <w:pStyle w:val="ListParagraph"/>
        <w:numPr>
          <w:ilvl w:val="0"/>
          <w:numId w:val="32"/>
        </w:numPr>
      </w:pPr>
      <w:r>
        <w:t xml:space="preserve">The overhead may be highly impacted by final RAN2 </w:t>
      </w:r>
      <w:r w:rsidR="001E0AE8">
        <w:t>signalling</w:t>
      </w:r>
      <w:r>
        <w:t xml:space="preserve"> mechanisms</w:t>
      </w:r>
    </w:p>
    <w:p w14:paraId="18EFFB4D" w14:textId="4AF52855" w:rsidR="001E0AE8" w:rsidRDefault="001E0AE8" w:rsidP="001E0AE8">
      <w:r>
        <w:t>With resect to the 3</w:t>
      </w:r>
      <w:r w:rsidRPr="001E0AE8">
        <w:rPr>
          <w:vertAlign w:val="superscript"/>
        </w:rPr>
        <w:t>rd</w:t>
      </w:r>
      <w:r>
        <w:t xml:space="preserve"> reason, though we don’t </w:t>
      </w:r>
      <w:proofErr w:type="gramStart"/>
      <w:r>
        <w:t>have motivation</w:t>
      </w:r>
      <w:proofErr w:type="gramEnd"/>
      <w:r>
        <w:t xml:space="preserve"> to discuss details in RAN4, at least a </w:t>
      </w:r>
      <w:proofErr w:type="spellStart"/>
      <w:r>
        <w:t>gNB</w:t>
      </w:r>
      <w:proofErr w:type="spellEnd"/>
      <w:r>
        <w:t xml:space="preserve"> may not need all the DC positions per permutations of frequency components. For instance, if an operator </w:t>
      </w:r>
      <w:r w:rsidR="0063374B">
        <w:t xml:space="preserve">A </w:t>
      </w:r>
      <w:r>
        <w:t xml:space="preserve">has non-contiguous spectrum and the other operator </w:t>
      </w:r>
      <w:r w:rsidR="0063374B">
        <w:t xml:space="preserve">B </w:t>
      </w:r>
      <w:r>
        <w:t>has contiguous spectrum</w:t>
      </w:r>
      <w:r w:rsidR="0031458C">
        <w:t xml:space="preserve"> inside the non-contiguous spectrum of the operator A. If a UE </w:t>
      </w:r>
      <w:r w:rsidR="0063374B">
        <w:t xml:space="preserve">is </w:t>
      </w:r>
      <w:r w:rsidR="0031458C">
        <w:t>configure</w:t>
      </w:r>
      <w:r w:rsidR="0063374B">
        <w:t>d</w:t>
      </w:r>
      <w:r w:rsidR="0031458C">
        <w:t xml:space="preserve"> with intra band non-contiguous UL CA under operator A network falls into the spectrum of the operator B, the operator A network has nothing to do with it as shown in Figure 2.2-1.</w:t>
      </w:r>
    </w:p>
    <w:p w14:paraId="31DB4463" w14:textId="49CAE838" w:rsidR="001E0AE8" w:rsidRDefault="001E0AE8" w:rsidP="001E0AE8">
      <w:pPr>
        <w:jc w:val="center"/>
      </w:pPr>
      <w:r>
        <w:rPr>
          <w:noProof/>
        </w:rPr>
        <w:drawing>
          <wp:inline distT="0" distB="0" distL="0" distR="0" wp14:anchorId="5D2B202E" wp14:editId="709FF99D">
            <wp:extent cx="3065930" cy="1164219"/>
            <wp:effectExtent l="0" t="0" r="127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0710" cy="1169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B8297" w14:textId="6C6C4FBD" w:rsidR="0031458C" w:rsidRPr="0031458C" w:rsidRDefault="0031458C" w:rsidP="0031458C">
      <w:pPr>
        <w:jc w:val="center"/>
        <w:rPr>
          <w:rFonts w:ascii="Arial" w:hAnsi="Arial" w:cs="Arial"/>
        </w:rPr>
      </w:pPr>
      <w:r w:rsidRPr="00C07A46">
        <w:rPr>
          <w:rFonts w:ascii="Arial" w:hAnsi="Arial" w:cs="Arial"/>
        </w:rPr>
        <w:t xml:space="preserve">Figure </w:t>
      </w:r>
      <w:r>
        <w:rPr>
          <w:rFonts w:ascii="Arial" w:hAnsi="Arial" w:cs="Arial"/>
        </w:rPr>
        <w:t>2.2-1</w:t>
      </w:r>
      <w:r w:rsidRPr="00C07A46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DC by a UE under operator A network falls into operator B spectrum</w:t>
      </w:r>
    </w:p>
    <w:p w14:paraId="18490A1C" w14:textId="51F59ACC" w:rsidR="0031458C" w:rsidRDefault="0031458C" w:rsidP="001B0CBF">
      <w:r>
        <w:t xml:space="preserve">Hence, the operator A network may ask UEs to indicate the permutations together with DC positions in case the DC positions fall into spectrum of the operator A. Hence, RAN2 may introduce a </w:t>
      </w:r>
      <w:proofErr w:type="spellStart"/>
      <w:r>
        <w:t>signaling</w:t>
      </w:r>
      <w:proofErr w:type="spellEnd"/>
      <w:r>
        <w:t xml:space="preserve"> mechanism </w:t>
      </w:r>
      <w:proofErr w:type="gramStart"/>
      <w:r>
        <w:t>similar to</w:t>
      </w:r>
      <w:proofErr w:type="gramEnd"/>
      <w:r>
        <w:t xml:space="preserve"> </w:t>
      </w:r>
      <w:proofErr w:type="spellStart"/>
      <w:r w:rsidRPr="0031458C">
        <w:rPr>
          <w:i/>
          <w:iCs/>
        </w:rPr>
        <w:t>UECapabilityInformation</w:t>
      </w:r>
      <w:proofErr w:type="spellEnd"/>
      <w:r w:rsidRPr="0031458C">
        <w:t xml:space="preserve"> using frequency band filtering</w:t>
      </w:r>
      <w:r>
        <w:t>. Though the decision is up to RAN2</w:t>
      </w:r>
      <w:r w:rsidR="0063374B">
        <w:t xml:space="preserve">, </w:t>
      </w:r>
      <w:r>
        <w:t>RAN4 should inform RAN2 of the fact that UEs may not have to report all the permutations with DC positions.</w:t>
      </w:r>
    </w:p>
    <w:p w14:paraId="0C434773" w14:textId="2BBEB122" w:rsidR="0031458C" w:rsidRDefault="0031458C" w:rsidP="001B0CBF">
      <w:r>
        <w:t xml:space="preserve">Considering all the above as well as </w:t>
      </w:r>
      <w:r w:rsidR="00733FCB">
        <w:t>that fact that this is the last meeting for Rel-17, we propose the following for the sake of progress.</w:t>
      </w:r>
    </w:p>
    <w:p w14:paraId="7F8FE4B7" w14:textId="56406A63" w:rsidR="0031458C" w:rsidRDefault="0031458C" w:rsidP="001B0CBF">
      <w:pPr>
        <w:rPr>
          <w:b/>
          <w:bCs/>
        </w:rPr>
      </w:pPr>
      <w:r>
        <w:rPr>
          <w:b/>
          <w:bCs/>
        </w:rPr>
        <w:t xml:space="preserve">Proposal 3: </w:t>
      </w:r>
      <w:r w:rsidR="00733FCB">
        <w:rPr>
          <w:b/>
          <w:bCs/>
        </w:rPr>
        <w:t xml:space="preserve">Adopt +/- </w:t>
      </w:r>
      <w:r w:rsidR="0063374B">
        <w:rPr>
          <w:b/>
          <w:bCs/>
        </w:rPr>
        <w:t>12</w:t>
      </w:r>
      <w:r w:rsidR="00733FCB">
        <w:rPr>
          <w:b/>
          <w:bCs/>
        </w:rPr>
        <w:t xml:space="preserve"> GHz or larger(if n263 is </w:t>
      </w:r>
      <w:proofErr w:type="gramStart"/>
      <w:r w:rsidR="00733FCB">
        <w:rPr>
          <w:b/>
          <w:bCs/>
        </w:rPr>
        <w:t>taken into account</w:t>
      </w:r>
      <w:proofErr w:type="gramEnd"/>
      <w:r w:rsidR="00733FCB">
        <w:rPr>
          <w:b/>
          <w:bCs/>
        </w:rPr>
        <w:t>) as an offset range</w:t>
      </w:r>
    </w:p>
    <w:p w14:paraId="03CCF40E" w14:textId="587C69FF" w:rsidR="00733FCB" w:rsidRDefault="00733FCB" w:rsidP="001B0CBF">
      <w:pPr>
        <w:rPr>
          <w:b/>
          <w:bCs/>
        </w:rPr>
      </w:pPr>
      <w:r>
        <w:rPr>
          <w:b/>
          <w:bCs/>
        </w:rPr>
        <w:t xml:space="preserve">Proposal 4: Send an LS to RAN2 to inform of the fact that </w:t>
      </w:r>
      <w:r w:rsidRPr="00733FCB">
        <w:rPr>
          <w:b/>
          <w:bCs/>
        </w:rPr>
        <w:t>UEs may not have to report all the permutations with DC positions.</w:t>
      </w:r>
    </w:p>
    <w:p w14:paraId="4063B845" w14:textId="11BCCC32" w:rsidR="00276F69" w:rsidRDefault="001B0CBF" w:rsidP="00276F69">
      <w:pPr>
        <w:pStyle w:val="Heading1"/>
      </w:pPr>
      <w:r>
        <w:t>3</w:t>
      </w:r>
      <w:r w:rsidR="00276F69">
        <w:tab/>
        <w:t>Conclusion</w:t>
      </w:r>
    </w:p>
    <w:p w14:paraId="4955BEB5" w14:textId="70E90024" w:rsidR="0063374B" w:rsidRDefault="0063374B" w:rsidP="0063374B">
      <w:pPr>
        <w:rPr>
          <w:b/>
          <w:bCs/>
        </w:rPr>
      </w:pPr>
      <w:r>
        <w:t xml:space="preserve">As the result, we obtained the following four proposals. In addition, we </w:t>
      </w:r>
      <w:r w:rsidR="00911E21">
        <w:t>provided a companion draft LS in [4].</w:t>
      </w:r>
    </w:p>
    <w:p w14:paraId="49006DEF" w14:textId="4D9E34A0" w:rsidR="0063374B" w:rsidRDefault="0063374B" w:rsidP="0063374B">
      <w:pPr>
        <w:rPr>
          <w:b/>
          <w:bCs/>
        </w:rPr>
      </w:pPr>
      <w:r>
        <w:rPr>
          <w:b/>
          <w:bCs/>
        </w:rPr>
        <w:t>Proposal 1: Inform RAN2 of a fact that CC groups do not always consist of multiple CCs, but it may consist of single CC.</w:t>
      </w:r>
    </w:p>
    <w:p w14:paraId="30864D8E" w14:textId="6859FF31" w:rsidR="0063374B" w:rsidRDefault="0063374B" w:rsidP="0063374B">
      <w:pPr>
        <w:rPr>
          <w:b/>
          <w:bCs/>
        </w:rPr>
      </w:pPr>
      <w:r>
        <w:rPr>
          <w:b/>
          <w:bCs/>
        </w:rPr>
        <w:lastRenderedPageBreak/>
        <w:t>Proposal 2: For a case of multiple DC locations, where at least one CC group consists of single CC, it is up to RAN2 to decide if still default DC location method + offset method is applied to or Rel-15 method is applied to the CC group with single CC within Rel-17 UL DC reporting mechanism framework.</w:t>
      </w:r>
    </w:p>
    <w:p w14:paraId="15EED83D" w14:textId="77777777" w:rsidR="0063374B" w:rsidRDefault="0063374B" w:rsidP="0063374B">
      <w:pPr>
        <w:rPr>
          <w:b/>
          <w:bCs/>
        </w:rPr>
      </w:pPr>
      <w:r>
        <w:rPr>
          <w:b/>
          <w:bCs/>
        </w:rPr>
        <w:t xml:space="preserve">Proposal 3: Adopt +/- 12 GHz or larger(if n263 is </w:t>
      </w:r>
      <w:proofErr w:type="gramStart"/>
      <w:r>
        <w:rPr>
          <w:b/>
          <w:bCs/>
        </w:rPr>
        <w:t>taken into account</w:t>
      </w:r>
      <w:proofErr w:type="gramEnd"/>
      <w:r>
        <w:rPr>
          <w:b/>
          <w:bCs/>
        </w:rPr>
        <w:t>) as an offset range</w:t>
      </w:r>
    </w:p>
    <w:p w14:paraId="31D0A21C" w14:textId="402086CD" w:rsidR="00603768" w:rsidRPr="008B5F4A" w:rsidRDefault="0063374B" w:rsidP="00DF7635">
      <w:pPr>
        <w:rPr>
          <w:b/>
          <w:bCs/>
        </w:rPr>
      </w:pPr>
      <w:r>
        <w:rPr>
          <w:b/>
          <w:bCs/>
        </w:rPr>
        <w:t xml:space="preserve">Proposal 4: Send an LS to RAN2 to inform of the fact that </w:t>
      </w:r>
      <w:r w:rsidRPr="00733FCB">
        <w:rPr>
          <w:b/>
          <w:bCs/>
        </w:rPr>
        <w:t>UEs may not have to report all the permutations with DC positions</w:t>
      </w:r>
      <w:r>
        <w:rPr>
          <w:b/>
          <w:bCs/>
        </w:rPr>
        <w:t>.</w:t>
      </w:r>
    </w:p>
    <w:p w14:paraId="08E8FE59" w14:textId="74A1FDDC" w:rsidR="00F62561" w:rsidRDefault="001B0CBF" w:rsidP="00F62561">
      <w:pPr>
        <w:pStyle w:val="Heading1"/>
      </w:pPr>
      <w:r>
        <w:t>4</w:t>
      </w:r>
      <w:r w:rsidR="00F62561">
        <w:tab/>
        <w:t>References</w:t>
      </w:r>
    </w:p>
    <w:p w14:paraId="6CEEEE57" w14:textId="77AC20E4" w:rsidR="007E113D" w:rsidRDefault="00057D24" w:rsidP="00BB7C85">
      <w:pPr>
        <w:pStyle w:val="ListParagraph"/>
        <w:numPr>
          <w:ilvl w:val="0"/>
          <w:numId w:val="29"/>
        </w:numPr>
        <w:rPr>
          <w:rFonts w:eastAsia="DengXian"/>
        </w:rPr>
      </w:pPr>
      <w:r w:rsidRPr="00057D24">
        <w:rPr>
          <w:rFonts w:eastAsia="DengXian"/>
        </w:rPr>
        <w:t>R4-2206602</w:t>
      </w:r>
      <w:r w:rsidR="007E113D">
        <w:rPr>
          <w:rFonts w:eastAsia="DengXian"/>
        </w:rPr>
        <w:t xml:space="preserve">, </w:t>
      </w:r>
      <w:r w:rsidRPr="00057D24">
        <w:rPr>
          <w:rFonts w:eastAsia="DengXian"/>
        </w:rPr>
        <w:t>Reply LS on DC location for &gt;2CC</w:t>
      </w:r>
      <w:r w:rsidR="007E113D">
        <w:rPr>
          <w:rFonts w:eastAsia="DengXian"/>
        </w:rPr>
        <w:t xml:space="preserve">, </w:t>
      </w:r>
      <w:r>
        <w:rPr>
          <w:rFonts w:eastAsia="DengXian"/>
        </w:rPr>
        <w:t>Qualcomm</w:t>
      </w:r>
      <w:r w:rsidR="007E113D">
        <w:rPr>
          <w:rFonts w:eastAsia="DengXian"/>
        </w:rPr>
        <w:t>, RAN4#10</w:t>
      </w:r>
      <w:r>
        <w:rPr>
          <w:rFonts w:eastAsia="DengXian"/>
        </w:rPr>
        <w:t>2</w:t>
      </w:r>
      <w:r w:rsidR="007E113D">
        <w:rPr>
          <w:rFonts w:eastAsia="DengXian"/>
        </w:rPr>
        <w:t>-e</w:t>
      </w:r>
    </w:p>
    <w:p w14:paraId="72B0FF4E" w14:textId="043396FB" w:rsidR="00BB7C85" w:rsidRDefault="00597A81" w:rsidP="00F62561">
      <w:pPr>
        <w:pStyle w:val="ListParagraph"/>
        <w:numPr>
          <w:ilvl w:val="0"/>
          <w:numId w:val="29"/>
        </w:numPr>
        <w:rPr>
          <w:rFonts w:eastAsia="DengXian"/>
        </w:rPr>
      </w:pPr>
      <w:r w:rsidRPr="00597A81">
        <w:rPr>
          <w:rFonts w:eastAsia="DengXian"/>
        </w:rPr>
        <w:t>RP-220970</w:t>
      </w:r>
      <w:r w:rsidR="007E113D">
        <w:rPr>
          <w:rFonts w:eastAsia="DengXian"/>
        </w:rPr>
        <w:t xml:space="preserve">, </w:t>
      </w:r>
      <w:r w:rsidRPr="00597A81">
        <w:rPr>
          <w:rFonts w:eastAsia="DengXian"/>
        </w:rPr>
        <w:t>Rel-17 Work Item Exception for Further enhancements of NR RF requirements for frequency range 2 (FR2)</w:t>
      </w:r>
      <w:r w:rsidR="007E113D">
        <w:rPr>
          <w:rFonts w:eastAsia="DengXian"/>
        </w:rPr>
        <w:t xml:space="preserve">, </w:t>
      </w:r>
      <w:r w:rsidRPr="00597A81">
        <w:rPr>
          <w:rFonts w:eastAsia="DengXian"/>
        </w:rPr>
        <w:t>Nokia</w:t>
      </w:r>
      <w:r w:rsidR="007E113D">
        <w:rPr>
          <w:rFonts w:eastAsia="DengXian"/>
        </w:rPr>
        <w:t>, RAN#</w:t>
      </w:r>
      <w:r>
        <w:rPr>
          <w:rFonts w:eastAsia="DengXian"/>
        </w:rPr>
        <w:t>95</w:t>
      </w:r>
      <w:r w:rsidR="007E113D" w:rsidRPr="007E113D">
        <w:rPr>
          <w:rFonts w:eastAsia="DengXian"/>
        </w:rPr>
        <w:t>-</w:t>
      </w:r>
      <w:r w:rsidR="001B0CBF">
        <w:rPr>
          <w:rFonts w:eastAsia="DengXian"/>
        </w:rPr>
        <w:t>e</w:t>
      </w:r>
    </w:p>
    <w:p w14:paraId="4A33DED8" w14:textId="3AE03CB7" w:rsidR="001E0AE8" w:rsidRDefault="001E0AE8" w:rsidP="00F62561">
      <w:pPr>
        <w:pStyle w:val="ListParagraph"/>
        <w:numPr>
          <w:ilvl w:val="0"/>
          <w:numId w:val="29"/>
        </w:numPr>
        <w:rPr>
          <w:rFonts w:eastAsia="DengXian"/>
        </w:rPr>
      </w:pPr>
      <w:r w:rsidRPr="001E0AE8">
        <w:rPr>
          <w:rFonts w:eastAsia="DengXian"/>
        </w:rPr>
        <w:t>R4-2119490</w:t>
      </w:r>
      <w:r>
        <w:rPr>
          <w:rFonts w:eastAsia="DengXian"/>
        </w:rPr>
        <w:t xml:space="preserve">, </w:t>
      </w:r>
      <w:r w:rsidRPr="001E0AE8">
        <w:rPr>
          <w:rFonts w:eastAsia="DengXian"/>
        </w:rPr>
        <w:t>Default and offset framework for DC location for &gt; 2CC</w:t>
      </w:r>
      <w:r>
        <w:rPr>
          <w:rFonts w:eastAsia="DengXian"/>
        </w:rPr>
        <w:t>, Qualcomm, RAN4#101-e</w:t>
      </w:r>
    </w:p>
    <w:p w14:paraId="478614F1" w14:textId="540AA6BE" w:rsidR="0063374B" w:rsidRPr="001B0CBF" w:rsidRDefault="00911E21" w:rsidP="00F62561">
      <w:pPr>
        <w:pStyle w:val="ListParagraph"/>
        <w:numPr>
          <w:ilvl w:val="0"/>
          <w:numId w:val="29"/>
        </w:numPr>
        <w:rPr>
          <w:rFonts w:eastAsia="DengXian"/>
        </w:rPr>
      </w:pPr>
      <w:r w:rsidRPr="00911E21">
        <w:rPr>
          <w:rFonts w:eastAsia="DengXian"/>
        </w:rPr>
        <w:t>R4-2208387</w:t>
      </w:r>
      <w:r>
        <w:rPr>
          <w:rFonts w:eastAsia="DengXian"/>
        </w:rPr>
        <w:t xml:space="preserve">, </w:t>
      </w:r>
      <w:r w:rsidRPr="00911E21">
        <w:rPr>
          <w:rFonts w:eastAsia="DengXian"/>
        </w:rPr>
        <w:t>[Draft] Reply on LS Reply LS on DC location for &gt;2CC</w:t>
      </w:r>
      <w:r>
        <w:rPr>
          <w:rFonts w:eastAsia="DengXian"/>
        </w:rPr>
        <w:t xml:space="preserve">, </w:t>
      </w:r>
      <w:r w:rsidRPr="00911E21">
        <w:rPr>
          <w:rFonts w:eastAsia="DengXian"/>
        </w:rPr>
        <w:t>Nokia, Nokia Shanghai Bell</w:t>
      </w:r>
      <w:r>
        <w:rPr>
          <w:rFonts w:eastAsia="DengXian"/>
        </w:rPr>
        <w:t>, RAN4#103-e</w:t>
      </w:r>
    </w:p>
    <w:sectPr w:rsidR="0063374B" w:rsidRPr="001B0CBF" w:rsidSect="00426A90">
      <w:headerReference w:type="even" r:id="rId10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703BE" w14:textId="77777777" w:rsidR="00915BF3" w:rsidRDefault="00915BF3" w:rsidP="002B3503">
      <w:pPr>
        <w:spacing w:after="0"/>
      </w:pPr>
      <w:r>
        <w:separator/>
      </w:r>
    </w:p>
  </w:endnote>
  <w:endnote w:type="continuationSeparator" w:id="0">
    <w:p w14:paraId="32622489" w14:textId="77777777" w:rsidR="00915BF3" w:rsidRDefault="00915BF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C2794" w14:textId="77777777" w:rsidR="00915BF3" w:rsidRDefault="00915BF3" w:rsidP="002B3503">
      <w:pPr>
        <w:spacing w:after="0"/>
      </w:pPr>
      <w:r>
        <w:separator/>
      </w:r>
    </w:p>
  </w:footnote>
  <w:footnote w:type="continuationSeparator" w:id="0">
    <w:p w14:paraId="1984AB2D" w14:textId="77777777" w:rsidR="00915BF3" w:rsidRDefault="00915BF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0E2C46" w:rsidRDefault="000E2C4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D3A3C"/>
    <w:multiLevelType w:val="hybridMultilevel"/>
    <w:tmpl w:val="78D02864"/>
    <w:lvl w:ilvl="0" w:tplc="0DE0A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C17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AB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82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3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81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0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0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6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37783"/>
    <w:multiLevelType w:val="hybridMultilevel"/>
    <w:tmpl w:val="CD720E22"/>
    <w:lvl w:ilvl="0" w:tplc="2D8A84F4">
      <w:start w:val="24"/>
      <w:numFmt w:val="bullet"/>
      <w:lvlText w:val="-"/>
      <w:lvlJc w:val="left"/>
      <w:pPr>
        <w:ind w:left="420" w:hanging="42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BA6688"/>
    <w:multiLevelType w:val="hybridMultilevel"/>
    <w:tmpl w:val="8EAA77EE"/>
    <w:lvl w:ilvl="0" w:tplc="514C40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A28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C5A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A46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24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E67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ACB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AAD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879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17788F"/>
    <w:multiLevelType w:val="hybridMultilevel"/>
    <w:tmpl w:val="9AB82044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1CC05644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711D6E"/>
    <w:multiLevelType w:val="hybridMultilevel"/>
    <w:tmpl w:val="7744FAAE"/>
    <w:lvl w:ilvl="0" w:tplc="23F86EAE">
      <w:start w:val="2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5" w15:restartNumberingAfterBreak="0">
    <w:nsid w:val="177064F9"/>
    <w:multiLevelType w:val="hybridMultilevel"/>
    <w:tmpl w:val="E82222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670FB8"/>
    <w:multiLevelType w:val="hybridMultilevel"/>
    <w:tmpl w:val="7AAC7532"/>
    <w:lvl w:ilvl="0" w:tplc="7084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61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4F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86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EB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D0B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68D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A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EA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135DAF"/>
    <w:multiLevelType w:val="hybridMultilevel"/>
    <w:tmpl w:val="AD8ECE04"/>
    <w:lvl w:ilvl="0" w:tplc="F37EB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A4D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40B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42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6A3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C2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E6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CE4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8C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1330EB"/>
    <w:multiLevelType w:val="hybridMultilevel"/>
    <w:tmpl w:val="A7946BFA"/>
    <w:lvl w:ilvl="0" w:tplc="E1B0D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E062B6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68230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4EA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54A7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64B2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4680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C020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F6D3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831A65"/>
    <w:multiLevelType w:val="hybridMultilevel"/>
    <w:tmpl w:val="9ECC5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511A1"/>
    <w:multiLevelType w:val="hybridMultilevel"/>
    <w:tmpl w:val="151C2A5E"/>
    <w:lvl w:ilvl="0" w:tplc="B69C0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CCACA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3C9C7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A4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EB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0C5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2A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89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29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9397433"/>
    <w:multiLevelType w:val="hybridMultilevel"/>
    <w:tmpl w:val="82D6B7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E6C2E"/>
    <w:multiLevelType w:val="hybridMultilevel"/>
    <w:tmpl w:val="CBD08176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BE08C1"/>
    <w:multiLevelType w:val="hybridMultilevel"/>
    <w:tmpl w:val="138AFE1A"/>
    <w:lvl w:ilvl="0" w:tplc="E5103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A1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700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66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66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9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24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1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6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970201"/>
    <w:multiLevelType w:val="hybridMultilevel"/>
    <w:tmpl w:val="46F6ACDE"/>
    <w:lvl w:ilvl="0" w:tplc="5C62B8FC">
      <w:start w:val="3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D443F"/>
    <w:multiLevelType w:val="hybridMultilevel"/>
    <w:tmpl w:val="64B052D4"/>
    <w:lvl w:ilvl="0" w:tplc="096CD134">
      <w:start w:val="1"/>
      <w:numFmt w:val="bullet"/>
      <w:lvlText w:val="-"/>
      <w:lvlJc w:val="left"/>
      <w:pPr>
        <w:ind w:left="10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</w:abstractNum>
  <w:abstractNum w:abstractNumId="20" w15:restartNumberingAfterBreak="0">
    <w:nsid w:val="58674287"/>
    <w:multiLevelType w:val="hybridMultilevel"/>
    <w:tmpl w:val="CD20E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E909D6"/>
    <w:multiLevelType w:val="hybridMultilevel"/>
    <w:tmpl w:val="0DFA6D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931C16"/>
    <w:multiLevelType w:val="hybridMultilevel"/>
    <w:tmpl w:val="6B2290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45715"/>
    <w:multiLevelType w:val="hybridMultilevel"/>
    <w:tmpl w:val="12D605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E7019F"/>
    <w:multiLevelType w:val="hybridMultilevel"/>
    <w:tmpl w:val="CB2021F2"/>
    <w:lvl w:ilvl="0" w:tplc="83A60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C26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FA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90B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81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24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72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1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AE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58054A"/>
    <w:multiLevelType w:val="hybridMultilevel"/>
    <w:tmpl w:val="3C1416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56D4CB2"/>
    <w:multiLevelType w:val="hybridMultilevel"/>
    <w:tmpl w:val="38DA6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A62F3"/>
    <w:multiLevelType w:val="hybridMultilevel"/>
    <w:tmpl w:val="B628C48A"/>
    <w:lvl w:ilvl="0" w:tplc="B808AAF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3E73A90"/>
    <w:multiLevelType w:val="hybridMultilevel"/>
    <w:tmpl w:val="5C50FF88"/>
    <w:lvl w:ilvl="0" w:tplc="715E7D38">
      <w:start w:val="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8"/>
  </w:num>
  <w:num w:numId="3">
    <w:abstractNumId w:val="12"/>
  </w:num>
  <w:num w:numId="4">
    <w:abstractNumId w:val="22"/>
  </w:num>
  <w:num w:numId="5">
    <w:abstractNumId w:val="5"/>
  </w:num>
  <w:num w:numId="6">
    <w:abstractNumId w:val="21"/>
  </w:num>
  <w:num w:numId="7">
    <w:abstractNumId w:val="1"/>
  </w:num>
  <w:num w:numId="8">
    <w:abstractNumId w:val="23"/>
  </w:num>
  <w:num w:numId="9">
    <w:abstractNumId w:val="7"/>
  </w:num>
  <w:num w:numId="10">
    <w:abstractNumId w:val="2"/>
  </w:num>
  <w:num w:numId="11">
    <w:abstractNumId w:val="13"/>
  </w:num>
  <w:num w:numId="12">
    <w:abstractNumId w:val="26"/>
  </w:num>
  <w:num w:numId="13">
    <w:abstractNumId w:val="20"/>
  </w:num>
  <w:num w:numId="14">
    <w:abstractNumId w:val="4"/>
  </w:num>
  <w:num w:numId="15">
    <w:abstractNumId w:val="10"/>
  </w:num>
  <w:num w:numId="16">
    <w:abstractNumId w:val="14"/>
  </w:num>
  <w:num w:numId="17">
    <w:abstractNumId w:val="29"/>
  </w:num>
  <w:num w:numId="18">
    <w:abstractNumId w:val="0"/>
  </w:num>
  <w:num w:numId="19">
    <w:abstractNumId w:val="25"/>
  </w:num>
  <w:num w:numId="20">
    <w:abstractNumId w:val="6"/>
  </w:num>
  <w:num w:numId="21">
    <w:abstractNumId w:val="17"/>
  </w:num>
  <w:num w:numId="22">
    <w:abstractNumId w:val="11"/>
  </w:num>
  <w:num w:numId="23">
    <w:abstractNumId w:val="27"/>
  </w:num>
  <w:num w:numId="24">
    <w:abstractNumId w:val="19"/>
  </w:num>
  <w:num w:numId="25">
    <w:abstractNumId w:val="16"/>
  </w:num>
  <w:num w:numId="26">
    <w:abstractNumId w:val="31"/>
  </w:num>
  <w:num w:numId="27">
    <w:abstractNumId w:val="3"/>
  </w:num>
  <w:num w:numId="28">
    <w:abstractNumId w:val="18"/>
  </w:num>
  <w:num w:numId="29">
    <w:abstractNumId w:val="9"/>
  </w:num>
  <w:num w:numId="30">
    <w:abstractNumId w:val="15"/>
  </w:num>
  <w:num w:numId="31">
    <w:abstractNumId w:val="30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5014"/>
    <w:rsid w:val="000138FC"/>
    <w:rsid w:val="00023AC5"/>
    <w:rsid w:val="00033B55"/>
    <w:rsid w:val="00057D24"/>
    <w:rsid w:val="00060CBC"/>
    <w:rsid w:val="00060D78"/>
    <w:rsid w:val="000628D7"/>
    <w:rsid w:val="0007321B"/>
    <w:rsid w:val="00091F0B"/>
    <w:rsid w:val="00094D3A"/>
    <w:rsid w:val="00097429"/>
    <w:rsid w:val="000A6473"/>
    <w:rsid w:val="000A754F"/>
    <w:rsid w:val="000B1EEE"/>
    <w:rsid w:val="000B4E56"/>
    <w:rsid w:val="000B5E8E"/>
    <w:rsid w:val="000E2C46"/>
    <w:rsid w:val="000F2546"/>
    <w:rsid w:val="000F50EC"/>
    <w:rsid w:val="000F5252"/>
    <w:rsid w:val="00101626"/>
    <w:rsid w:val="00101957"/>
    <w:rsid w:val="0011369F"/>
    <w:rsid w:val="00116718"/>
    <w:rsid w:val="00121080"/>
    <w:rsid w:val="00126055"/>
    <w:rsid w:val="00130402"/>
    <w:rsid w:val="00136328"/>
    <w:rsid w:val="001364A1"/>
    <w:rsid w:val="001413C7"/>
    <w:rsid w:val="00142124"/>
    <w:rsid w:val="0015000E"/>
    <w:rsid w:val="00154D1C"/>
    <w:rsid w:val="0016131F"/>
    <w:rsid w:val="00177EFF"/>
    <w:rsid w:val="00190D7B"/>
    <w:rsid w:val="001953B8"/>
    <w:rsid w:val="001A3935"/>
    <w:rsid w:val="001A4FAE"/>
    <w:rsid w:val="001A61F0"/>
    <w:rsid w:val="001B0CBF"/>
    <w:rsid w:val="001C3C45"/>
    <w:rsid w:val="001E0AE8"/>
    <w:rsid w:val="001F746E"/>
    <w:rsid w:val="002036DA"/>
    <w:rsid w:val="002059EA"/>
    <w:rsid w:val="00205A61"/>
    <w:rsid w:val="002127E2"/>
    <w:rsid w:val="00212E3A"/>
    <w:rsid w:val="00214C87"/>
    <w:rsid w:val="00215035"/>
    <w:rsid w:val="00215E52"/>
    <w:rsid w:val="002226E8"/>
    <w:rsid w:val="00233B46"/>
    <w:rsid w:val="00242B76"/>
    <w:rsid w:val="002523CC"/>
    <w:rsid w:val="00272473"/>
    <w:rsid w:val="0027631F"/>
    <w:rsid w:val="00276F69"/>
    <w:rsid w:val="00291DDD"/>
    <w:rsid w:val="002A066E"/>
    <w:rsid w:val="002A31E8"/>
    <w:rsid w:val="002A7181"/>
    <w:rsid w:val="002B3503"/>
    <w:rsid w:val="002D1B45"/>
    <w:rsid w:val="002E1F6A"/>
    <w:rsid w:val="002F66F4"/>
    <w:rsid w:val="002F6A38"/>
    <w:rsid w:val="002F7998"/>
    <w:rsid w:val="003029F0"/>
    <w:rsid w:val="003103A7"/>
    <w:rsid w:val="0031458C"/>
    <w:rsid w:val="003156E4"/>
    <w:rsid w:val="00316FC7"/>
    <w:rsid w:val="00347DEA"/>
    <w:rsid w:val="00356FB1"/>
    <w:rsid w:val="003777FE"/>
    <w:rsid w:val="00387C78"/>
    <w:rsid w:val="003B3990"/>
    <w:rsid w:val="003D26B4"/>
    <w:rsid w:val="003E237A"/>
    <w:rsid w:val="003E422D"/>
    <w:rsid w:val="003E44AA"/>
    <w:rsid w:val="003F5CC5"/>
    <w:rsid w:val="0041441A"/>
    <w:rsid w:val="00417963"/>
    <w:rsid w:val="0042109F"/>
    <w:rsid w:val="00422ABC"/>
    <w:rsid w:val="00426A90"/>
    <w:rsid w:val="00430A73"/>
    <w:rsid w:val="0043196F"/>
    <w:rsid w:val="0043450E"/>
    <w:rsid w:val="00442D5E"/>
    <w:rsid w:val="00446BB1"/>
    <w:rsid w:val="00453BA5"/>
    <w:rsid w:val="00454E53"/>
    <w:rsid w:val="00473FFD"/>
    <w:rsid w:val="00474C79"/>
    <w:rsid w:val="00481EFB"/>
    <w:rsid w:val="00482477"/>
    <w:rsid w:val="00484078"/>
    <w:rsid w:val="00491386"/>
    <w:rsid w:val="00494F18"/>
    <w:rsid w:val="004974FD"/>
    <w:rsid w:val="004A41DA"/>
    <w:rsid w:val="004C0103"/>
    <w:rsid w:val="004C58F9"/>
    <w:rsid w:val="004D017E"/>
    <w:rsid w:val="004D0C67"/>
    <w:rsid w:val="004D3D81"/>
    <w:rsid w:val="004F517D"/>
    <w:rsid w:val="005155DE"/>
    <w:rsid w:val="00517050"/>
    <w:rsid w:val="005207B6"/>
    <w:rsid w:val="00525C0B"/>
    <w:rsid w:val="0053656E"/>
    <w:rsid w:val="00553D2D"/>
    <w:rsid w:val="00560A63"/>
    <w:rsid w:val="005647F5"/>
    <w:rsid w:val="00564B2E"/>
    <w:rsid w:val="00570B14"/>
    <w:rsid w:val="005735CF"/>
    <w:rsid w:val="005908EA"/>
    <w:rsid w:val="00593353"/>
    <w:rsid w:val="00595369"/>
    <w:rsid w:val="00597A81"/>
    <w:rsid w:val="005B2640"/>
    <w:rsid w:val="005C69C2"/>
    <w:rsid w:val="005D18A4"/>
    <w:rsid w:val="005D784D"/>
    <w:rsid w:val="005E5382"/>
    <w:rsid w:val="005E7C59"/>
    <w:rsid w:val="005F31A5"/>
    <w:rsid w:val="005F4052"/>
    <w:rsid w:val="005F6CE3"/>
    <w:rsid w:val="006026F2"/>
    <w:rsid w:val="00602EB6"/>
    <w:rsid w:val="00603768"/>
    <w:rsid w:val="0060711C"/>
    <w:rsid w:val="00613AB3"/>
    <w:rsid w:val="0063374B"/>
    <w:rsid w:val="00640343"/>
    <w:rsid w:val="00641C2E"/>
    <w:rsid w:val="00641E1F"/>
    <w:rsid w:val="00653C1B"/>
    <w:rsid w:val="006566F1"/>
    <w:rsid w:val="00664AE9"/>
    <w:rsid w:val="00664DF6"/>
    <w:rsid w:val="00681F39"/>
    <w:rsid w:val="00687537"/>
    <w:rsid w:val="006919C7"/>
    <w:rsid w:val="00693CCF"/>
    <w:rsid w:val="006B0708"/>
    <w:rsid w:val="006B6CB6"/>
    <w:rsid w:val="006C3660"/>
    <w:rsid w:val="006C3E2E"/>
    <w:rsid w:val="006C44A0"/>
    <w:rsid w:val="006C4854"/>
    <w:rsid w:val="006C6840"/>
    <w:rsid w:val="006D43D1"/>
    <w:rsid w:val="006D63C8"/>
    <w:rsid w:val="006D701F"/>
    <w:rsid w:val="006F122C"/>
    <w:rsid w:val="00702ED2"/>
    <w:rsid w:val="00703602"/>
    <w:rsid w:val="00713010"/>
    <w:rsid w:val="00713482"/>
    <w:rsid w:val="00720CF4"/>
    <w:rsid w:val="00726265"/>
    <w:rsid w:val="00733FCB"/>
    <w:rsid w:val="00734EBD"/>
    <w:rsid w:val="0074778D"/>
    <w:rsid w:val="00747F44"/>
    <w:rsid w:val="00757284"/>
    <w:rsid w:val="0076068D"/>
    <w:rsid w:val="0077527C"/>
    <w:rsid w:val="00785AE5"/>
    <w:rsid w:val="007A74DE"/>
    <w:rsid w:val="007B0619"/>
    <w:rsid w:val="007C0095"/>
    <w:rsid w:val="007C3D2F"/>
    <w:rsid w:val="007C7E14"/>
    <w:rsid w:val="007D1C54"/>
    <w:rsid w:val="007D20DF"/>
    <w:rsid w:val="007E0C29"/>
    <w:rsid w:val="007E113D"/>
    <w:rsid w:val="007E2155"/>
    <w:rsid w:val="007E752F"/>
    <w:rsid w:val="00800B5D"/>
    <w:rsid w:val="00803510"/>
    <w:rsid w:val="00813258"/>
    <w:rsid w:val="008236E4"/>
    <w:rsid w:val="00846F0E"/>
    <w:rsid w:val="00850296"/>
    <w:rsid w:val="00871B4D"/>
    <w:rsid w:val="0089084A"/>
    <w:rsid w:val="00891F14"/>
    <w:rsid w:val="008926AE"/>
    <w:rsid w:val="00894D32"/>
    <w:rsid w:val="00895E24"/>
    <w:rsid w:val="00896EDD"/>
    <w:rsid w:val="008A4493"/>
    <w:rsid w:val="008A635A"/>
    <w:rsid w:val="008B2128"/>
    <w:rsid w:val="008B5F4A"/>
    <w:rsid w:val="008B71FF"/>
    <w:rsid w:val="008B72EE"/>
    <w:rsid w:val="008C3489"/>
    <w:rsid w:val="008D12E4"/>
    <w:rsid w:val="008F1A10"/>
    <w:rsid w:val="009022F6"/>
    <w:rsid w:val="00911E21"/>
    <w:rsid w:val="0091383D"/>
    <w:rsid w:val="00915129"/>
    <w:rsid w:val="00915BF3"/>
    <w:rsid w:val="00936086"/>
    <w:rsid w:val="00940559"/>
    <w:rsid w:val="00966126"/>
    <w:rsid w:val="00996062"/>
    <w:rsid w:val="009A1B59"/>
    <w:rsid w:val="009B1E68"/>
    <w:rsid w:val="009B3DA9"/>
    <w:rsid w:val="009B6543"/>
    <w:rsid w:val="009B7F2A"/>
    <w:rsid w:val="00A01816"/>
    <w:rsid w:val="00A04E4A"/>
    <w:rsid w:val="00A07D06"/>
    <w:rsid w:val="00A16F72"/>
    <w:rsid w:val="00A23811"/>
    <w:rsid w:val="00A451E8"/>
    <w:rsid w:val="00A554B9"/>
    <w:rsid w:val="00A6018C"/>
    <w:rsid w:val="00A83B5D"/>
    <w:rsid w:val="00A925DB"/>
    <w:rsid w:val="00AB3FAE"/>
    <w:rsid w:val="00AC1B35"/>
    <w:rsid w:val="00AC21A5"/>
    <w:rsid w:val="00AC5B44"/>
    <w:rsid w:val="00AD0CC8"/>
    <w:rsid w:val="00AD0F48"/>
    <w:rsid w:val="00AE1D3D"/>
    <w:rsid w:val="00AE52A5"/>
    <w:rsid w:val="00AE58B4"/>
    <w:rsid w:val="00AE6327"/>
    <w:rsid w:val="00AF47C0"/>
    <w:rsid w:val="00AF7CB0"/>
    <w:rsid w:val="00B15527"/>
    <w:rsid w:val="00B17FCA"/>
    <w:rsid w:val="00B25750"/>
    <w:rsid w:val="00B4220B"/>
    <w:rsid w:val="00B4385F"/>
    <w:rsid w:val="00B65B59"/>
    <w:rsid w:val="00B72408"/>
    <w:rsid w:val="00B77164"/>
    <w:rsid w:val="00BB7C85"/>
    <w:rsid w:val="00BC228C"/>
    <w:rsid w:val="00BC2924"/>
    <w:rsid w:val="00BC764C"/>
    <w:rsid w:val="00BC7CDD"/>
    <w:rsid w:val="00BF2C16"/>
    <w:rsid w:val="00BF3B1E"/>
    <w:rsid w:val="00BF4B17"/>
    <w:rsid w:val="00BF58B2"/>
    <w:rsid w:val="00BF72E0"/>
    <w:rsid w:val="00C0316B"/>
    <w:rsid w:val="00C07A46"/>
    <w:rsid w:val="00C1035B"/>
    <w:rsid w:val="00C17B19"/>
    <w:rsid w:val="00C21554"/>
    <w:rsid w:val="00C3087E"/>
    <w:rsid w:val="00C30EBD"/>
    <w:rsid w:val="00C45DB3"/>
    <w:rsid w:val="00C47C9F"/>
    <w:rsid w:val="00C55F94"/>
    <w:rsid w:val="00C81190"/>
    <w:rsid w:val="00C83E86"/>
    <w:rsid w:val="00C91EE2"/>
    <w:rsid w:val="00CB607B"/>
    <w:rsid w:val="00CC2754"/>
    <w:rsid w:val="00CE241D"/>
    <w:rsid w:val="00D03FD8"/>
    <w:rsid w:val="00D07626"/>
    <w:rsid w:val="00D275CC"/>
    <w:rsid w:val="00D348C6"/>
    <w:rsid w:val="00D44EB4"/>
    <w:rsid w:val="00D470C2"/>
    <w:rsid w:val="00D546CC"/>
    <w:rsid w:val="00D57C62"/>
    <w:rsid w:val="00D767C4"/>
    <w:rsid w:val="00D77CF5"/>
    <w:rsid w:val="00DA03D6"/>
    <w:rsid w:val="00DA4A61"/>
    <w:rsid w:val="00DA51D9"/>
    <w:rsid w:val="00DA7396"/>
    <w:rsid w:val="00DB5C3F"/>
    <w:rsid w:val="00DF1DEC"/>
    <w:rsid w:val="00DF302A"/>
    <w:rsid w:val="00DF7635"/>
    <w:rsid w:val="00E014E2"/>
    <w:rsid w:val="00E21FB6"/>
    <w:rsid w:val="00E23971"/>
    <w:rsid w:val="00E332C0"/>
    <w:rsid w:val="00E33B68"/>
    <w:rsid w:val="00E35DD7"/>
    <w:rsid w:val="00E36095"/>
    <w:rsid w:val="00E61521"/>
    <w:rsid w:val="00E62D76"/>
    <w:rsid w:val="00E65B5C"/>
    <w:rsid w:val="00E71101"/>
    <w:rsid w:val="00E82EF3"/>
    <w:rsid w:val="00E95C04"/>
    <w:rsid w:val="00E962C5"/>
    <w:rsid w:val="00EA3488"/>
    <w:rsid w:val="00EB05B3"/>
    <w:rsid w:val="00EB0D8A"/>
    <w:rsid w:val="00EB5F7D"/>
    <w:rsid w:val="00EC589F"/>
    <w:rsid w:val="00ED54F1"/>
    <w:rsid w:val="00EE0298"/>
    <w:rsid w:val="00EE5885"/>
    <w:rsid w:val="00EE6657"/>
    <w:rsid w:val="00F125F3"/>
    <w:rsid w:val="00F4507F"/>
    <w:rsid w:val="00F46354"/>
    <w:rsid w:val="00F562CA"/>
    <w:rsid w:val="00F62561"/>
    <w:rsid w:val="00F646D5"/>
    <w:rsid w:val="00F648B5"/>
    <w:rsid w:val="00F700B1"/>
    <w:rsid w:val="00F84458"/>
    <w:rsid w:val="00F97D64"/>
    <w:rsid w:val="00FA3036"/>
    <w:rsid w:val="00FB6B55"/>
    <w:rsid w:val="00FD085A"/>
    <w:rsid w:val="00FD543C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EC3EBCB4-947F-4F26-B868-DCD9070D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link w:val="EXChar"/>
    <w:qFormat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16F72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80351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EXChar">
    <w:name w:val="EX Char"/>
    <w:link w:val="EX"/>
    <w:qFormat/>
    <w:rsid w:val="00C83E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83E86"/>
    <w:rPr>
      <w:rFonts w:ascii="Arial" w:hAnsi="Arial"/>
      <w:sz w:val="18"/>
      <w:lang w:val="en-GB" w:eastAsia="en-US"/>
    </w:rPr>
  </w:style>
  <w:style w:type="character" w:styleId="Hyperlink">
    <w:name w:val="Hyperlink"/>
    <w:rsid w:val="00517050"/>
    <w:rPr>
      <w:color w:val="0000FF"/>
      <w:u w:val="single"/>
    </w:rPr>
  </w:style>
  <w:style w:type="table" w:styleId="TableGrid">
    <w:name w:val="Table Grid"/>
    <w:basedOn w:val="TableNormal"/>
    <w:uiPriority w:val="59"/>
    <w:rsid w:val="00A0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A0181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1Light-Accent1">
    <w:name w:val="Grid Table 1 Light Accent 1"/>
    <w:basedOn w:val="TableNormal"/>
    <w:uiPriority w:val="46"/>
    <w:rsid w:val="00A0181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4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1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11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0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7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2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70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7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9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7534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14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293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1299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6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4640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194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40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058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63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Umeda, Hiromasa (Nokia - JP/Tokyo)</cp:lastModifiedBy>
  <cp:revision>2</cp:revision>
  <cp:lastPrinted>1900-01-01T06:00:00Z</cp:lastPrinted>
  <dcterms:created xsi:type="dcterms:W3CDTF">2022-04-25T14:42:00Z</dcterms:created>
  <dcterms:modified xsi:type="dcterms:W3CDTF">2022-04-25T14:42:00Z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2021-07-02T06:03:33Z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/>
  </property>
  <property fmtid="{D5CDD505-2E9C-101B-9397-08002B2CF9AE}" pid="8" name="MSIP_Label_b1aa2129-79ec-42c0-bfac-e5b7a0374572_ContentBits">
    <vt:lpwstr>0</vt:lpwstr>
  </property>
</Properties>
</file>