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20CCDE5"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932C93">
        <w:rPr>
          <w:rFonts w:ascii="Arial" w:hAnsi="Arial" w:cs="Arial"/>
          <w:b/>
          <w:sz w:val="24"/>
          <w:szCs w:val="24"/>
        </w:rPr>
        <w:t>10</w:t>
      </w:r>
      <w:r w:rsidR="00970536">
        <w:rPr>
          <w:rFonts w:ascii="Arial" w:hAnsi="Arial" w:cs="Arial"/>
          <w:b/>
          <w:sz w:val="24"/>
          <w:szCs w:val="24"/>
        </w:rPr>
        <w:t>3</w:t>
      </w:r>
      <w:r w:rsidR="00C94AC7">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A175DD" w:rsidRPr="00A175DD">
        <w:rPr>
          <w:rFonts w:ascii="Arial" w:hAnsi="Arial" w:cs="Arial"/>
          <w:b/>
          <w:sz w:val="24"/>
          <w:szCs w:val="24"/>
        </w:rPr>
        <w:t>R4-2207801</w:t>
      </w:r>
    </w:p>
    <w:p w14:paraId="2C67BE8C" w14:textId="5B9FAAE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970536">
        <w:rPr>
          <w:rFonts w:ascii="Arial" w:eastAsia="SimSun" w:hAnsi="Arial"/>
          <w:b/>
          <w:sz w:val="24"/>
          <w:szCs w:val="24"/>
          <w:lang w:eastAsia="zh-CN"/>
        </w:rPr>
        <w:t xml:space="preserve">May 09 - </w:t>
      </w:r>
      <w:r w:rsidR="00932C93">
        <w:rPr>
          <w:rFonts w:ascii="Arial" w:eastAsia="SimSun" w:hAnsi="Arial"/>
          <w:b/>
          <w:sz w:val="24"/>
          <w:szCs w:val="24"/>
          <w:lang w:eastAsia="zh-CN"/>
        </w:rPr>
        <w:t>Ma</w:t>
      </w:r>
      <w:r w:rsidR="00970536">
        <w:rPr>
          <w:rFonts w:ascii="Arial" w:eastAsia="SimSun" w:hAnsi="Arial"/>
          <w:b/>
          <w:sz w:val="24"/>
          <w:szCs w:val="24"/>
          <w:lang w:eastAsia="zh-CN"/>
        </w:rPr>
        <w:t>y</w:t>
      </w:r>
      <w:r w:rsidR="00932C93">
        <w:rPr>
          <w:rFonts w:ascii="Arial" w:eastAsia="SimSun" w:hAnsi="Arial"/>
          <w:b/>
          <w:sz w:val="24"/>
          <w:szCs w:val="24"/>
          <w:lang w:eastAsia="zh-CN"/>
        </w:rPr>
        <w:t xml:space="preserve"> </w:t>
      </w:r>
      <w:r w:rsidR="00970536">
        <w:rPr>
          <w:rFonts w:ascii="Arial" w:eastAsia="SimSun" w:hAnsi="Arial"/>
          <w:b/>
          <w:sz w:val="24"/>
          <w:szCs w:val="24"/>
          <w:lang w:eastAsia="zh-CN"/>
        </w:rPr>
        <w:t>20</w:t>
      </w:r>
      <w:r w:rsidRPr="00CD5A36">
        <w:rPr>
          <w:rFonts w:ascii="Arial" w:eastAsia="SimSun" w:hAnsi="Arial"/>
          <w:b/>
          <w:sz w:val="24"/>
          <w:szCs w:val="24"/>
          <w:lang w:eastAsia="zh-CN"/>
        </w:rPr>
        <w:t>, 202</w:t>
      </w:r>
      <w:r w:rsidR="00C94AC7">
        <w:rPr>
          <w:rFonts w:ascii="Arial" w:eastAsia="SimSun" w:hAnsi="Arial"/>
          <w:b/>
          <w:sz w:val="24"/>
          <w:szCs w:val="24"/>
          <w:lang w:eastAsia="zh-CN"/>
        </w:rPr>
        <w:t>2</w:t>
      </w:r>
    </w:p>
    <w:p w14:paraId="2305CEA3" w14:textId="0CE445BD" w:rsidR="009F52D7" w:rsidRPr="00303915" w:rsidRDefault="009F52D7" w:rsidP="009F52D7">
      <w:pPr>
        <w:pStyle w:val="CH"/>
        <w:rPr>
          <w:sz w:val="24"/>
          <w:szCs w:val="24"/>
        </w:rPr>
      </w:pPr>
      <w:r w:rsidRPr="00303915">
        <w:rPr>
          <w:sz w:val="24"/>
          <w:szCs w:val="24"/>
        </w:rPr>
        <w:t>Agenda item:</w:t>
      </w:r>
      <w:r w:rsidRPr="00303915">
        <w:rPr>
          <w:sz w:val="24"/>
          <w:szCs w:val="24"/>
        </w:rPr>
        <w:tab/>
      </w:r>
      <w:r w:rsidR="00A175DD" w:rsidRPr="00A175DD">
        <w:rPr>
          <w:sz w:val="24"/>
          <w:szCs w:val="24"/>
        </w:rPr>
        <w:t>9.11.2.1.2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4FC6455"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A175DD" w:rsidRPr="00A175DD">
        <w:rPr>
          <w:sz w:val="24"/>
          <w:szCs w:val="24"/>
        </w:rPr>
        <w:t xml:space="preserve">Simulation results for CSI reporting requirements in </w:t>
      </w:r>
      <w:r w:rsidR="00EB132A">
        <w:rPr>
          <w:sz w:val="24"/>
          <w:szCs w:val="24"/>
        </w:rPr>
        <w:t>I</w:t>
      </w:r>
      <w:r w:rsidR="00A175DD" w:rsidRPr="00A175DD">
        <w:rPr>
          <w:sz w:val="24"/>
          <w:szCs w:val="24"/>
        </w:rPr>
        <w:t xml:space="preserve">ntercell </w:t>
      </w:r>
      <w:r w:rsidR="00EB132A">
        <w:rPr>
          <w:sz w:val="24"/>
          <w:szCs w:val="24"/>
        </w:rPr>
        <w:t>I</w:t>
      </w:r>
      <w:r w:rsidR="00A175DD" w:rsidRPr="00A175DD">
        <w:rPr>
          <w:sz w:val="24"/>
          <w:szCs w:val="24"/>
        </w:rPr>
        <w:t>nterference scenarios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6ECE8FCE" w:rsidR="009F52D7" w:rsidRPr="00303915" w:rsidRDefault="009F52D7" w:rsidP="00A56A9E">
      <w:pPr>
        <w:pStyle w:val="CH"/>
        <w:tabs>
          <w:tab w:val="clear" w:pos="7920"/>
          <w:tab w:val="clear" w:pos="9639"/>
          <w:tab w:val="left" w:pos="6345"/>
        </w:tabs>
        <w:rPr>
          <w:sz w:val="24"/>
          <w:szCs w:val="24"/>
        </w:rPr>
      </w:pPr>
      <w:r w:rsidRPr="00303915">
        <w:rPr>
          <w:sz w:val="24"/>
          <w:szCs w:val="24"/>
        </w:rPr>
        <w:t>Document for:</w:t>
      </w:r>
      <w:r w:rsidRPr="00303915">
        <w:rPr>
          <w:sz w:val="24"/>
          <w:szCs w:val="24"/>
        </w:rPr>
        <w:tab/>
        <w:t>Discussion</w:t>
      </w:r>
      <w:r w:rsidR="00A56A9E">
        <w:rPr>
          <w:sz w:val="24"/>
          <w:szCs w:val="24"/>
        </w:rPr>
        <w:tab/>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7553BFD0" w14:textId="27987809" w:rsidR="00A175DD" w:rsidRPr="00316E46" w:rsidRDefault="00A175DD" w:rsidP="00A175DD">
      <w:pPr>
        <w:spacing w:after="120"/>
        <w:rPr>
          <w:sz w:val="20"/>
          <w:szCs w:val="20"/>
        </w:rPr>
      </w:pPr>
      <w:r w:rsidRPr="00E077C2">
        <w:rPr>
          <w:sz w:val="20"/>
          <w:szCs w:val="20"/>
        </w:rPr>
        <w:t>In RAN4#10</w:t>
      </w:r>
      <w:r>
        <w:rPr>
          <w:sz w:val="20"/>
          <w:szCs w:val="20"/>
        </w:rPr>
        <w:t>2-</w:t>
      </w:r>
      <w:r w:rsidRPr="00E077C2">
        <w:rPr>
          <w:sz w:val="20"/>
          <w:szCs w:val="20"/>
        </w:rPr>
        <w:t>e CSI requirements for inter-cell interference MMSE-IRC was discussed and way forward [1] was agreed. In this contribution we present our simulation results</w:t>
      </w:r>
      <w:r>
        <w:rPr>
          <w:sz w:val="20"/>
          <w:szCs w:val="20"/>
        </w:rPr>
        <w:t xml:space="preserve"> and propose test metrics for CQI reporting in ICI</w:t>
      </w:r>
      <w:r w:rsidRPr="00E077C2">
        <w:rPr>
          <w:sz w:val="20"/>
          <w:szCs w:val="20"/>
        </w:rPr>
        <w:t>.</w:t>
      </w:r>
      <w:r w:rsidRPr="00316E46">
        <w:rPr>
          <w:sz w:val="20"/>
          <w:szCs w:val="20"/>
        </w:rPr>
        <w:t xml:space="preserve">  </w:t>
      </w:r>
    </w:p>
    <w:p w14:paraId="4EAFA8EB" w14:textId="77777777" w:rsidR="009F52D7" w:rsidRDefault="009F52D7" w:rsidP="009F52D7">
      <w:pPr>
        <w:pStyle w:val="Heading1"/>
      </w:pPr>
      <w:r>
        <w:t>2. Discussion</w:t>
      </w:r>
    </w:p>
    <w:p w14:paraId="6BB3AD6B" w14:textId="3232397D" w:rsidR="009F52D7" w:rsidRDefault="00EB132A" w:rsidP="005B410D">
      <w:pPr>
        <w:spacing w:after="120"/>
        <w:rPr>
          <w:rFonts w:eastAsia="SimSun"/>
          <w:sz w:val="20"/>
          <w:szCs w:val="20"/>
          <w:lang w:val="en-GB" w:eastAsia="en-GB"/>
        </w:rPr>
      </w:pPr>
      <w:r>
        <w:rPr>
          <w:rFonts w:eastAsia="SimSun"/>
          <w:sz w:val="20"/>
          <w:szCs w:val="20"/>
          <w:lang w:val="en-GB" w:eastAsia="en-GB"/>
        </w:rPr>
        <w:t xml:space="preserve">The open issues in [1] for CQI reporting in ICI </w:t>
      </w:r>
      <w:proofErr w:type="gramStart"/>
      <w:r>
        <w:rPr>
          <w:rFonts w:eastAsia="SimSun"/>
          <w:sz w:val="20"/>
          <w:szCs w:val="20"/>
          <w:lang w:val="en-GB" w:eastAsia="en-GB"/>
        </w:rPr>
        <w:t>are :</w:t>
      </w:r>
      <w:proofErr w:type="gramEnd"/>
    </w:p>
    <w:p w14:paraId="4BD4345F" w14:textId="57C650FF" w:rsidR="00EB132A" w:rsidRPr="00EB132A" w:rsidRDefault="00EB132A" w:rsidP="00EB132A">
      <w:pPr>
        <w:pStyle w:val="ListParagraph"/>
        <w:numPr>
          <w:ilvl w:val="0"/>
          <w:numId w:val="3"/>
        </w:numPr>
        <w:spacing w:after="120"/>
        <w:ind w:firstLineChars="0"/>
        <w:rPr>
          <w:rFonts w:ascii="Times New Roman" w:hAnsi="Times New Roman" w:cs="Times New Roman"/>
          <w:sz w:val="20"/>
          <w:szCs w:val="20"/>
          <w:lang w:val="en-GB" w:eastAsia="en-GB"/>
        </w:rPr>
      </w:pPr>
      <w:r w:rsidRPr="00EB132A">
        <w:rPr>
          <w:rFonts w:ascii="Times New Roman" w:hAnsi="Times New Roman" w:cs="Times New Roman"/>
          <w:sz w:val="20"/>
          <w:szCs w:val="20"/>
          <w:lang w:val="en-GB" w:eastAsia="en-GB"/>
        </w:rPr>
        <w:t>Test set-up methodology</w:t>
      </w:r>
      <w:r w:rsidR="000B1F48">
        <w:rPr>
          <w:rFonts w:ascii="Times New Roman" w:hAnsi="Times New Roman" w:cs="Times New Roman"/>
          <w:sz w:val="20"/>
          <w:szCs w:val="20"/>
          <w:lang w:val="en-GB" w:eastAsia="en-GB"/>
        </w:rPr>
        <w:t xml:space="preserve"> for signal power</w:t>
      </w:r>
    </w:p>
    <w:p w14:paraId="536A5C1A" w14:textId="5C028BD4" w:rsidR="00EB132A" w:rsidRPr="00EB132A" w:rsidRDefault="00EB132A" w:rsidP="00EB132A">
      <w:pPr>
        <w:pStyle w:val="ListParagraph"/>
        <w:numPr>
          <w:ilvl w:val="0"/>
          <w:numId w:val="3"/>
        </w:numPr>
        <w:spacing w:after="120"/>
        <w:ind w:firstLineChars="0"/>
        <w:rPr>
          <w:rFonts w:ascii="Times New Roman" w:hAnsi="Times New Roman" w:cs="Times New Roman"/>
          <w:sz w:val="20"/>
          <w:szCs w:val="20"/>
          <w:lang w:val="en-GB" w:eastAsia="en-GB"/>
        </w:rPr>
      </w:pPr>
      <w:r w:rsidRPr="00EB132A">
        <w:rPr>
          <w:rFonts w:ascii="Times New Roman" w:hAnsi="Times New Roman" w:cs="Times New Roman"/>
          <w:sz w:val="20"/>
          <w:szCs w:val="20"/>
          <w:lang w:val="en-GB" w:eastAsia="en-GB"/>
        </w:rPr>
        <w:t xml:space="preserve">SINR for requirements </w:t>
      </w:r>
    </w:p>
    <w:p w14:paraId="68BB30F6" w14:textId="23F2525A" w:rsidR="00EB132A" w:rsidRDefault="005E0087" w:rsidP="00EB132A">
      <w:pPr>
        <w:pStyle w:val="ListParagraph"/>
        <w:numPr>
          <w:ilvl w:val="0"/>
          <w:numId w:val="3"/>
        </w:numPr>
        <w:spacing w:after="120"/>
        <w:ind w:firstLineChars="0"/>
        <w:rPr>
          <w:rFonts w:ascii="Times New Roman" w:hAnsi="Times New Roman" w:cs="Times New Roman"/>
          <w:sz w:val="20"/>
          <w:szCs w:val="20"/>
          <w:lang w:val="en-GB" w:eastAsia="en-GB"/>
        </w:rPr>
      </w:pPr>
      <w:r w:rsidRPr="005E0087">
        <w:rPr>
          <w:rFonts w:ascii="Times New Roman" w:hAnsi="Times New Roman" w:cs="Times New Roman"/>
          <w:sz w:val="20"/>
          <w:szCs w:val="20"/>
          <w:lang w:val="en-GB" w:eastAsia="en-GB"/>
        </w:rPr>
        <w:t xml:space="preserve">TP gain </w:t>
      </w:r>
      <w:r w:rsidRPr="005E0087">
        <w:rPr>
          <w:rFonts w:ascii="Times New Roman" w:hAnsi="Times New Roman" w:cs="Times New Roman"/>
          <w:sz w:val="20"/>
          <w:szCs w:val="20"/>
          <w:lang w:eastAsia="en-GB"/>
        </w:rPr>
        <w:t>(γ)</w:t>
      </w:r>
      <w:r w:rsidRPr="005E0087">
        <w:rPr>
          <w:rFonts w:ascii="Times New Roman" w:hAnsi="Times New Roman" w:cs="Times New Roman"/>
          <w:b/>
          <w:bCs/>
          <w:sz w:val="20"/>
          <w:szCs w:val="20"/>
          <w:lang w:eastAsia="en-GB"/>
        </w:rPr>
        <w:t xml:space="preserve"> </w:t>
      </w:r>
      <w:r w:rsidR="00EB132A" w:rsidRPr="00EB132A">
        <w:rPr>
          <w:rFonts w:ascii="Times New Roman" w:hAnsi="Times New Roman" w:cs="Times New Roman"/>
          <w:sz w:val="20"/>
          <w:szCs w:val="20"/>
          <w:lang w:val="en-GB" w:eastAsia="en-GB"/>
        </w:rPr>
        <w:t>for requirements</w:t>
      </w:r>
    </w:p>
    <w:p w14:paraId="5FACA04E" w14:textId="77777777" w:rsidR="000B1F48" w:rsidRPr="000B1F48" w:rsidRDefault="000B1F48" w:rsidP="000B1F48">
      <w:pPr>
        <w:spacing w:after="120"/>
        <w:rPr>
          <w:sz w:val="20"/>
          <w:szCs w:val="20"/>
          <w:lang w:eastAsia="en-GB"/>
        </w:rPr>
      </w:pPr>
    </w:p>
    <w:p w14:paraId="7C8EAF6B" w14:textId="77777777" w:rsidR="000B1F48" w:rsidRPr="000B1F48" w:rsidRDefault="000B1F48" w:rsidP="000B1F48">
      <w:pPr>
        <w:spacing w:after="120"/>
        <w:rPr>
          <w:sz w:val="20"/>
          <w:szCs w:val="20"/>
          <w:lang w:eastAsia="en-GB"/>
        </w:rPr>
      </w:pPr>
      <w:r w:rsidRPr="000B1F48">
        <w:rPr>
          <w:b/>
          <w:sz w:val="20"/>
          <w:szCs w:val="20"/>
          <w:u w:val="single"/>
          <w:lang w:eastAsia="en-GB"/>
        </w:rPr>
        <w:t>Issue 2-2-1: Test setup methodology for signal power</w:t>
      </w:r>
    </w:p>
    <w:p w14:paraId="08EC88F8" w14:textId="77777777" w:rsidR="000B1F48" w:rsidRPr="000B1F48" w:rsidRDefault="000B1F48" w:rsidP="000B1F48">
      <w:pPr>
        <w:numPr>
          <w:ilvl w:val="0"/>
          <w:numId w:val="4"/>
        </w:numPr>
        <w:spacing w:after="120"/>
        <w:rPr>
          <w:sz w:val="20"/>
          <w:szCs w:val="20"/>
          <w:lang w:eastAsia="en-GB"/>
        </w:rPr>
      </w:pPr>
      <w:r w:rsidRPr="000B1F48">
        <w:rPr>
          <w:sz w:val="20"/>
          <w:szCs w:val="20"/>
          <w:lang w:eastAsia="en-GB"/>
        </w:rPr>
        <w:t>Option 1: Define test based on SINR</w:t>
      </w:r>
    </w:p>
    <w:p w14:paraId="754F578D" w14:textId="77777777" w:rsidR="000B1F48" w:rsidRPr="000B1F48" w:rsidRDefault="000B1F48" w:rsidP="000B1F48">
      <w:pPr>
        <w:numPr>
          <w:ilvl w:val="0"/>
          <w:numId w:val="4"/>
        </w:numPr>
        <w:spacing w:after="120"/>
        <w:rPr>
          <w:sz w:val="20"/>
          <w:szCs w:val="20"/>
          <w:lang w:eastAsia="en-GB"/>
        </w:rPr>
      </w:pPr>
      <w:r w:rsidRPr="000B1F48">
        <w:rPr>
          <w:sz w:val="20"/>
          <w:szCs w:val="20"/>
          <w:lang w:eastAsia="en-GB"/>
        </w:rPr>
        <w:t>Option 2: Define test based on SNR</w:t>
      </w:r>
    </w:p>
    <w:p w14:paraId="5CF1A4EB" w14:textId="6871297F" w:rsidR="005E0087" w:rsidRDefault="005E0087" w:rsidP="005E0087">
      <w:pPr>
        <w:spacing w:after="120"/>
        <w:rPr>
          <w:rFonts w:eastAsia="SimSun"/>
          <w:sz w:val="20"/>
          <w:szCs w:val="20"/>
          <w:lang w:val="en-GB" w:eastAsia="en-GB"/>
        </w:rPr>
      </w:pPr>
      <w:r>
        <w:rPr>
          <w:rFonts w:eastAsia="SimSun"/>
          <w:sz w:val="20"/>
          <w:szCs w:val="20"/>
          <w:lang w:val="en-GB" w:eastAsia="en-GB"/>
        </w:rPr>
        <w:t xml:space="preserve">The test setup is based on comparing the Throughput with and without interference at a certain SINR. If we use SNR as the test point, TP with no interference or AWGN would be higher than the TP with interference and TP ratio would be &lt; 1. This wouldn’t be a suitable metric as we a comparing SNR with INR=10 dB and SNR with no interference. It would also be confusing to compare the TP ratio at different SNR levels. Using SINR would be more appropriate as all the interference and noise would be accounted for in a single value. Hence, we should define the test based on SINR.  </w:t>
      </w:r>
    </w:p>
    <w:p w14:paraId="3D50B672" w14:textId="77777777" w:rsidR="005E0087" w:rsidRPr="00365B89" w:rsidRDefault="005E0087" w:rsidP="005E0087">
      <w:pPr>
        <w:spacing w:after="120"/>
        <w:rPr>
          <w:rFonts w:eastAsia="SimSun"/>
          <w:b/>
          <w:bCs/>
          <w:sz w:val="20"/>
          <w:szCs w:val="20"/>
          <w:lang w:val="en-GB" w:eastAsia="en-GB"/>
        </w:rPr>
      </w:pPr>
      <w:r>
        <w:rPr>
          <w:rFonts w:eastAsia="SimSun"/>
          <w:b/>
          <w:bCs/>
          <w:sz w:val="20"/>
          <w:szCs w:val="20"/>
          <w:lang w:val="en-GB" w:eastAsia="en-GB"/>
        </w:rPr>
        <w:t>Proposal #1: Define the test based on SINR.</w:t>
      </w:r>
    </w:p>
    <w:p w14:paraId="77C7AFFD" w14:textId="52095FE7" w:rsidR="000B1F48" w:rsidRDefault="005E0087" w:rsidP="000B1F48">
      <w:pPr>
        <w:spacing w:after="120"/>
        <w:rPr>
          <w:rFonts w:eastAsia="SimSun"/>
          <w:color w:val="000000" w:themeColor="text1"/>
          <w:sz w:val="20"/>
          <w:szCs w:val="20"/>
          <w:lang w:eastAsia="zh-CN"/>
        </w:rPr>
      </w:pPr>
      <w:r>
        <w:rPr>
          <w:sz w:val="20"/>
          <w:szCs w:val="20"/>
          <w:lang w:val="en-GB" w:eastAsia="en-GB"/>
        </w:rPr>
        <w:t xml:space="preserve">The SINR and </w:t>
      </w:r>
      <w:r w:rsidRPr="005E0087">
        <w:rPr>
          <w:rFonts w:eastAsia="SimSun"/>
          <w:sz w:val="20"/>
          <w:szCs w:val="20"/>
          <w:lang w:val="en-GB" w:eastAsia="en-GB"/>
        </w:rPr>
        <w:t xml:space="preserve">TP gain </w:t>
      </w:r>
      <w:r w:rsidRPr="005E0087">
        <w:rPr>
          <w:rFonts w:eastAsia="SimSun"/>
          <w:color w:val="000000" w:themeColor="text1"/>
          <w:sz w:val="20"/>
          <w:szCs w:val="20"/>
          <w:lang w:eastAsia="zh-CN"/>
        </w:rPr>
        <w:t>(γ)</w:t>
      </w:r>
      <w:r>
        <w:rPr>
          <w:rFonts w:eastAsia="SimSun"/>
          <w:color w:val="000000" w:themeColor="text1"/>
          <w:sz w:val="20"/>
          <w:szCs w:val="20"/>
          <w:lang w:eastAsia="zh-CN"/>
        </w:rPr>
        <w:t xml:space="preserve"> for </w:t>
      </w:r>
      <w:r w:rsidR="00FA001F">
        <w:rPr>
          <w:rFonts w:eastAsia="SimSun"/>
          <w:color w:val="000000" w:themeColor="text1"/>
          <w:sz w:val="20"/>
          <w:szCs w:val="20"/>
          <w:lang w:eastAsia="zh-CN"/>
        </w:rPr>
        <w:t>requirements</w:t>
      </w:r>
      <w:r>
        <w:rPr>
          <w:rFonts w:eastAsia="SimSun"/>
          <w:color w:val="000000" w:themeColor="text1"/>
          <w:sz w:val="20"/>
          <w:szCs w:val="20"/>
          <w:lang w:eastAsia="zh-CN"/>
        </w:rPr>
        <w:t xml:space="preserve"> shall be based on simulation results.</w:t>
      </w:r>
    </w:p>
    <w:p w14:paraId="0BE43B9C" w14:textId="2E7AAF73" w:rsidR="005E0087" w:rsidRDefault="00FA001F" w:rsidP="000B1F48">
      <w:pPr>
        <w:spacing w:after="120"/>
        <w:rPr>
          <w:rFonts w:eastAsia="SimSun"/>
          <w:color w:val="000000" w:themeColor="text1"/>
          <w:sz w:val="20"/>
          <w:szCs w:val="20"/>
          <w:lang w:eastAsia="zh-CN"/>
        </w:rPr>
      </w:pPr>
      <w:r>
        <w:rPr>
          <w:rFonts w:eastAsia="SimSun"/>
          <w:color w:val="000000" w:themeColor="text1"/>
          <w:sz w:val="20"/>
          <w:szCs w:val="20"/>
          <w:lang w:eastAsia="zh-CN"/>
        </w:rPr>
        <w:t>In table 1 below we present the simulation results for TP gain with MMSE-IRC with and without interference.</w:t>
      </w:r>
    </w:p>
    <w:p w14:paraId="6C998C51" w14:textId="7E05CDF4" w:rsidR="00FA001F" w:rsidRDefault="00FA001F" w:rsidP="00FA001F">
      <w:pPr>
        <w:pStyle w:val="Caption"/>
        <w:keepNext/>
        <w:jc w:val="center"/>
      </w:pPr>
      <w:r>
        <w:t xml:space="preserve">Table </w:t>
      </w:r>
      <w:fldSimple w:instr=" SEQ Table \* ARABIC ">
        <w:r>
          <w:rPr>
            <w:noProof/>
          </w:rPr>
          <w:t>1</w:t>
        </w:r>
      </w:fldSimple>
      <w:r>
        <w:t>: TP Gain with MMSE-IRC processing for CQI reporting in ICI</w:t>
      </w:r>
    </w:p>
    <w:tbl>
      <w:tblPr>
        <w:tblW w:w="3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300"/>
        <w:gridCol w:w="1300"/>
      </w:tblGrid>
      <w:tr w:rsidR="00FA001F" w:rsidRPr="00FA001F" w14:paraId="7E465D33" w14:textId="77777777" w:rsidTr="00FA001F">
        <w:trPr>
          <w:trHeight w:val="320"/>
          <w:jc w:val="center"/>
        </w:trPr>
        <w:tc>
          <w:tcPr>
            <w:tcW w:w="1300" w:type="dxa"/>
            <w:vMerge w:val="restart"/>
            <w:shd w:val="clear" w:color="auto" w:fill="auto"/>
            <w:noWrap/>
            <w:vAlign w:val="center"/>
            <w:hideMark/>
          </w:tcPr>
          <w:p w14:paraId="0B7D0148" w14:textId="77777777" w:rsidR="00FA001F" w:rsidRPr="00FA001F" w:rsidRDefault="00FA001F" w:rsidP="00FA001F">
            <w:pPr>
              <w:jc w:val="center"/>
              <w:rPr>
                <w:rFonts w:eastAsia="Times New Roman"/>
                <w:b/>
                <w:bCs/>
                <w:color w:val="000000"/>
                <w:sz w:val="20"/>
                <w:szCs w:val="20"/>
              </w:rPr>
            </w:pPr>
            <w:r w:rsidRPr="00FA001F">
              <w:rPr>
                <w:rFonts w:eastAsia="Times New Roman"/>
                <w:b/>
                <w:bCs/>
                <w:color w:val="000000"/>
                <w:sz w:val="20"/>
                <w:szCs w:val="20"/>
              </w:rPr>
              <w:t>SINR (dB)</w:t>
            </w:r>
          </w:p>
        </w:tc>
        <w:tc>
          <w:tcPr>
            <w:tcW w:w="2600" w:type="dxa"/>
            <w:gridSpan w:val="2"/>
            <w:shd w:val="clear" w:color="auto" w:fill="auto"/>
            <w:noWrap/>
            <w:vAlign w:val="center"/>
            <w:hideMark/>
          </w:tcPr>
          <w:p w14:paraId="55A6E259" w14:textId="77777777" w:rsidR="00FA001F" w:rsidRPr="00FA001F" w:rsidRDefault="00FA001F" w:rsidP="00FA001F">
            <w:pPr>
              <w:jc w:val="center"/>
              <w:rPr>
                <w:rFonts w:eastAsia="Times New Roman"/>
                <w:b/>
                <w:bCs/>
                <w:color w:val="000000"/>
                <w:sz w:val="20"/>
                <w:szCs w:val="20"/>
              </w:rPr>
            </w:pPr>
            <w:r w:rsidRPr="00FA001F">
              <w:rPr>
                <w:rFonts w:eastAsia="Times New Roman"/>
                <w:b/>
                <w:bCs/>
                <w:color w:val="000000"/>
                <w:sz w:val="20"/>
                <w:szCs w:val="20"/>
              </w:rPr>
              <w:t>TP Gain</w:t>
            </w:r>
          </w:p>
        </w:tc>
      </w:tr>
      <w:tr w:rsidR="00FA001F" w:rsidRPr="00FA001F" w14:paraId="0EA7204B" w14:textId="77777777" w:rsidTr="00FA001F">
        <w:trPr>
          <w:trHeight w:val="320"/>
          <w:jc w:val="center"/>
        </w:trPr>
        <w:tc>
          <w:tcPr>
            <w:tcW w:w="1300" w:type="dxa"/>
            <w:vMerge/>
            <w:vAlign w:val="center"/>
            <w:hideMark/>
          </w:tcPr>
          <w:p w14:paraId="6C726ACE" w14:textId="77777777" w:rsidR="00FA001F" w:rsidRPr="00FA001F" w:rsidRDefault="00FA001F" w:rsidP="00FA001F">
            <w:pPr>
              <w:jc w:val="center"/>
              <w:rPr>
                <w:rFonts w:eastAsia="Times New Roman"/>
                <w:b/>
                <w:bCs/>
                <w:color w:val="000000"/>
                <w:sz w:val="20"/>
                <w:szCs w:val="20"/>
              </w:rPr>
            </w:pPr>
          </w:p>
        </w:tc>
        <w:tc>
          <w:tcPr>
            <w:tcW w:w="1300" w:type="dxa"/>
            <w:shd w:val="clear" w:color="auto" w:fill="auto"/>
            <w:noWrap/>
            <w:vAlign w:val="center"/>
            <w:hideMark/>
          </w:tcPr>
          <w:p w14:paraId="7C7855A5" w14:textId="77777777" w:rsidR="00FA001F" w:rsidRPr="00FA001F" w:rsidRDefault="00FA001F" w:rsidP="00FA001F">
            <w:pPr>
              <w:jc w:val="center"/>
              <w:rPr>
                <w:rFonts w:eastAsia="Times New Roman"/>
                <w:b/>
                <w:bCs/>
                <w:color w:val="000000"/>
                <w:sz w:val="20"/>
                <w:szCs w:val="20"/>
              </w:rPr>
            </w:pPr>
            <w:r w:rsidRPr="00FA001F">
              <w:rPr>
                <w:rFonts w:eastAsia="Times New Roman"/>
                <w:b/>
                <w:bCs/>
                <w:color w:val="000000"/>
                <w:sz w:val="20"/>
                <w:szCs w:val="20"/>
              </w:rPr>
              <w:t>2x2</w:t>
            </w:r>
          </w:p>
        </w:tc>
        <w:tc>
          <w:tcPr>
            <w:tcW w:w="1300" w:type="dxa"/>
            <w:shd w:val="clear" w:color="auto" w:fill="auto"/>
            <w:noWrap/>
            <w:vAlign w:val="center"/>
            <w:hideMark/>
          </w:tcPr>
          <w:p w14:paraId="2F7AA20A" w14:textId="77777777" w:rsidR="00FA001F" w:rsidRPr="00FA001F" w:rsidRDefault="00FA001F" w:rsidP="00FA001F">
            <w:pPr>
              <w:jc w:val="center"/>
              <w:rPr>
                <w:rFonts w:eastAsia="Times New Roman"/>
                <w:b/>
                <w:bCs/>
                <w:color w:val="000000"/>
                <w:sz w:val="20"/>
                <w:szCs w:val="20"/>
              </w:rPr>
            </w:pPr>
            <w:r w:rsidRPr="00FA001F">
              <w:rPr>
                <w:rFonts w:eastAsia="Times New Roman"/>
                <w:b/>
                <w:bCs/>
                <w:color w:val="000000"/>
                <w:sz w:val="20"/>
                <w:szCs w:val="20"/>
              </w:rPr>
              <w:t>2x4</w:t>
            </w:r>
          </w:p>
        </w:tc>
      </w:tr>
      <w:tr w:rsidR="00FA001F" w:rsidRPr="00FA001F" w14:paraId="3F53A505" w14:textId="77777777" w:rsidTr="00FA001F">
        <w:trPr>
          <w:trHeight w:val="320"/>
          <w:jc w:val="center"/>
        </w:trPr>
        <w:tc>
          <w:tcPr>
            <w:tcW w:w="1300" w:type="dxa"/>
            <w:shd w:val="clear" w:color="auto" w:fill="auto"/>
            <w:noWrap/>
            <w:vAlign w:val="center"/>
            <w:hideMark/>
          </w:tcPr>
          <w:p w14:paraId="3C8E9BBD"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-6</w:t>
            </w:r>
          </w:p>
        </w:tc>
        <w:tc>
          <w:tcPr>
            <w:tcW w:w="1300" w:type="dxa"/>
            <w:shd w:val="clear" w:color="auto" w:fill="auto"/>
            <w:noWrap/>
            <w:vAlign w:val="center"/>
            <w:hideMark/>
          </w:tcPr>
          <w:p w14:paraId="45F967DE"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3.6</w:t>
            </w:r>
          </w:p>
        </w:tc>
        <w:tc>
          <w:tcPr>
            <w:tcW w:w="1300" w:type="dxa"/>
            <w:shd w:val="clear" w:color="auto" w:fill="auto"/>
            <w:noWrap/>
            <w:vAlign w:val="center"/>
            <w:hideMark/>
          </w:tcPr>
          <w:p w14:paraId="0C12910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4.4</w:t>
            </w:r>
          </w:p>
        </w:tc>
      </w:tr>
      <w:tr w:rsidR="00FA001F" w:rsidRPr="00FA001F" w14:paraId="67CB6F47" w14:textId="77777777" w:rsidTr="00FA001F">
        <w:trPr>
          <w:trHeight w:val="320"/>
          <w:jc w:val="center"/>
        </w:trPr>
        <w:tc>
          <w:tcPr>
            <w:tcW w:w="1300" w:type="dxa"/>
            <w:shd w:val="clear" w:color="auto" w:fill="auto"/>
            <w:noWrap/>
            <w:vAlign w:val="center"/>
            <w:hideMark/>
          </w:tcPr>
          <w:p w14:paraId="06EE8FFB"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-5</w:t>
            </w:r>
          </w:p>
        </w:tc>
        <w:tc>
          <w:tcPr>
            <w:tcW w:w="1300" w:type="dxa"/>
            <w:shd w:val="clear" w:color="auto" w:fill="auto"/>
            <w:noWrap/>
            <w:vAlign w:val="center"/>
            <w:hideMark/>
          </w:tcPr>
          <w:p w14:paraId="09163786"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3.5</w:t>
            </w:r>
          </w:p>
        </w:tc>
        <w:tc>
          <w:tcPr>
            <w:tcW w:w="1300" w:type="dxa"/>
            <w:shd w:val="clear" w:color="auto" w:fill="auto"/>
            <w:noWrap/>
            <w:vAlign w:val="center"/>
            <w:hideMark/>
          </w:tcPr>
          <w:p w14:paraId="345CD105"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4.2</w:t>
            </w:r>
          </w:p>
        </w:tc>
      </w:tr>
      <w:tr w:rsidR="00FA001F" w:rsidRPr="00FA001F" w14:paraId="15A471CF" w14:textId="77777777" w:rsidTr="00FA001F">
        <w:trPr>
          <w:trHeight w:val="320"/>
          <w:jc w:val="center"/>
        </w:trPr>
        <w:tc>
          <w:tcPr>
            <w:tcW w:w="1300" w:type="dxa"/>
            <w:shd w:val="clear" w:color="auto" w:fill="auto"/>
            <w:noWrap/>
            <w:vAlign w:val="center"/>
            <w:hideMark/>
          </w:tcPr>
          <w:p w14:paraId="0278D50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-4</w:t>
            </w:r>
          </w:p>
        </w:tc>
        <w:tc>
          <w:tcPr>
            <w:tcW w:w="1300" w:type="dxa"/>
            <w:shd w:val="clear" w:color="auto" w:fill="auto"/>
            <w:noWrap/>
            <w:vAlign w:val="center"/>
            <w:hideMark/>
          </w:tcPr>
          <w:p w14:paraId="709240E4"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3.5</w:t>
            </w:r>
          </w:p>
        </w:tc>
        <w:tc>
          <w:tcPr>
            <w:tcW w:w="1300" w:type="dxa"/>
            <w:shd w:val="clear" w:color="auto" w:fill="auto"/>
            <w:noWrap/>
            <w:vAlign w:val="center"/>
            <w:hideMark/>
          </w:tcPr>
          <w:p w14:paraId="35D05D9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3.6</w:t>
            </w:r>
          </w:p>
        </w:tc>
      </w:tr>
      <w:tr w:rsidR="00FA001F" w:rsidRPr="00FA001F" w14:paraId="5F5B40CF" w14:textId="77777777" w:rsidTr="00FA001F">
        <w:trPr>
          <w:trHeight w:val="320"/>
          <w:jc w:val="center"/>
        </w:trPr>
        <w:tc>
          <w:tcPr>
            <w:tcW w:w="1300" w:type="dxa"/>
            <w:shd w:val="clear" w:color="auto" w:fill="DEEAF6" w:themeFill="accent5" w:themeFillTint="33"/>
            <w:noWrap/>
            <w:vAlign w:val="center"/>
            <w:hideMark/>
          </w:tcPr>
          <w:p w14:paraId="60AECBE4"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w:t>
            </w:r>
          </w:p>
        </w:tc>
        <w:tc>
          <w:tcPr>
            <w:tcW w:w="1300" w:type="dxa"/>
            <w:shd w:val="clear" w:color="auto" w:fill="auto"/>
            <w:noWrap/>
            <w:vAlign w:val="center"/>
            <w:hideMark/>
          </w:tcPr>
          <w:p w14:paraId="2CD0E4C9"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3.1</w:t>
            </w:r>
          </w:p>
        </w:tc>
        <w:tc>
          <w:tcPr>
            <w:tcW w:w="1300" w:type="dxa"/>
            <w:shd w:val="clear" w:color="auto" w:fill="DEEAF6" w:themeFill="accent5" w:themeFillTint="33"/>
            <w:noWrap/>
            <w:vAlign w:val="center"/>
            <w:hideMark/>
          </w:tcPr>
          <w:p w14:paraId="64E5CFA1"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2.8</w:t>
            </w:r>
          </w:p>
        </w:tc>
      </w:tr>
      <w:tr w:rsidR="00FA001F" w:rsidRPr="00FA001F" w14:paraId="18DBD838" w14:textId="77777777" w:rsidTr="00FA001F">
        <w:trPr>
          <w:trHeight w:val="320"/>
          <w:jc w:val="center"/>
        </w:trPr>
        <w:tc>
          <w:tcPr>
            <w:tcW w:w="1300" w:type="dxa"/>
            <w:shd w:val="clear" w:color="auto" w:fill="auto"/>
            <w:noWrap/>
            <w:vAlign w:val="center"/>
            <w:hideMark/>
          </w:tcPr>
          <w:p w14:paraId="4AD21F90"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lastRenderedPageBreak/>
              <w:t>-2</w:t>
            </w:r>
          </w:p>
        </w:tc>
        <w:tc>
          <w:tcPr>
            <w:tcW w:w="1300" w:type="dxa"/>
            <w:shd w:val="clear" w:color="auto" w:fill="auto"/>
            <w:noWrap/>
            <w:vAlign w:val="center"/>
            <w:hideMark/>
          </w:tcPr>
          <w:p w14:paraId="7A11B365"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2.8</w:t>
            </w:r>
          </w:p>
        </w:tc>
        <w:tc>
          <w:tcPr>
            <w:tcW w:w="1300" w:type="dxa"/>
            <w:shd w:val="clear" w:color="auto" w:fill="auto"/>
            <w:noWrap/>
            <w:vAlign w:val="center"/>
            <w:hideMark/>
          </w:tcPr>
          <w:p w14:paraId="141C32F7"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2.8</w:t>
            </w:r>
          </w:p>
        </w:tc>
      </w:tr>
      <w:tr w:rsidR="00FA001F" w:rsidRPr="00FA001F" w14:paraId="012E89B1" w14:textId="77777777" w:rsidTr="00FA001F">
        <w:trPr>
          <w:trHeight w:val="320"/>
          <w:jc w:val="center"/>
        </w:trPr>
        <w:tc>
          <w:tcPr>
            <w:tcW w:w="1300" w:type="dxa"/>
            <w:shd w:val="clear" w:color="auto" w:fill="auto"/>
            <w:noWrap/>
            <w:vAlign w:val="center"/>
            <w:hideMark/>
          </w:tcPr>
          <w:p w14:paraId="45028F72"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w:t>
            </w:r>
          </w:p>
        </w:tc>
        <w:tc>
          <w:tcPr>
            <w:tcW w:w="1300" w:type="dxa"/>
            <w:shd w:val="clear" w:color="auto" w:fill="auto"/>
            <w:noWrap/>
            <w:vAlign w:val="center"/>
            <w:hideMark/>
          </w:tcPr>
          <w:p w14:paraId="0E45DD9C"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2.8</w:t>
            </w:r>
          </w:p>
        </w:tc>
        <w:tc>
          <w:tcPr>
            <w:tcW w:w="1300" w:type="dxa"/>
            <w:shd w:val="clear" w:color="auto" w:fill="auto"/>
            <w:noWrap/>
            <w:vAlign w:val="center"/>
            <w:hideMark/>
          </w:tcPr>
          <w:p w14:paraId="2953714E"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2.6</w:t>
            </w:r>
          </w:p>
        </w:tc>
      </w:tr>
      <w:tr w:rsidR="00FA001F" w:rsidRPr="00FA001F" w14:paraId="62F6F2F8" w14:textId="77777777" w:rsidTr="00FA001F">
        <w:trPr>
          <w:trHeight w:val="320"/>
          <w:jc w:val="center"/>
        </w:trPr>
        <w:tc>
          <w:tcPr>
            <w:tcW w:w="1300" w:type="dxa"/>
            <w:shd w:val="clear" w:color="auto" w:fill="E2EFD9" w:themeFill="accent6" w:themeFillTint="33"/>
            <w:noWrap/>
            <w:vAlign w:val="center"/>
            <w:hideMark/>
          </w:tcPr>
          <w:p w14:paraId="7165024C"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0</w:t>
            </w:r>
          </w:p>
        </w:tc>
        <w:tc>
          <w:tcPr>
            <w:tcW w:w="1300" w:type="dxa"/>
            <w:shd w:val="clear" w:color="auto" w:fill="E2EFD9" w:themeFill="accent6" w:themeFillTint="33"/>
            <w:noWrap/>
            <w:vAlign w:val="center"/>
            <w:hideMark/>
          </w:tcPr>
          <w:p w14:paraId="4B1603E3"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2.6</w:t>
            </w:r>
          </w:p>
        </w:tc>
        <w:tc>
          <w:tcPr>
            <w:tcW w:w="1300" w:type="dxa"/>
            <w:shd w:val="clear" w:color="auto" w:fill="auto"/>
            <w:noWrap/>
            <w:vAlign w:val="center"/>
            <w:hideMark/>
          </w:tcPr>
          <w:p w14:paraId="269FFE99"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2.7</w:t>
            </w:r>
          </w:p>
        </w:tc>
      </w:tr>
      <w:tr w:rsidR="00FA001F" w:rsidRPr="00FA001F" w14:paraId="3223BEB1" w14:textId="77777777" w:rsidTr="00FA001F">
        <w:trPr>
          <w:trHeight w:val="320"/>
          <w:jc w:val="center"/>
        </w:trPr>
        <w:tc>
          <w:tcPr>
            <w:tcW w:w="1300" w:type="dxa"/>
            <w:shd w:val="clear" w:color="auto" w:fill="auto"/>
            <w:noWrap/>
            <w:vAlign w:val="center"/>
            <w:hideMark/>
          </w:tcPr>
          <w:p w14:paraId="36D4078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w:t>
            </w:r>
          </w:p>
        </w:tc>
        <w:tc>
          <w:tcPr>
            <w:tcW w:w="1300" w:type="dxa"/>
            <w:shd w:val="clear" w:color="auto" w:fill="auto"/>
            <w:noWrap/>
            <w:vAlign w:val="center"/>
            <w:hideMark/>
          </w:tcPr>
          <w:p w14:paraId="7F32CF43"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2.4</w:t>
            </w:r>
          </w:p>
        </w:tc>
        <w:tc>
          <w:tcPr>
            <w:tcW w:w="1300" w:type="dxa"/>
            <w:shd w:val="clear" w:color="auto" w:fill="auto"/>
            <w:noWrap/>
            <w:vAlign w:val="center"/>
            <w:hideMark/>
          </w:tcPr>
          <w:p w14:paraId="5B464722"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2.4</w:t>
            </w:r>
          </w:p>
        </w:tc>
      </w:tr>
      <w:tr w:rsidR="00FA001F" w:rsidRPr="00FA001F" w14:paraId="4BD14E15" w14:textId="77777777" w:rsidTr="00FA001F">
        <w:trPr>
          <w:trHeight w:val="320"/>
          <w:jc w:val="center"/>
        </w:trPr>
        <w:tc>
          <w:tcPr>
            <w:tcW w:w="1300" w:type="dxa"/>
            <w:shd w:val="clear" w:color="auto" w:fill="auto"/>
            <w:noWrap/>
            <w:vAlign w:val="center"/>
            <w:hideMark/>
          </w:tcPr>
          <w:p w14:paraId="20574FE3"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w:t>
            </w:r>
          </w:p>
        </w:tc>
        <w:tc>
          <w:tcPr>
            <w:tcW w:w="1300" w:type="dxa"/>
            <w:shd w:val="clear" w:color="auto" w:fill="auto"/>
            <w:noWrap/>
            <w:vAlign w:val="center"/>
            <w:hideMark/>
          </w:tcPr>
          <w:p w14:paraId="50A08B29"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2.2</w:t>
            </w:r>
          </w:p>
        </w:tc>
        <w:tc>
          <w:tcPr>
            <w:tcW w:w="1300" w:type="dxa"/>
            <w:shd w:val="clear" w:color="auto" w:fill="auto"/>
            <w:noWrap/>
            <w:vAlign w:val="center"/>
            <w:hideMark/>
          </w:tcPr>
          <w:p w14:paraId="3A07799D"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2.4</w:t>
            </w:r>
          </w:p>
        </w:tc>
      </w:tr>
      <w:tr w:rsidR="00FA001F" w:rsidRPr="00FA001F" w14:paraId="3A710C33" w14:textId="77777777" w:rsidTr="00FA001F">
        <w:trPr>
          <w:trHeight w:val="320"/>
          <w:jc w:val="center"/>
        </w:trPr>
        <w:tc>
          <w:tcPr>
            <w:tcW w:w="1300" w:type="dxa"/>
            <w:shd w:val="clear" w:color="auto" w:fill="auto"/>
            <w:noWrap/>
            <w:vAlign w:val="center"/>
            <w:hideMark/>
          </w:tcPr>
          <w:p w14:paraId="37AD517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3</w:t>
            </w:r>
          </w:p>
        </w:tc>
        <w:tc>
          <w:tcPr>
            <w:tcW w:w="1300" w:type="dxa"/>
            <w:shd w:val="clear" w:color="auto" w:fill="auto"/>
            <w:noWrap/>
            <w:vAlign w:val="center"/>
            <w:hideMark/>
          </w:tcPr>
          <w:p w14:paraId="0F1C5520"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2.2</w:t>
            </w:r>
          </w:p>
        </w:tc>
        <w:tc>
          <w:tcPr>
            <w:tcW w:w="1300" w:type="dxa"/>
            <w:shd w:val="clear" w:color="auto" w:fill="auto"/>
            <w:noWrap/>
            <w:vAlign w:val="center"/>
            <w:hideMark/>
          </w:tcPr>
          <w:p w14:paraId="4CFA53E3"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2.1</w:t>
            </w:r>
          </w:p>
        </w:tc>
      </w:tr>
      <w:tr w:rsidR="00FA001F" w:rsidRPr="00FA001F" w14:paraId="52496B53" w14:textId="77777777" w:rsidTr="00FA001F">
        <w:trPr>
          <w:trHeight w:val="320"/>
          <w:jc w:val="center"/>
        </w:trPr>
        <w:tc>
          <w:tcPr>
            <w:tcW w:w="1300" w:type="dxa"/>
            <w:shd w:val="clear" w:color="auto" w:fill="auto"/>
            <w:noWrap/>
            <w:vAlign w:val="center"/>
            <w:hideMark/>
          </w:tcPr>
          <w:p w14:paraId="1DEDC71D"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4</w:t>
            </w:r>
          </w:p>
        </w:tc>
        <w:tc>
          <w:tcPr>
            <w:tcW w:w="1300" w:type="dxa"/>
            <w:shd w:val="clear" w:color="auto" w:fill="auto"/>
            <w:noWrap/>
            <w:vAlign w:val="center"/>
            <w:hideMark/>
          </w:tcPr>
          <w:p w14:paraId="45FC5B0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1.9</w:t>
            </w:r>
          </w:p>
        </w:tc>
        <w:tc>
          <w:tcPr>
            <w:tcW w:w="1300" w:type="dxa"/>
            <w:shd w:val="clear" w:color="auto" w:fill="auto"/>
            <w:noWrap/>
            <w:vAlign w:val="center"/>
            <w:hideMark/>
          </w:tcPr>
          <w:p w14:paraId="7D3E18C6"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2.3</w:t>
            </w:r>
          </w:p>
        </w:tc>
      </w:tr>
      <w:tr w:rsidR="00FA001F" w:rsidRPr="00FA001F" w14:paraId="1A65D016" w14:textId="77777777" w:rsidTr="00FA001F">
        <w:trPr>
          <w:trHeight w:val="320"/>
          <w:jc w:val="center"/>
        </w:trPr>
        <w:tc>
          <w:tcPr>
            <w:tcW w:w="1300" w:type="dxa"/>
            <w:shd w:val="clear" w:color="auto" w:fill="auto"/>
            <w:noWrap/>
            <w:vAlign w:val="center"/>
            <w:hideMark/>
          </w:tcPr>
          <w:p w14:paraId="65A731AE"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5</w:t>
            </w:r>
          </w:p>
        </w:tc>
        <w:tc>
          <w:tcPr>
            <w:tcW w:w="1300" w:type="dxa"/>
            <w:shd w:val="clear" w:color="auto" w:fill="auto"/>
            <w:noWrap/>
            <w:vAlign w:val="center"/>
            <w:hideMark/>
          </w:tcPr>
          <w:p w14:paraId="5A29DAF1"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1.9</w:t>
            </w:r>
          </w:p>
        </w:tc>
        <w:tc>
          <w:tcPr>
            <w:tcW w:w="1300" w:type="dxa"/>
            <w:shd w:val="clear" w:color="auto" w:fill="auto"/>
            <w:noWrap/>
            <w:vAlign w:val="center"/>
            <w:hideMark/>
          </w:tcPr>
          <w:p w14:paraId="12C13DA0"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1.9</w:t>
            </w:r>
          </w:p>
        </w:tc>
      </w:tr>
      <w:tr w:rsidR="00FA001F" w:rsidRPr="00FA001F" w14:paraId="76674752" w14:textId="77777777" w:rsidTr="00FA001F">
        <w:trPr>
          <w:trHeight w:val="320"/>
          <w:jc w:val="center"/>
        </w:trPr>
        <w:tc>
          <w:tcPr>
            <w:tcW w:w="1300" w:type="dxa"/>
            <w:shd w:val="clear" w:color="auto" w:fill="auto"/>
            <w:noWrap/>
            <w:vAlign w:val="center"/>
            <w:hideMark/>
          </w:tcPr>
          <w:p w14:paraId="4EEC8EDE"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6</w:t>
            </w:r>
          </w:p>
        </w:tc>
        <w:tc>
          <w:tcPr>
            <w:tcW w:w="1300" w:type="dxa"/>
            <w:shd w:val="clear" w:color="auto" w:fill="auto"/>
            <w:noWrap/>
            <w:vAlign w:val="center"/>
            <w:hideMark/>
          </w:tcPr>
          <w:p w14:paraId="6431C14C"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1.8</w:t>
            </w:r>
          </w:p>
        </w:tc>
        <w:tc>
          <w:tcPr>
            <w:tcW w:w="1300" w:type="dxa"/>
            <w:shd w:val="clear" w:color="auto" w:fill="auto"/>
            <w:noWrap/>
            <w:vAlign w:val="center"/>
            <w:hideMark/>
          </w:tcPr>
          <w:p w14:paraId="63D17AF7"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2.0</w:t>
            </w:r>
          </w:p>
        </w:tc>
      </w:tr>
      <w:tr w:rsidR="00FA001F" w:rsidRPr="00FA001F" w14:paraId="5D69DCA0" w14:textId="77777777" w:rsidTr="00FA001F">
        <w:trPr>
          <w:trHeight w:val="320"/>
          <w:jc w:val="center"/>
        </w:trPr>
        <w:tc>
          <w:tcPr>
            <w:tcW w:w="1300" w:type="dxa"/>
            <w:shd w:val="clear" w:color="auto" w:fill="auto"/>
            <w:noWrap/>
            <w:vAlign w:val="center"/>
            <w:hideMark/>
          </w:tcPr>
          <w:p w14:paraId="7327FCB6"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7</w:t>
            </w:r>
          </w:p>
        </w:tc>
        <w:tc>
          <w:tcPr>
            <w:tcW w:w="1300" w:type="dxa"/>
            <w:shd w:val="clear" w:color="auto" w:fill="auto"/>
            <w:noWrap/>
            <w:vAlign w:val="center"/>
            <w:hideMark/>
          </w:tcPr>
          <w:p w14:paraId="6016CFEC"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1.8</w:t>
            </w:r>
          </w:p>
        </w:tc>
        <w:tc>
          <w:tcPr>
            <w:tcW w:w="1300" w:type="dxa"/>
            <w:shd w:val="clear" w:color="auto" w:fill="auto"/>
            <w:noWrap/>
            <w:vAlign w:val="center"/>
            <w:hideMark/>
          </w:tcPr>
          <w:p w14:paraId="663369AC"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1.8</w:t>
            </w:r>
          </w:p>
        </w:tc>
      </w:tr>
      <w:tr w:rsidR="00FA001F" w:rsidRPr="00FA001F" w14:paraId="1B587038" w14:textId="77777777" w:rsidTr="00FA001F">
        <w:trPr>
          <w:trHeight w:val="320"/>
          <w:jc w:val="center"/>
        </w:trPr>
        <w:tc>
          <w:tcPr>
            <w:tcW w:w="1300" w:type="dxa"/>
            <w:shd w:val="clear" w:color="auto" w:fill="auto"/>
            <w:noWrap/>
            <w:vAlign w:val="center"/>
            <w:hideMark/>
          </w:tcPr>
          <w:p w14:paraId="4141CA9B"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8</w:t>
            </w:r>
          </w:p>
        </w:tc>
        <w:tc>
          <w:tcPr>
            <w:tcW w:w="1300" w:type="dxa"/>
            <w:shd w:val="clear" w:color="auto" w:fill="auto"/>
            <w:noWrap/>
            <w:vAlign w:val="center"/>
            <w:hideMark/>
          </w:tcPr>
          <w:p w14:paraId="1406660B"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1.6</w:t>
            </w:r>
          </w:p>
        </w:tc>
        <w:tc>
          <w:tcPr>
            <w:tcW w:w="1300" w:type="dxa"/>
            <w:shd w:val="clear" w:color="auto" w:fill="auto"/>
            <w:noWrap/>
            <w:vAlign w:val="center"/>
            <w:hideMark/>
          </w:tcPr>
          <w:p w14:paraId="54855D48"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1.8</w:t>
            </w:r>
          </w:p>
        </w:tc>
      </w:tr>
      <w:tr w:rsidR="00FA001F" w:rsidRPr="00FA001F" w14:paraId="2BC410C0" w14:textId="77777777" w:rsidTr="00FA001F">
        <w:trPr>
          <w:trHeight w:val="320"/>
          <w:jc w:val="center"/>
        </w:trPr>
        <w:tc>
          <w:tcPr>
            <w:tcW w:w="1300" w:type="dxa"/>
            <w:shd w:val="clear" w:color="auto" w:fill="auto"/>
            <w:noWrap/>
            <w:vAlign w:val="center"/>
            <w:hideMark/>
          </w:tcPr>
          <w:p w14:paraId="2AD5DEC0"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9</w:t>
            </w:r>
          </w:p>
        </w:tc>
        <w:tc>
          <w:tcPr>
            <w:tcW w:w="1300" w:type="dxa"/>
            <w:shd w:val="clear" w:color="auto" w:fill="auto"/>
            <w:noWrap/>
            <w:vAlign w:val="center"/>
            <w:hideMark/>
          </w:tcPr>
          <w:p w14:paraId="69CF2D63"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1.6</w:t>
            </w:r>
          </w:p>
        </w:tc>
        <w:tc>
          <w:tcPr>
            <w:tcW w:w="1300" w:type="dxa"/>
            <w:shd w:val="clear" w:color="auto" w:fill="auto"/>
            <w:noWrap/>
            <w:vAlign w:val="center"/>
            <w:hideMark/>
          </w:tcPr>
          <w:p w14:paraId="4C0D0D4D"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1.7</w:t>
            </w:r>
          </w:p>
        </w:tc>
      </w:tr>
      <w:tr w:rsidR="00FA001F" w:rsidRPr="00FA001F" w14:paraId="19E0121B" w14:textId="77777777" w:rsidTr="00FA001F">
        <w:trPr>
          <w:trHeight w:val="320"/>
          <w:jc w:val="center"/>
        </w:trPr>
        <w:tc>
          <w:tcPr>
            <w:tcW w:w="1300" w:type="dxa"/>
            <w:shd w:val="clear" w:color="auto" w:fill="auto"/>
            <w:noWrap/>
            <w:vAlign w:val="center"/>
            <w:hideMark/>
          </w:tcPr>
          <w:p w14:paraId="1BC35E0F"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10</w:t>
            </w:r>
          </w:p>
        </w:tc>
        <w:tc>
          <w:tcPr>
            <w:tcW w:w="1300" w:type="dxa"/>
            <w:shd w:val="clear" w:color="auto" w:fill="auto"/>
            <w:noWrap/>
            <w:vAlign w:val="center"/>
            <w:hideMark/>
          </w:tcPr>
          <w:p w14:paraId="30FC23CA"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1.5</w:t>
            </w:r>
          </w:p>
        </w:tc>
        <w:tc>
          <w:tcPr>
            <w:tcW w:w="1300" w:type="dxa"/>
            <w:shd w:val="clear" w:color="auto" w:fill="auto"/>
            <w:noWrap/>
            <w:vAlign w:val="center"/>
            <w:hideMark/>
          </w:tcPr>
          <w:p w14:paraId="53F5DB04" w14:textId="77777777" w:rsidR="00FA001F" w:rsidRPr="00FA001F" w:rsidRDefault="00FA001F" w:rsidP="00FA001F">
            <w:pPr>
              <w:jc w:val="center"/>
              <w:rPr>
                <w:rFonts w:eastAsia="Times New Roman"/>
                <w:color w:val="000000"/>
                <w:sz w:val="20"/>
                <w:szCs w:val="20"/>
              </w:rPr>
            </w:pPr>
            <w:r w:rsidRPr="00FA001F">
              <w:rPr>
                <w:rFonts w:eastAsia="Times New Roman"/>
                <w:color w:val="000000"/>
                <w:sz w:val="20"/>
                <w:szCs w:val="20"/>
              </w:rPr>
              <w:t>1.8</w:t>
            </w:r>
          </w:p>
        </w:tc>
      </w:tr>
    </w:tbl>
    <w:p w14:paraId="4E8B8FDA" w14:textId="77777777" w:rsidR="00345E99" w:rsidRDefault="00345E99" w:rsidP="000B1F48">
      <w:pPr>
        <w:spacing w:after="120"/>
        <w:rPr>
          <w:sz w:val="20"/>
          <w:szCs w:val="20"/>
          <w:lang w:val="en-GB" w:eastAsia="en-GB"/>
        </w:rPr>
      </w:pPr>
    </w:p>
    <w:p w14:paraId="33A9A5D8" w14:textId="3FCA0CE7" w:rsidR="00FA001F" w:rsidRDefault="00345E99" w:rsidP="000B1F48">
      <w:pPr>
        <w:spacing w:after="120"/>
        <w:rPr>
          <w:sz w:val="20"/>
          <w:szCs w:val="20"/>
          <w:lang w:val="en-GB" w:eastAsia="en-GB"/>
        </w:rPr>
      </w:pPr>
      <w:r>
        <w:rPr>
          <w:sz w:val="20"/>
          <w:szCs w:val="20"/>
          <w:lang w:val="en-GB" w:eastAsia="en-GB"/>
        </w:rPr>
        <w:t>We propose to introduce CQI reporting requirements in ICI at SINR=-3 dB for 4RX and 0dB for 2RX.</w:t>
      </w:r>
    </w:p>
    <w:p w14:paraId="455DDE2C" w14:textId="4B59015F" w:rsidR="00345E99" w:rsidRDefault="00345E99" w:rsidP="000B1F48">
      <w:pPr>
        <w:spacing w:after="120"/>
        <w:rPr>
          <w:b/>
          <w:bCs/>
          <w:sz w:val="20"/>
          <w:szCs w:val="20"/>
          <w:lang w:val="en-GB" w:eastAsia="en-GB"/>
        </w:rPr>
      </w:pPr>
      <w:r>
        <w:rPr>
          <w:b/>
          <w:bCs/>
          <w:sz w:val="20"/>
          <w:szCs w:val="20"/>
          <w:lang w:val="en-GB" w:eastAsia="en-GB"/>
        </w:rPr>
        <w:t>Proposal #2: Introduce CQI reporting requirements in ICI for SINR=0dB for 2RX and SINR=-3dB for 4RX.</w:t>
      </w:r>
    </w:p>
    <w:p w14:paraId="30968748" w14:textId="3365D8EE" w:rsidR="00345E99" w:rsidRDefault="00345E99" w:rsidP="000B1F48">
      <w:pPr>
        <w:spacing w:after="120"/>
        <w:rPr>
          <w:sz w:val="20"/>
          <w:szCs w:val="20"/>
          <w:lang w:val="en-GB" w:eastAsia="en-GB"/>
        </w:rPr>
      </w:pPr>
      <w:r>
        <w:rPr>
          <w:sz w:val="20"/>
          <w:szCs w:val="20"/>
          <w:lang w:val="en-GB" w:eastAsia="en-GB"/>
        </w:rPr>
        <w:t xml:space="preserve">Based on the operating SINR points and accounting for implementation margin, we propose to introduce TP gain requirement of </w:t>
      </w:r>
      <w:r w:rsidR="00E42CF6">
        <w:rPr>
          <w:sz w:val="20"/>
          <w:szCs w:val="20"/>
          <w:lang w:val="en-GB" w:eastAsia="en-GB"/>
        </w:rPr>
        <w:t>2.0 for 2RX and 2.5 for 4RX.</w:t>
      </w:r>
    </w:p>
    <w:p w14:paraId="653FF33B" w14:textId="486EBA5B" w:rsidR="00E42CF6" w:rsidRPr="00E42CF6" w:rsidRDefault="00E42CF6" w:rsidP="000B1F48">
      <w:pPr>
        <w:spacing w:after="120"/>
        <w:rPr>
          <w:b/>
          <w:bCs/>
          <w:sz w:val="20"/>
          <w:szCs w:val="20"/>
          <w:lang w:val="en-GB" w:eastAsia="en-GB"/>
        </w:rPr>
      </w:pPr>
      <w:r>
        <w:rPr>
          <w:b/>
          <w:bCs/>
          <w:sz w:val="20"/>
          <w:szCs w:val="20"/>
          <w:lang w:val="en-GB" w:eastAsia="en-GB"/>
        </w:rPr>
        <w:t xml:space="preserve">Proposal #3: </w:t>
      </w:r>
      <w:r w:rsidRPr="00E42CF6">
        <w:rPr>
          <w:b/>
          <w:bCs/>
          <w:sz w:val="20"/>
          <w:szCs w:val="20"/>
          <w:lang w:eastAsia="en-GB"/>
        </w:rPr>
        <w:t xml:space="preserve">Set TP gain </w:t>
      </w:r>
      <w:r w:rsidRPr="00E42CF6">
        <w:rPr>
          <w:rFonts w:eastAsia="SimSun"/>
          <w:b/>
          <w:bCs/>
          <w:color w:val="000000" w:themeColor="text1"/>
          <w:sz w:val="20"/>
          <w:szCs w:val="20"/>
          <w:lang w:eastAsia="zh-CN"/>
        </w:rPr>
        <w:t>(γ)</w:t>
      </w:r>
      <w:r>
        <w:rPr>
          <w:rFonts w:eastAsia="SimSun"/>
          <w:color w:val="000000" w:themeColor="text1"/>
          <w:sz w:val="20"/>
          <w:szCs w:val="20"/>
          <w:lang w:eastAsia="zh-CN"/>
        </w:rPr>
        <w:t xml:space="preserve"> </w:t>
      </w:r>
      <w:r w:rsidRPr="00E42CF6">
        <w:rPr>
          <w:b/>
          <w:bCs/>
          <w:sz w:val="20"/>
          <w:szCs w:val="20"/>
          <w:lang w:eastAsia="en-GB"/>
        </w:rPr>
        <w:t>requirement as 2 for 2RX and 2.5 for 4RX</w:t>
      </w:r>
      <w:r>
        <w:rPr>
          <w:b/>
          <w:bCs/>
          <w:sz w:val="20"/>
          <w:szCs w:val="20"/>
          <w:lang w:eastAsia="en-GB"/>
        </w:rPr>
        <w:t>.</w:t>
      </w:r>
    </w:p>
    <w:p w14:paraId="0B3141EF" w14:textId="77777777" w:rsidR="009F52D7" w:rsidRPr="002F79EB" w:rsidRDefault="009F52D7" w:rsidP="009F52D7">
      <w:pPr>
        <w:pStyle w:val="Heading1"/>
        <w:rPr>
          <w:lang w:val="en-US"/>
        </w:rPr>
      </w:pPr>
      <w:r>
        <w:rPr>
          <w:lang w:val="en-US"/>
        </w:rPr>
        <w:t>3. Conclusion</w:t>
      </w:r>
    </w:p>
    <w:p w14:paraId="2A3932A8" w14:textId="44F6D210" w:rsidR="00E42CF6" w:rsidRPr="005B410D" w:rsidRDefault="00E42CF6" w:rsidP="00E42CF6">
      <w:pPr>
        <w:spacing w:after="120"/>
        <w:rPr>
          <w:sz w:val="20"/>
          <w:szCs w:val="20"/>
        </w:rPr>
      </w:pPr>
      <w:r w:rsidRPr="00B2451B">
        <w:rPr>
          <w:sz w:val="20"/>
          <w:szCs w:val="20"/>
        </w:rPr>
        <w:t>In this paper, we present our simulation results and propose test metrics for CQI reporting in ICI. Our proposals are captured below:</w:t>
      </w:r>
    </w:p>
    <w:p w14:paraId="0EB1647C" w14:textId="77777777" w:rsidR="00E42CF6" w:rsidRPr="00365B89" w:rsidRDefault="00E42CF6" w:rsidP="00E42CF6">
      <w:pPr>
        <w:spacing w:after="120"/>
        <w:rPr>
          <w:rFonts w:eastAsia="SimSun"/>
          <w:b/>
          <w:bCs/>
          <w:sz w:val="20"/>
          <w:szCs w:val="20"/>
          <w:lang w:val="en-GB" w:eastAsia="en-GB"/>
        </w:rPr>
      </w:pPr>
      <w:r>
        <w:rPr>
          <w:rFonts w:eastAsia="SimSun"/>
          <w:b/>
          <w:bCs/>
          <w:sz w:val="20"/>
          <w:szCs w:val="20"/>
          <w:lang w:val="en-GB" w:eastAsia="en-GB"/>
        </w:rPr>
        <w:t>Proposal #1: Define the test based on SINR.</w:t>
      </w:r>
    </w:p>
    <w:p w14:paraId="4668AE5B" w14:textId="77777777" w:rsidR="00E42CF6" w:rsidRDefault="00E42CF6" w:rsidP="00E42CF6">
      <w:pPr>
        <w:spacing w:after="120"/>
        <w:rPr>
          <w:b/>
          <w:bCs/>
          <w:sz w:val="20"/>
          <w:szCs w:val="20"/>
          <w:lang w:val="en-GB" w:eastAsia="en-GB"/>
        </w:rPr>
      </w:pPr>
      <w:r>
        <w:rPr>
          <w:b/>
          <w:bCs/>
          <w:sz w:val="20"/>
          <w:szCs w:val="20"/>
          <w:lang w:val="en-GB" w:eastAsia="en-GB"/>
        </w:rPr>
        <w:t>Proposal #2: Introduce CQI reporting requirements in ICI for SINR=0dB for 2RX and SINR=-3dB for 4RX.</w:t>
      </w:r>
    </w:p>
    <w:p w14:paraId="38F5B393" w14:textId="77777777" w:rsidR="00E42CF6" w:rsidRPr="00E42CF6" w:rsidRDefault="00E42CF6" w:rsidP="00E42CF6">
      <w:pPr>
        <w:spacing w:after="120"/>
        <w:rPr>
          <w:b/>
          <w:bCs/>
          <w:sz w:val="20"/>
          <w:szCs w:val="20"/>
          <w:lang w:val="en-GB" w:eastAsia="en-GB"/>
        </w:rPr>
      </w:pPr>
      <w:r>
        <w:rPr>
          <w:b/>
          <w:bCs/>
          <w:sz w:val="20"/>
          <w:szCs w:val="20"/>
          <w:lang w:val="en-GB" w:eastAsia="en-GB"/>
        </w:rPr>
        <w:t xml:space="preserve">Proposal #3: </w:t>
      </w:r>
      <w:r w:rsidRPr="00E42CF6">
        <w:rPr>
          <w:b/>
          <w:bCs/>
          <w:sz w:val="20"/>
          <w:szCs w:val="20"/>
          <w:lang w:eastAsia="en-GB"/>
        </w:rPr>
        <w:t xml:space="preserve">Set TP gain </w:t>
      </w:r>
      <w:r w:rsidRPr="00E42CF6">
        <w:rPr>
          <w:rFonts w:eastAsia="SimSun"/>
          <w:b/>
          <w:bCs/>
          <w:color w:val="000000" w:themeColor="text1"/>
          <w:sz w:val="20"/>
          <w:szCs w:val="20"/>
          <w:lang w:eastAsia="zh-CN"/>
        </w:rPr>
        <w:t>(γ)</w:t>
      </w:r>
      <w:r>
        <w:rPr>
          <w:rFonts w:eastAsia="SimSun"/>
          <w:color w:val="000000" w:themeColor="text1"/>
          <w:sz w:val="20"/>
          <w:szCs w:val="20"/>
          <w:lang w:eastAsia="zh-CN"/>
        </w:rPr>
        <w:t xml:space="preserve"> </w:t>
      </w:r>
      <w:r w:rsidRPr="00E42CF6">
        <w:rPr>
          <w:b/>
          <w:bCs/>
          <w:sz w:val="20"/>
          <w:szCs w:val="20"/>
          <w:lang w:eastAsia="en-GB"/>
        </w:rPr>
        <w:t>requirement as 2 for 2RX and 2.5 for 4RX</w:t>
      </w:r>
      <w:r>
        <w:rPr>
          <w:b/>
          <w:bCs/>
          <w:sz w:val="20"/>
          <w:szCs w:val="20"/>
          <w:lang w:eastAsia="en-GB"/>
        </w:rPr>
        <w:t>.</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6F46E457" w14:textId="7A7816C4" w:rsidR="00A175DD" w:rsidRPr="00E077C2" w:rsidRDefault="00A175DD" w:rsidP="00A175DD">
      <w:pPr>
        <w:pStyle w:val="ListParagraph"/>
        <w:numPr>
          <w:ilvl w:val="0"/>
          <w:numId w:val="2"/>
        </w:numPr>
        <w:spacing w:after="120"/>
        <w:ind w:firstLineChars="0"/>
        <w:jc w:val="both"/>
        <w:rPr>
          <w:rFonts w:ascii="Times New Roman" w:hAnsi="Times New Roman" w:cs="Times New Roman"/>
          <w:sz w:val="20"/>
          <w:szCs w:val="20"/>
        </w:rPr>
      </w:pPr>
      <w:r w:rsidRPr="00A175DD">
        <w:rPr>
          <w:rFonts w:ascii="Times New Roman" w:hAnsi="Times New Roman" w:cs="Times New Roman"/>
          <w:sz w:val="20"/>
          <w:szCs w:val="20"/>
          <w:lang w:val="en-GB"/>
        </w:rPr>
        <w:t>R4-2207243</w:t>
      </w:r>
      <w:r w:rsidRPr="00E077C2">
        <w:rPr>
          <w:rFonts w:ascii="Times New Roman" w:hAnsi="Times New Roman" w:cs="Times New Roman"/>
          <w:sz w:val="20"/>
          <w:szCs w:val="20"/>
        </w:rPr>
        <w:t xml:space="preserve">, “WF on CSI requirements for inter-cell interference MMSE-IRC”, Ericsson.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6B4E62CC"/>
    <w:multiLevelType w:val="hybridMultilevel"/>
    <w:tmpl w:val="D130B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0"/>
  </w:num>
  <w:num w:numId="2" w16cid:durableId="1198423226">
    <w:abstractNumId w:val="1"/>
  </w:num>
  <w:num w:numId="3" w16cid:durableId="1736708593">
    <w:abstractNumId w:val="3"/>
  </w:num>
  <w:num w:numId="4" w16cid:durableId="775292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B1F48"/>
    <w:rsid w:val="00121828"/>
    <w:rsid w:val="00177147"/>
    <w:rsid w:val="001B5D0A"/>
    <w:rsid w:val="001C663E"/>
    <w:rsid w:val="002870EA"/>
    <w:rsid w:val="002F4FA3"/>
    <w:rsid w:val="00345E99"/>
    <w:rsid w:val="00495598"/>
    <w:rsid w:val="004D1584"/>
    <w:rsid w:val="0057184D"/>
    <w:rsid w:val="005B410D"/>
    <w:rsid w:val="005D1B1F"/>
    <w:rsid w:val="005E0087"/>
    <w:rsid w:val="00626BDE"/>
    <w:rsid w:val="00775238"/>
    <w:rsid w:val="007A3BE1"/>
    <w:rsid w:val="007C626C"/>
    <w:rsid w:val="00924CB2"/>
    <w:rsid w:val="00932C93"/>
    <w:rsid w:val="00951300"/>
    <w:rsid w:val="00970536"/>
    <w:rsid w:val="009D596C"/>
    <w:rsid w:val="009F52D7"/>
    <w:rsid w:val="00A175DD"/>
    <w:rsid w:val="00A211CC"/>
    <w:rsid w:val="00A56A9E"/>
    <w:rsid w:val="00B8567C"/>
    <w:rsid w:val="00C94AC7"/>
    <w:rsid w:val="00CD0F63"/>
    <w:rsid w:val="00D8406E"/>
    <w:rsid w:val="00DB6943"/>
    <w:rsid w:val="00DF1ED2"/>
    <w:rsid w:val="00E42CF6"/>
    <w:rsid w:val="00E5586A"/>
    <w:rsid w:val="00E9138B"/>
    <w:rsid w:val="00EB132A"/>
    <w:rsid w:val="00F441E8"/>
    <w:rsid w:val="00FA001F"/>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FA001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49237765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2331</Characters>
  <Application>Microsoft Office Word</Application>
  <DocSecurity>0</DocSecurity>
  <Lines>291</Lines>
  <Paragraphs>186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3</cp:revision>
  <dcterms:created xsi:type="dcterms:W3CDTF">2022-04-25T04:25:00Z</dcterms:created>
  <dcterms:modified xsi:type="dcterms:W3CDTF">2022-04-25T04:25:00Z</dcterms:modified>
</cp:coreProperties>
</file>