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 xml:space="preserve">[102-e][235] </w:t>
      </w:r>
      <w:proofErr w:type="spellStart"/>
      <w:r w:rsidR="00F97021" w:rsidRPr="00F97021">
        <w:rPr>
          <w:rFonts w:ascii="Arial" w:eastAsiaTheme="minorEastAsia" w:hAnsi="Arial" w:cs="Arial"/>
          <w:color w:val="000000"/>
          <w:sz w:val="22"/>
          <w:lang w:eastAsia="zh-CN"/>
        </w:rPr>
        <w:t>NR_SmallData_INACTIVE_NWM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9" w:history="1">
              <w:r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w:t>
            </w:r>
            <w:r w:rsidRPr="0089208E">
              <w:rPr>
                <w:rFonts w:ascii="Arial" w:eastAsia="Times New Roman" w:hAnsi="Arial" w:cs="Arial"/>
                <w:sz w:val="16"/>
                <w:szCs w:val="16"/>
                <w:highlight w:val="yellow"/>
                <w:lang w:val="en-US" w:eastAsia="zh-CN"/>
              </w:rPr>
              <w:t xml:space="preserve">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w:t>
            </w:r>
            <w:r w:rsidRPr="0089208E">
              <w:rPr>
                <w:rFonts w:ascii="Arial" w:eastAsia="Times New Roman" w:hAnsi="Arial" w:cs="Arial"/>
                <w:sz w:val="16"/>
                <w:szCs w:val="16"/>
                <w:highlight w:val="yellow"/>
                <w:lang w:val="en-US" w:eastAsia="zh-CN"/>
              </w:rPr>
              <w:t xml:space="preserve">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F873B7"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1" w:history="1">
              <w:r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2E06F8" w:rsidRDefault="00F873B7" w:rsidP="002E06F8">
            <w:pPr>
              <w:spacing w:after="0"/>
              <w:rPr>
                <w:rFonts w:ascii="Arial" w:eastAsia="Times New Roman" w:hAnsi="Arial" w:cs="Arial"/>
                <w:sz w:val="16"/>
                <w:szCs w:val="16"/>
                <w:lang w:val="en-US" w:eastAsia="zh-CN"/>
              </w:rPr>
            </w:pPr>
            <w:r w:rsidRPr="00F873B7">
              <w:rPr>
                <w:rFonts w:ascii="Arial" w:eastAsia="Times New Roman" w:hAnsi="Arial" w:cs="Arial"/>
                <w:sz w:val="16"/>
                <w:szCs w:val="16"/>
                <w:lang w:val="en-US" w:eastAsia="zh-CN"/>
              </w:rPr>
              <w:t>Draft CR for TA validation for NR S</w:t>
            </w:r>
            <w:r>
              <w:rPr>
                <w:rFonts w:ascii="Arial" w:eastAsia="Times New Roman" w:hAnsi="Arial" w:cs="Arial"/>
                <w:sz w:val="16"/>
                <w:szCs w:val="16"/>
                <w:lang w:val="en-US" w:eastAsia="zh-CN"/>
              </w:rPr>
              <w:t>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2" w:history="1">
              <w:r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ml:space="preserve">, </w:t>
            </w:r>
            <w:r w:rsidR="003F294F">
              <w:rPr>
                <w:rFonts w:ascii="Arial" w:eastAsia="Times New Roman" w:hAnsi="Arial" w:cs="Arial"/>
                <w:sz w:val="16"/>
                <w:szCs w:val="16"/>
                <w:lang w:val="en-US" w:eastAsia="zh-CN"/>
              </w:rPr>
              <w:t>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DRX cycle</w:t>
            </w:r>
            <w:r w:rsidR="003F294F">
              <w:rPr>
                <w:rFonts w:ascii="Arial" w:eastAsia="Times New Roman" w:hAnsi="Arial" w:cs="Arial"/>
                <w:sz w:val="16"/>
                <w:szCs w:val="16"/>
                <w:lang w:val="en-US" w:eastAsia="zh-CN"/>
              </w:rPr>
              <w:t xml:space="preserv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w:t>
            </w:r>
            <w:r w:rsidR="00FD5CE6">
              <w:rPr>
                <w:rFonts w:ascii="Arial" w:eastAsia="Times New Roman" w:hAnsi="Arial" w:cs="Arial"/>
                <w:sz w:val="16"/>
                <w:szCs w:val="16"/>
                <w:lang w:val="en-US" w:eastAsia="zh-CN"/>
              </w:rPr>
              <w:t>,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unlimited(i.e.,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3" w:history="1">
              <w:r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20C90CB6"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490EE0">
              <w:rPr>
                <w:rFonts w:ascii="Arial" w:eastAsia="Times New Roman" w:hAnsi="Arial" w:cs="Arial"/>
                <w:sz w:val="16"/>
                <w:szCs w:val="16"/>
                <w:lang w:val="en-US" w:eastAsia="zh-CN"/>
              </w:rPr>
              <w:t>No scheduling restriction required</w:t>
            </w:r>
            <w:r>
              <w:rPr>
                <w:rFonts w:ascii="Arial" w:eastAsia="Times New Roman" w:hAnsi="Arial" w:cs="Arial"/>
                <w:sz w:val="16"/>
                <w:szCs w:val="16"/>
                <w:lang w:val="en-US" w:eastAsia="zh-CN"/>
              </w:rPr>
              <w:t>, and</w:t>
            </w:r>
            <w:r w:rsidRPr="00490EE0">
              <w:rPr>
                <w:rFonts w:ascii="Arial" w:eastAsia="Times New Roman" w:hAnsi="Arial" w:cs="Arial"/>
                <w:sz w:val="16"/>
                <w:szCs w:val="16"/>
                <w:lang w:val="en-US" w:eastAsia="zh-CN"/>
              </w:rPr>
              <w:t xml:space="preserve"> </w:t>
            </w:r>
            <w:proofErr w:type="spellStart"/>
            <w:r w:rsidRPr="00490EE0">
              <w:rPr>
                <w:rFonts w:ascii="Arial" w:eastAsia="Times New Roman" w:hAnsi="Arial" w:cs="Arial"/>
                <w:sz w:val="16"/>
                <w:szCs w:val="16"/>
                <w:lang w:val="en-US" w:eastAsia="zh-CN"/>
              </w:rPr>
              <w:t>gNB</w:t>
            </w:r>
            <w:proofErr w:type="spellEnd"/>
            <w:r w:rsidRPr="00490EE0">
              <w:rPr>
                <w:rFonts w:ascii="Arial" w:eastAsia="Times New Roman" w:hAnsi="Arial" w:cs="Arial"/>
                <w:sz w:val="16"/>
                <w:szCs w:val="16"/>
                <w:lang w:val="en-US" w:eastAsia="zh-CN"/>
              </w:rPr>
              <w:t xml:space="preserve"> should </w:t>
            </w:r>
            <w:r>
              <w:rPr>
                <w:rFonts w:ascii="Arial" w:eastAsia="Times New Roman" w:hAnsi="Arial" w:cs="Arial"/>
                <w:sz w:val="16"/>
                <w:szCs w:val="16"/>
                <w:lang w:val="en-US" w:eastAsia="zh-CN"/>
              </w:rPr>
              <w:t>guarantee</w:t>
            </w:r>
            <w:r w:rsidRPr="00490EE0">
              <w:rPr>
                <w:rFonts w:ascii="Arial" w:eastAsia="Times New Roman" w:hAnsi="Arial" w:cs="Arial"/>
                <w:sz w:val="16"/>
                <w:szCs w:val="16"/>
                <w:lang w:val="en-US" w:eastAsia="zh-CN"/>
              </w:rPr>
              <w:t xml:space="preserve"> SDT transmission not to collide with actual SSB transmission timing</w:t>
            </w:r>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4" w:history="1">
              <w:r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5" w:history="1">
              <w:r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6" w:history="1">
              <w:r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2E06F8" w:rsidRPr="002E06F8"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7" w:history="1">
              <w:r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2E06F8"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Set X1 = Y1 = 200ms for FR1, 400ms for FR2, X2 = Y2</w:t>
            </w:r>
            <w:r w:rsidRPr="00286EBA">
              <w:rPr>
                <w:rFonts w:ascii="Arial" w:eastAsia="Times New Roman" w:hAnsi="Arial" w:cs="Arial"/>
                <w:sz w:val="16"/>
                <w:szCs w:val="16"/>
                <w:lang w:val="en-US" w:eastAsia="zh-CN"/>
              </w:rPr>
              <w:t>M1* 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FR1</w:t>
            </w:r>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M1*N1*T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8" w:history="1">
              <w:r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2E06F8" w:rsidP="002E06F8">
            <w:pPr>
              <w:spacing w:after="0"/>
              <w:rPr>
                <w:rFonts w:ascii="Arial" w:eastAsia="Times New Roman" w:hAnsi="Arial" w:cs="Arial"/>
                <w:b/>
                <w:bCs/>
                <w:color w:val="0000FF"/>
                <w:sz w:val="16"/>
                <w:szCs w:val="16"/>
                <w:u w:val="single"/>
                <w:lang w:val="en-US" w:eastAsia="zh-CN"/>
              </w:rPr>
            </w:pPr>
            <w:hyperlink r:id="rId19" w:history="1">
              <w:r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0" w:history="1">
              <w:r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1" w:history="1">
              <w:r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 X1=Y1=640ms, X2=Y2=DRX cycle for FR1, and X1=Y1 = M DRX cycles, X2 = Y2 = unlimited(i.e.,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2" w:history="1">
              <w:r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3" w:history="1">
              <w:r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 xml:space="preserve">as </w:t>
            </w:r>
            <w:proofErr w:type="spellStart"/>
            <w:r w:rsidRPr="002D45DC">
              <w:rPr>
                <w:rFonts w:ascii="Arial" w:eastAsia="Times New Roman" w:hAnsi="Arial" w:cs="Arial"/>
                <w:sz w:val="16"/>
                <w:szCs w:val="16"/>
                <w:lang w:val="en-US" w:eastAsia="zh-CN"/>
              </w:rPr>
              <w:t>PagingCycle</w:t>
            </w:r>
            <w:proofErr w:type="spellEnd"/>
            <w:r w:rsidRPr="002D45DC">
              <w:rPr>
                <w:rFonts w:ascii="Arial" w:eastAsia="Times New Roman" w:hAnsi="Arial" w:cs="Arial"/>
                <w:sz w:val="16"/>
                <w:szCs w:val="16"/>
                <w:lang w:val="en-US" w:eastAsia="zh-CN"/>
              </w:rPr>
              <w:t xml:space="preserve"> in the IE </w:t>
            </w:r>
            <w:proofErr w:type="spellStart"/>
            <w:r w:rsidRPr="002D45DC">
              <w:rPr>
                <w:rFonts w:ascii="Arial" w:eastAsia="Times New Roman" w:hAnsi="Arial" w:cs="Arial"/>
                <w:sz w:val="16"/>
                <w:szCs w:val="16"/>
                <w:lang w:val="en-US" w:eastAsia="zh-CN"/>
              </w:rPr>
              <w:t>SuspendConfig</w:t>
            </w:r>
            <w:proofErr w:type="spellEnd"/>
            <w:r w:rsidRPr="002D45DC">
              <w:rPr>
                <w:rFonts w:ascii="Arial" w:eastAsia="Times New Roman" w:hAnsi="Arial" w:cs="Arial"/>
                <w:sz w:val="16"/>
                <w:szCs w:val="16"/>
                <w:lang w:val="en-US" w:eastAsia="zh-CN"/>
              </w:rPr>
              <w:t>.</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4" w:history="1">
              <w:r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5" w:history="1">
              <w:r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0"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0"/>
          <w:p w14:paraId="3D7C62DF"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Set X1 = Y1 = 200ms for FR1, 400ms for FR2, X2 = Y2</w:t>
            </w:r>
            <w:r w:rsidRPr="00286EBA">
              <w:rPr>
                <w:rFonts w:ascii="Arial" w:eastAsia="Times New Roman" w:hAnsi="Arial" w:cs="Arial"/>
                <w:sz w:val="16"/>
                <w:szCs w:val="16"/>
                <w:lang w:val="en-US" w:eastAsia="zh-CN"/>
              </w:rPr>
              <w:t>M1* 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FR1</w:t>
            </w:r>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M1*N1*T</w:t>
            </w:r>
            <w:r w:rsidRPr="00286EBA">
              <w:rPr>
                <w:rFonts w:ascii="Arial" w:eastAsia="Times New Roman" w:hAnsi="Arial" w:cs="Arial"/>
                <w:sz w:val="16"/>
                <w:szCs w:val="16"/>
                <w:vertAlign w:val="subscript"/>
                <w:lang w:val="en-US" w:eastAsia="zh-CN"/>
              </w:rPr>
              <w:t>DRX</w:t>
            </w:r>
            <w:r w:rsidRPr="00286EBA">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6" w:history="1">
              <w:r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 xml:space="preserve">max(400ms, </w:t>
            </w:r>
            <w:proofErr w:type="spellStart"/>
            <w:r w:rsidRPr="001B05D7">
              <w:rPr>
                <w:rFonts w:ascii="Arial" w:eastAsia="Times New Roman" w:hAnsi="Arial" w:cs="Arial"/>
                <w:sz w:val="16"/>
                <w:szCs w:val="16"/>
                <w:lang w:val="en-US" w:eastAsia="zh-CN"/>
              </w:rPr>
              <w:t>M</w:t>
            </w:r>
            <w:r w:rsidRPr="001B05D7">
              <w:rPr>
                <w:rFonts w:ascii="Arial" w:eastAsia="Times New Roman" w:hAnsi="Arial" w:cs="Arial"/>
                <w:sz w:val="16"/>
                <w:szCs w:val="16"/>
                <w:vertAlign w:val="subscript"/>
                <w:lang w:val="en-US" w:eastAsia="zh-CN"/>
              </w:rPr>
              <w:t>meas_period_w</w:t>
            </w:r>
            <w:proofErr w:type="spellEnd"/>
            <w:r w:rsidRPr="001B05D7">
              <w:rPr>
                <w:rFonts w:ascii="Arial" w:eastAsia="Times New Roman" w:hAnsi="Arial" w:cs="Arial"/>
                <w:sz w:val="16"/>
                <w:szCs w:val="16"/>
                <w:vertAlign w:val="subscript"/>
                <w:lang w:val="en-US" w:eastAsia="zh-CN"/>
              </w:rPr>
              <w:t>/</w:t>
            </w:r>
            <w:proofErr w:type="spellStart"/>
            <w:r w:rsidRPr="001B05D7">
              <w:rPr>
                <w:rFonts w:ascii="Arial" w:eastAsia="Times New Roman" w:hAnsi="Arial" w:cs="Arial"/>
                <w:sz w:val="16"/>
                <w:szCs w:val="16"/>
                <w:vertAlign w:val="subscript"/>
                <w:lang w:val="en-US" w:eastAsia="zh-CN"/>
              </w:rPr>
              <w:t>o_gaps</w:t>
            </w:r>
            <w:proofErr w:type="spellEnd"/>
            <w:r w:rsidRPr="001B05D7">
              <w:rPr>
                <w:rFonts w:ascii="Arial" w:eastAsia="Times New Roman" w:hAnsi="Arial" w:cs="Arial"/>
                <w:sz w:val="16"/>
                <w:szCs w:val="16"/>
                <w:vertAlign w:val="subscript"/>
                <w:lang w:val="en-US" w:eastAsia="zh-CN"/>
              </w:rPr>
              <w:t xml:space="preserve">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 xml:space="preserve">The first window: </w:t>
      </w:r>
      <w:r w:rsidRPr="00870995">
        <w:rPr>
          <w:i/>
          <w:iCs/>
          <w:color w:val="0070C0"/>
          <w:lang w:val="en-US"/>
        </w:rPr>
        <w:t>T</w:t>
      </w:r>
      <w:r w:rsidRPr="00870995">
        <w:rPr>
          <w:i/>
          <w:iCs/>
          <w:color w:val="0070C0"/>
          <w:vertAlign w:val="subscript"/>
          <w:lang w:val="en-US"/>
        </w:rPr>
        <w:t>1</w:t>
      </w:r>
      <w:r w:rsidRPr="00870995">
        <w:rPr>
          <w:i/>
          <w:iCs/>
          <w:color w:val="0070C0"/>
          <w:lang w:val="en-US"/>
        </w:rPr>
        <w:t xml:space="preserve"> – min (X1 ,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e already agreed that T2 stays the same definition as LTE, and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149D9A7"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X1=X2, and Y1=Y2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1-2</w:t>
      </w:r>
      <w:r>
        <w:rPr>
          <w:b/>
          <w:color w:val="0070C0"/>
          <w:u w:val="single"/>
          <w:lang w:eastAsia="ko-KR"/>
        </w:rPr>
        <w:t xml:space="preserve"> </w:t>
      </w:r>
      <w:r>
        <w:rPr>
          <w:b/>
          <w:color w:val="0070C0"/>
          <w:u w:val="single"/>
          <w:lang w:eastAsia="ko-KR"/>
        </w:rPr>
        <w:t xml:space="preserve">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Yes)</w:t>
      </w:r>
      <w:r w:rsidRPr="00805BE8">
        <w:rPr>
          <w:b/>
          <w:color w:val="0070C0"/>
          <w:u w:val="single"/>
          <w:lang w:eastAsia="ko-KR"/>
        </w:rPr>
        <w:t xml:space="preserve"> </w:t>
      </w:r>
      <w:r w:rsidR="00D40CC0">
        <w:rPr>
          <w:b/>
          <w:color w:val="0070C0"/>
          <w:u w:val="single"/>
          <w:lang w:eastAsia="ko-KR"/>
        </w:rPr>
        <w:t xml:space="preserve"> for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 xml:space="preserve">480+ </w:t>
      </w:r>
      <w:proofErr w:type="spellStart"/>
      <w:r w:rsidRPr="00F362D6">
        <w:rPr>
          <w:rFonts w:eastAsia="SimSun"/>
          <w:color w:val="0070C0"/>
          <w:szCs w:val="24"/>
          <w:lang w:eastAsia="zh-CN"/>
        </w:rPr>
        <w:t>ms</w:t>
      </w:r>
      <w:proofErr w:type="spellEnd"/>
      <w:r w:rsidRPr="00F362D6">
        <w:rPr>
          <w:rFonts w:eastAsia="SimSun"/>
          <w:color w:val="0070C0"/>
          <w:szCs w:val="24"/>
          <w:lang w:eastAsia="zh-CN"/>
        </w:rPr>
        <w:t xml:space="preserve">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max(200ms,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Yes)</w:t>
      </w:r>
      <w:r w:rsidRPr="00805BE8">
        <w:rPr>
          <w:b/>
          <w:color w:val="0070C0"/>
          <w:u w:val="single"/>
          <w:lang w:eastAsia="ko-KR"/>
        </w:rPr>
        <w:t xml:space="preserve"> </w:t>
      </w:r>
      <w:r>
        <w:rPr>
          <w:b/>
          <w:color w:val="0070C0"/>
          <w:u w:val="single"/>
          <w:lang w:eastAsia="ko-KR"/>
        </w:rPr>
        <w:t xml:space="preserve"> for FR</w:t>
      </w:r>
      <w:r>
        <w:rPr>
          <w:b/>
          <w:color w:val="0070C0"/>
          <w:u w:val="single"/>
          <w:lang w:eastAsia="ko-KR"/>
        </w:rPr>
        <w:t>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 xml:space="preserve">max(400ms, </w:t>
      </w:r>
      <w:proofErr w:type="spellStart"/>
      <w:r w:rsidRPr="00F362D6">
        <w:rPr>
          <w:rFonts w:eastAsia="SimSun"/>
          <w:color w:val="0070C0"/>
          <w:szCs w:val="24"/>
          <w:lang w:eastAsia="zh-CN"/>
        </w:rPr>
        <w:t>Mmeas_period_w</w:t>
      </w:r>
      <w:proofErr w:type="spellEnd"/>
      <w:r w:rsidRPr="00F362D6">
        <w:rPr>
          <w:rFonts w:eastAsia="SimSun"/>
          <w:color w:val="0070C0"/>
          <w:szCs w:val="24"/>
          <w:lang w:eastAsia="zh-CN"/>
        </w:rPr>
        <w:t>/</w:t>
      </w:r>
      <w:proofErr w:type="spellStart"/>
      <w:r w:rsidRPr="00F362D6">
        <w:rPr>
          <w:rFonts w:eastAsia="SimSun"/>
          <w:color w:val="0070C0"/>
          <w:szCs w:val="24"/>
          <w:lang w:eastAsia="zh-CN"/>
        </w:rPr>
        <w:t>o_gaps</w:t>
      </w:r>
      <w:proofErr w:type="spellEnd"/>
      <w:r w:rsidRPr="00F362D6">
        <w:rPr>
          <w:rFonts w:eastAsia="SimSun"/>
          <w:color w:val="0070C0"/>
          <w:szCs w:val="24"/>
          <w:lang w:eastAsia="zh-CN"/>
        </w:rPr>
        <w:t xml:space="preserve">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113A834" w14:textId="6536D7C7" w:rsidR="007C258B" w:rsidRDefault="007C258B"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4833DC87"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r w:rsidR="007D47EB">
        <w:rPr>
          <w:b/>
          <w:color w:val="0070C0"/>
          <w:u w:val="single"/>
          <w:lang w:eastAsia="ko-KR"/>
        </w:rPr>
        <w:t>4</w:t>
      </w:r>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539C8E83" w:rsidR="00D52E1B" w:rsidRPr="003A0220" w:rsidRDefault="00D52E1B"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3204143A"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w:t>
      </w:r>
      <w:r>
        <w:rPr>
          <w:b/>
          <w:color w:val="0070C0"/>
          <w:u w:val="single"/>
          <w:lang w:eastAsia="ko-KR"/>
        </w:rPr>
        <w:t>5</w:t>
      </w:r>
      <w:r>
        <w:rPr>
          <w:b/>
          <w:color w:val="0070C0"/>
          <w:u w:val="single"/>
          <w:lang w:eastAsia="ko-KR"/>
        </w:rPr>
        <w:t xml:space="preserve"> Which of the option for X2/Y2 (assuming the answer to Issue 1-1-1 is Yes)</w:t>
      </w:r>
      <w:r w:rsidRPr="00805BE8">
        <w:rPr>
          <w:b/>
          <w:color w:val="0070C0"/>
          <w:u w:val="single"/>
          <w:lang w:eastAsia="ko-KR"/>
        </w:rPr>
        <w:t xml:space="preserve"> </w:t>
      </w:r>
      <w:r>
        <w:rPr>
          <w:b/>
          <w:color w:val="0070C0"/>
          <w:u w:val="single"/>
          <w:lang w:eastAsia="ko-KR"/>
        </w:rPr>
        <w:t>for FR</w:t>
      </w:r>
      <w:r>
        <w:rPr>
          <w:b/>
          <w:color w:val="0070C0"/>
          <w:u w:val="single"/>
          <w:lang w:eastAsia="ko-KR"/>
        </w:rPr>
        <w:t>2</w:t>
      </w:r>
      <w:r>
        <w:rPr>
          <w:b/>
          <w:color w:val="0070C0"/>
          <w:u w:val="single"/>
          <w:lang w:eastAsia="ko-KR"/>
        </w:rPr>
        <w:t>:</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3AB9D924" w:rsidR="000A3D73" w:rsidRPr="003A0220" w:rsidRDefault="000A3D73"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1b: 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w:t>
      </w:r>
      <w:proofErr w:type="spellStart"/>
      <w:r>
        <w:rPr>
          <w:rFonts w:eastAsia="SimSun"/>
          <w:color w:val="0070C0"/>
          <w:szCs w:val="24"/>
          <w:lang w:eastAsia="zh-CN"/>
        </w:rPr>
        <w:t>PagingCycle</w:t>
      </w:r>
      <w:proofErr w:type="spellEnd"/>
      <w:r>
        <w:rPr>
          <w:rFonts w:eastAsia="SimSun"/>
          <w:color w:val="0070C0"/>
          <w:szCs w:val="24"/>
          <w:lang w:eastAsia="zh-CN"/>
        </w:rPr>
        <w:t xml:space="preserve"> in the IE </w:t>
      </w:r>
      <w:proofErr w:type="spellStart"/>
      <w:r>
        <w:rPr>
          <w:rFonts w:eastAsia="SimSun"/>
          <w:color w:val="0070C0"/>
          <w:szCs w:val="24"/>
          <w:lang w:eastAsia="zh-CN"/>
        </w:rPr>
        <w:t>SuspendConfig</w:t>
      </w:r>
      <w:proofErr w:type="spellEnd"/>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Pr>
          <w:i/>
          <w:color w:val="0070C0"/>
          <w:lang w:val="en-US" w:eastAsia="zh-CN"/>
        </w:rPr>
        <w:t>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t xml:space="preserve">Issue </w:t>
      </w:r>
      <w:r>
        <w:rPr>
          <w:b/>
          <w:color w:val="0070C0"/>
          <w:u w:val="single"/>
          <w:lang w:eastAsia="ko-KR"/>
        </w:rPr>
        <w:t>2-1</w:t>
      </w:r>
      <w:r>
        <w:rPr>
          <w:b/>
          <w:color w:val="0070C0"/>
          <w:u w:val="single"/>
          <w:lang w:eastAsia="ko-KR"/>
        </w:rPr>
        <w:t xml:space="preserve"> </w:t>
      </w:r>
      <w:r>
        <w:rPr>
          <w:b/>
          <w:color w:val="0070C0"/>
          <w:u w:val="single"/>
          <w:lang w:eastAsia="ko-KR"/>
        </w:rPr>
        <w:t>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1E72F49B" w:rsidR="00A54F9F" w:rsidRPr="00BE337E" w:rsidRDefault="00BE337E" w:rsidP="00BE337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lastRenderedPageBreak/>
        <w:t xml:space="preserve">Topic #2: </w:t>
      </w:r>
      <w:r w:rsidR="00935DD5" w:rsidRPr="00935DD5">
        <w:rPr>
          <w:lang w:val="en-US" w:eastAsia="ja-JP"/>
        </w:rPr>
        <w:t>Inter-</w:t>
      </w:r>
      <w:proofErr w:type="spellStart"/>
      <w:r w:rsidR="00935DD5" w:rsidRPr="00935DD5">
        <w:rPr>
          <w:lang w:val="en-US" w:eastAsia="ja-JP"/>
        </w:rPr>
        <w:t>freq</w:t>
      </w:r>
      <w:proofErr w:type="spellEnd"/>
      <w:r w:rsidR="00935DD5" w:rsidRPr="00935DD5">
        <w:rPr>
          <w:lang w:val="en-US" w:eastAsia="ja-JP"/>
        </w:rPr>
        <w:t xml:space="preserve">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7" w:history="1">
              <w:r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w:t>
            </w:r>
            <w:proofErr w:type="spellStart"/>
            <w:r>
              <w:rPr>
                <w:rFonts w:ascii="Arial" w:eastAsia="Times New Roman" w:hAnsi="Arial" w:cs="Arial"/>
                <w:sz w:val="16"/>
                <w:szCs w:val="16"/>
                <w:lang w:val="en-US" w:eastAsia="zh-CN"/>
              </w:rPr>
              <w:t>freq</w:t>
            </w:r>
            <w:proofErr w:type="spellEnd"/>
            <w:r>
              <w:rPr>
                <w:rFonts w:ascii="Arial" w:eastAsia="Times New Roman" w:hAnsi="Arial" w:cs="Arial"/>
                <w:sz w:val="16"/>
                <w:szCs w:val="16"/>
                <w:lang w:val="en-US" w:eastAsia="zh-CN"/>
              </w:rPr>
              <w:t xml:space="preserve">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8" w:history="1">
              <w:r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321FC35B"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490EE0">
              <w:rPr>
                <w:rFonts w:ascii="Arial" w:eastAsia="Times New Roman" w:hAnsi="Arial" w:cs="Arial"/>
                <w:sz w:val="16"/>
                <w:szCs w:val="16"/>
                <w:lang w:val="en-US" w:eastAsia="zh-CN"/>
              </w:rPr>
              <w:t>No scheduling restriction required</w:t>
            </w:r>
            <w:r>
              <w:rPr>
                <w:rFonts w:ascii="Arial" w:eastAsia="Times New Roman" w:hAnsi="Arial" w:cs="Arial"/>
                <w:sz w:val="16"/>
                <w:szCs w:val="16"/>
                <w:lang w:val="en-US" w:eastAsia="zh-CN"/>
              </w:rPr>
              <w:t>, and</w:t>
            </w:r>
            <w:r w:rsidRPr="00490EE0">
              <w:rPr>
                <w:rFonts w:ascii="Arial" w:eastAsia="Times New Roman" w:hAnsi="Arial" w:cs="Arial"/>
                <w:sz w:val="16"/>
                <w:szCs w:val="16"/>
                <w:lang w:val="en-US" w:eastAsia="zh-CN"/>
              </w:rPr>
              <w:t xml:space="preserve"> </w:t>
            </w:r>
            <w:proofErr w:type="spellStart"/>
            <w:r w:rsidRPr="002B3D7D">
              <w:rPr>
                <w:rFonts w:ascii="Arial" w:eastAsia="Times New Roman" w:hAnsi="Arial" w:cs="Arial"/>
                <w:sz w:val="16"/>
                <w:szCs w:val="16"/>
                <w:highlight w:val="yellow"/>
                <w:lang w:val="en-US" w:eastAsia="zh-CN"/>
              </w:rPr>
              <w:t>gNB</w:t>
            </w:r>
            <w:proofErr w:type="spellEnd"/>
            <w:r w:rsidRPr="002B3D7D">
              <w:rPr>
                <w:rFonts w:ascii="Arial" w:eastAsia="Times New Roman" w:hAnsi="Arial" w:cs="Arial"/>
                <w:sz w:val="16"/>
                <w:szCs w:val="16"/>
                <w:highlight w:val="yellow"/>
                <w:lang w:val="en-US" w:eastAsia="zh-CN"/>
              </w:rPr>
              <w:t xml:space="preserve"> should guarantee SDT transmission not to collide with actual SSB transmission timing</w:t>
            </w:r>
            <w:r w:rsidR="002B3D7D">
              <w:rPr>
                <w:rFonts w:ascii="Arial" w:eastAsia="Times New Roman" w:hAnsi="Arial" w:cs="Arial"/>
                <w:sz w:val="16"/>
                <w:szCs w:val="16"/>
                <w:lang w:val="en-US" w:eastAsia="zh-CN"/>
              </w:rPr>
              <w:t xml:space="preserve"> </w:t>
            </w:r>
            <w:r w:rsidR="002B3D7D" w:rsidRPr="002B3D7D">
              <w:rPr>
                <w:rFonts w:ascii="Arial" w:eastAsia="Times New Roman" w:hAnsi="Arial" w:cs="Arial"/>
                <w:sz w:val="16"/>
                <w:szCs w:val="16"/>
                <w:highlight w:val="yellow"/>
                <w:lang w:val="en-US" w:eastAsia="zh-CN"/>
              </w:rPr>
              <w:t>(Moderator: Does it actually mean some kind of scheduling restriction?)</w:t>
            </w:r>
          </w:p>
          <w:p w14:paraId="0B42D48D" w14:textId="7CD91D5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29" w:history="1">
              <w:r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30" w:history="1">
              <w:r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 xml:space="preserve">The UE is not required to meet the inter-frequency and inter-RAT </w:t>
            </w:r>
            <w:proofErr w:type="spellStart"/>
            <w:r w:rsidRPr="00286EBA">
              <w:rPr>
                <w:rFonts w:ascii="Arial" w:eastAsia="Times New Roman" w:hAnsi="Arial" w:cs="Arial"/>
                <w:sz w:val="16"/>
                <w:szCs w:val="16"/>
                <w:lang w:val="en-US" w:eastAsia="zh-CN"/>
              </w:rPr>
              <w:t>neighbour</w:t>
            </w:r>
            <w:proofErr w:type="spellEnd"/>
            <w:r w:rsidRPr="00286EBA">
              <w:rPr>
                <w:rFonts w:ascii="Arial" w:eastAsia="Times New Roman" w:hAnsi="Arial" w:cs="Arial"/>
                <w:sz w:val="16"/>
                <w:szCs w:val="16"/>
                <w:lang w:val="en-US" w:eastAsia="zh-CN"/>
              </w:rPr>
              <w:t xml:space="preserve">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1"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1"/>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31" w:history="1">
              <w:r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2"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2"/>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r w:rsidR="000066FC">
        <w:rPr>
          <w:i/>
          <w:color w:val="0070C0"/>
          <w:lang w:val="en-US" w:eastAsia="zh-CN"/>
        </w:rPr>
        <w:t xml:space="preserve">whether or not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CD49C3">
        <w:rPr>
          <w:b/>
          <w:color w:val="0070C0"/>
          <w:u w:val="single"/>
          <w:lang w:eastAsia="ko-KR"/>
        </w:rPr>
        <w:t xml:space="preserve">Whether or not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4488E629"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submitted to this meeting)</w:t>
      </w:r>
      <w:r w:rsidR="004C602C">
        <w:rPr>
          <w:rFonts w:eastAsia="SimSun"/>
          <w:color w:val="0070C0"/>
          <w:szCs w:val="24"/>
          <w:lang w:eastAsia="zh-CN"/>
        </w:rPr>
        <w:t>?</w:t>
      </w:r>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in order to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in order to avoid collision between the subsequent SDT transmission and </w:t>
      </w:r>
      <w:r>
        <w:rPr>
          <w:b/>
          <w:color w:val="0070C0"/>
          <w:u w:val="single"/>
          <w:lang w:eastAsia="ko-KR"/>
        </w:rPr>
        <w:t>PO</w:t>
      </w:r>
      <w:r>
        <w:rPr>
          <w:b/>
          <w:color w:val="0070C0"/>
          <w:u w:val="single"/>
          <w:lang w:eastAsia="ko-KR"/>
        </w:rPr>
        <w:t xml:space="preserve">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w:t>
      </w:r>
      <w:r w:rsidR="00707F31">
        <w:rPr>
          <w:b/>
          <w:color w:val="0070C0"/>
          <w:u w:val="single"/>
          <w:lang w:eastAsia="ko-KR"/>
        </w:rPr>
        <w:t>Whether or not</w:t>
      </w:r>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r w:rsidRPr="00A9315F">
        <w:rPr>
          <w:lang w:val="en-US"/>
        </w:rPr>
        <w:lastRenderedPageBreak/>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lastRenderedPageBreak/>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32" w:history="1">
              <w:r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1B6133" w:rsidP="00971A0E">
            <w:pPr>
              <w:spacing w:after="0"/>
              <w:rPr>
                <w:rFonts w:ascii="Arial" w:eastAsia="Times New Roman" w:hAnsi="Arial" w:cs="Arial"/>
                <w:b/>
                <w:bCs/>
                <w:color w:val="0000FF"/>
                <w:sz w:val="16"/>
                <w:szCs w:val="16"/>
                <w:u w:val="single"/>
                <w:lang w:val="en-US" w:eastAsia="zh-CN"/>
              </w:rPr>
            </w:pPr>
            <w:hyperlink r:id="rId33" w:history="1">
              <w:r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on whether or not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66B030E"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 xml:space="preserve">-1: </w:t>
      </w:r>
      <w:r w:rsidR="00D56BAA">
        <w:rPr>
          <w:b/>
          <w:color w:val="0070C0"/>
          <w:u w:val="single"/>
          <w:lang w:eastAsia="ko-KR"/>
        </w:rPr>
        <w:t>Whether or not to introduce additional UE sync requirements for CG-SDT?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53024AE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0947007" w14:textId="1A00FB2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r w:rsidRPr="00A9315F">
        <w:rPr>
          <w:lang w:val="en-US"/>
        </w:rPr>
        <w:lastRenderedPageBreak/>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r>
        <w:rPr>
          <w:lang w:eastAsia="ja-JP"/>
        </w:rPr>
        <w:t>Topic</w:t>
      </w:r>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proofErr w:type="spellStart"/>
            <w:r w:rsidRPr="002E06F8">
              <w:rPr>
                <w:rFonts w:ascii="Arial" w:eastAsia="Times New Roman" w:hAnsi="Arial" w:cs="Arial"/>
                <w:b/>
                <w:bCs/>
                <w:color w:val="FFFFFF"/>
                <w:sz w:val="18"/>
                <w:szCs w:val="18"/>
                <w:lang w:val="en-US" w:eastAsia="zh-CN"/>
              </w:rPr>
              <w:t>TDoc</w:t>
            </w:r>
            <w:proofErr w:type="spellEnd"/>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873B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0B3DBB" w:rsidP="00971A0E">
            <w:pPr>
              <w:spacing w:after="0"/>
              <w:rPr>
                <w:rFonts w:ascii="Arial" w:eastAsia="Times New Roman" w:hAnsi="Arial" w:cs="Arial"/>
                <w:b/>
                <w:bCs/>
                <w:color w:val="0000FF"/>
                <w:sz w:val="16"/>
                <w:szCs w:val="16"/>
                <w:u w:val="single"/>
                <w:lang w:val="en-US" w:eastAsia="zh-CN"/>
              </w:rPr>
            </w:pPr>
            <w:hyperlink r:id="rId35" w:history="1">
              <w:r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2E06F8" w:rsidRDefault="000B3DBB" w:rsidP="00971A0E">
            <w:pPr>
              <w:spacing w:after="0"/>
              <w:rPr>
                <w:rFonts w:ascii="Arial" w:eastAsia="Times New Roman" w:hAnsi="Arial" w:cs="Arial"/>
                <w:sz w:val="16"/>
                <w:szCs w:val="16"/>
                <w:lang w:val="en-US" w:eastAsia="zh-CN"/>
              </w:rPr>
            </w:pPr>
            <w:r w:rsidRPr="00F873B7">
              <w:rPr>
                <w:rFonts w:ascii="Arial" w:eastAsia="Times New Roman" w:hAnsi="Arial" w:cs="Arial"/>
                <w:sz w:val="16"/>
                <w:szCs w:val="16"/>
                <w:lang w:val="en-US" w:eastAsia="zh-CN"/>
              </w:rPr>
              <w:t>Draft CR for TA validation for NR S</w:t>
            </w:r>
            <w:r>
              <w:rPr>
                <w:rFonts w:ascii="Arial" w:eastAsia="Times New Roman" w:hAnsi="Arial" w:cs="Arial"/>
                <w:sz w:val="16"/>
                <w:szCs w:val="16"/>
                <w:lang w:val="en-US" w:eastAsia="zh-CN"/>
              </w:rPr>
              <w:t>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0B3DBB" w:rsidP="00971A0E">
            <w:pPr>
              <w:spacing w:after="0"/>
              <w:rPr>
                <w:rFonts w:ascii="Arial" w:eastAsia="Times New Roman" w:hAnsi="Arial" w:cs="Arial"/>
                <w:b/>
                <w:bCs/>
                <w:color w:val="0000FF"/>
                <w:sz w:val="16"/>
                <w:szCs w:val="16"/>
                <w:u w:val="single"/>
                <w:lang w:val="en-US" w:eastAsia="zh-CN"/>
              </w:rPr>
            </w:pPr>
            <w:hyperlink r:id="rId36" w:history="1">
              <w:r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w:t>
            </w:r>
            <w:proofErr w:type="spellStart"/>
            <w:r w:rsidRPr="00281043">
              <w:rPr>
                <w:rFonts w:ascii="Arial" w:eastAsia="Times New Roman" w:hAnsi="Arial" w:cs="Arial"/>
                <w:sz w:val="16"/>
                <w:szCs w:val="16"/>
                <w:highlight w:val="cyan"/>
                <w:lang w:val="en-US" w:eastAsia="zh-CN"/>
              </w:rPr>
              <w:t>freq</w:t>
            </w:r>
            <w:proofErr w:type="spellEnd"/>
            <w:r w:rsidRPr="00281043">
              <w:rPr>
                <w:rFonts w:ascii="Arial" w:eastAsia="Times New Roman" w:hAnsi="Arial" w:cs="Arial"/>
                <w:sz w:val="16"/>
                <w:szCs w:val="16"/>
                <w:highlight w:val="cyan"/>
                <w:lang w:val="en-US" w:eastAsia="zh-CN"/>
              </w:rPr>
              <w:t xml:space="preserve">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0B3DBB" w:rsidP="00971A0E">
            <w:pPr>
              <w:spacing w:after="0"/>
              <w:rPr>
                <w:rFonts w:ascii="Arial" w:eastAsia="Times New Roman" w:hAnsi="Arial" w:cs="Arial"/>
                <w:b/>
                <w:bCs/>
                <w:color w:val="0000FF"/>
                <w:sz w:val="16"/>
                <w:szCs w:val="16"/>
                <w:u w:val="single"/>
                <w:lang w:val="en-US" w:eastAsia="zh-CN"/>
              </w:rPr>
            </w:pPr>
            <w:hyperlink r:id="rId37" w:history="1">
              <w:r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D96AF3" w:rsidP="00D96AF3">
            <w:pPr>
              <w:spacing w:after="120"/>
              <w:rPr>
                <w:rFonts w:eastAsiaTheme="minorEastAsia"/>
                <w:color w:val="0070C0"/>
                <w:lang w:val="en-US" w:eastAsia="zh-CN"/>
              </w:rPr>
            </w:pPr>
            <w:hyperlink r:id="rId38" w:history="1">
              <w:r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D96AF3" w:rsidP="00D96AF3">
            <w:pPr>
              <w:spacing w:after="120"/>
              <w:rPr>
                <w:rFonts w:eastAsiaTheme="minorEastAsia"/>
                <w:color w:val="0070C0"/>
                <w:lang w:val="en-US" w:eastAsia="zh-CN"/>
              </w:rPr>
            </w:pPr>
            <w:hyperlink r:id="rId39" w:history="1">
              <w:r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D96AF3" w:rsidP="00D96AF3">
            <w:pPr>
              <w:spacing w:after="120"/>
              <w:rPr>
                <w:rFonts w:eastAsiaTheme="minorEastAsia"/>
                <w:color w:val="0070C0"/>
                <w:lang w:eastAsia="zh-CN"/>
              </w:rPr>
            </w:pPr>
            <w:hyperlink r:id="rId40" w:history="1">
              <w:r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1" w:history="1">
              <w:r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2" w:history="1">
              <w:r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3" w:history="1">
              <w:r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D96AF3" w:rsidP="00D96AF3">
            <w:pPr>
              <w:spacing w:after="120"/>
              <w:rPr>
                <w:rFonts w:ascii="Arial" w:eastAsia="Times New Roman" w:hAnsi="Arial" w:cs="Arial"/>
                <w:color w:val="000000"/>
                <w:sz w:val="16"/>
                <w:szCs w:val="16"/>
                <w:lang w:val="en-US" w:eastAsia="zh-CN"/>
              </w:rPr>
            </w:pPr>
            <w:hyperlink r:id="rId44" w:history="1">
              <w:r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 xml:space="preserve">Huawei, </w:t>
            </w:r>
            <w:proofErr w:type="spellStart"/>
            <w:r w:rsidRPr="002E06F8">
              <w:rPr>
                <w:rFonts w:ascii="Arial" w:eastAsia="Times New Roman" w:hAnsi="Arial" w:cs="Arial"/>
                <w:sz w:val="16"/>
                <w:szCs w:val="16"/>
                <w:lang w:val="en-US" w:eastAsia="zh-CN"/>
              </w:rPr>
              <w:t>HiSilicon</w:t>
            </w:r>
            <w:proofErr w:type="spellEnd"/>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5" w:history="1">
              <w:r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6" w:history="1">
              <w:r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D96AF3" w:rsidP="00D96AF3">
            <w:pPr>
              <w:spacing w:after="120"/>
              <w:rPr>
                <w:rFonts w:ascii="Arial" w:eastAsia="Times New Roman" w:hAnsi="Arial" w:cs="Arial"/>
                <w:b/>
                <w:bCs/>
                <w:color w:val="0000FF"/>
                <w:sz w:val="16"/>
                <w:szCs w:val="16"/>
                <w:u w:val="single"/>
                <w:lang w:val="en-US" w:eastAsia="zh-CN"/>
              </w:rPr>
            </w:pPr>
            <w:hyperlink r:id="rId47" w:history="1">
              <w:r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DFFD" w14:textId="77777777" w:rsidR="00A41A9D" w:rsidRDefault="00A41A9D">
      <w:r>
        <w:separator/>
      </w:r>
    </w:p>
  </w:endnote>
  <w:endnote w:type="continuationSeparator" w:id="0">
    <w:p w14:paraId="3F076DD5" w14:textId="77777777" w:rsidR="00A41A9D" w:rsidRDefault="00A4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36D9" w14:textId="77777777" w:rsidR="00A41A9D" w:rsidRDefault="00A41A9D">
      <w:r>
        <w:separator/>
      </w:r>
    </w:p>
  </w:footnote>
  <w:footnote w:type="continuationSeparator" w:id="0">
    <w:p w14:paraId="6B17D55B" w14:textId="77777777" w:rsidR="00A41A9D" w:rsidRDefault="00A4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E37"/>
    <w:rsid w:val="00393042"/>
    <w:rsid w:val="00394AD5"/>
    <w:rsid w:val="0039642D"/>
    <w:rsid w:val="0039719A"/>
    <w:rsid w:val="003A0220"/>
    <w:rsid w:val="003A2E40"/>
    <w:rsid w:val="003A4F1C"/>
    <w:rsid w:val="003B0158"/>
    <w:rsid w:val="003B40B6"/>
    <w:rsid w:val="003B56DB"/>
    <w:rsid w:val="003B5DB9"/>
    <w:rsid w:val="003B755E"/>
    <w:rsid w:val="003C228E"/>
    <w:rsid w:val="003C51E7"/>
    <w:rsid w:val="003C6893"/>
    <w:rsid w:val="003C6DE2"/>
    <w:rsid w:val="003D1EFD"/>
    <w:rsid w:val="003D28BF"/>
    <w:rsid w:val="003D30E6"/>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D266F"/>
    <w:rsid w:val="006D2932"/>
    <w:rsid w:val="006D3671"/>
    <w:rsid w:val="006D4176"/>
    <w:rsid w:val="006D527D"/>
    <w:rsid w:val="006E0A73"/>
    <w:rsid w:val="006E0FEE"/>
    <w:rsid w:val="006E2943"/>
    <w:rsid w:val="006E32D4"/>
    <w:rsid w:val="006E5750"/>
    <w:rsid w:val="006E6C11"/>
    <w:rsid w:val="006F7C0C"/>
    <w:rsid w:val="006F7FAD"/>
    <w:rsid w:val="00700755"/>
    <w:rsid w:val="0070365E"/>
    <w:rsid w:val="007048DF"/>
    <w:rsid w:val="0070646B"/>
    <w:rsid w:val="00706C49"/>
    <w:rsid w:val="00707F31"/>
    <w:rsid w:val="007107D0"/>
    <w:rsid w:val="00710E7F"/>
    <w:rsid w:val="007130A2"/>
    <w:rsid w:val="00715463"/>
    <w:rsid w:val="007179A9"/>
    <w:rsid w:val="00725FB6"/>
    <w:rsid w:val="00730655"/>
    <w:rsid w:val="00731D77"/>
    <w:rsid w:val="00731FDD"/>
    <w:rsid w:val="00732360"/>
    <w:rsid w:val="0073390A"/>
    <w:rsid w:val="00734E64"/>
    <w:rsid w:val="00736B37"/>
    <w:rsid w:val="00740A35"/>
    <w:rsid w:val="00745482"/>
    <w:rsid w:val="0074751E"/>
    <w:rsid w:val="007520B4"/>
    <w:rsid w:val="00756A51"/>
    <w:rsid w:val="00760829"/>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758F"/>
    <w:rsid w:val="00A1570A"/>
    <w:rsid w:val="00A16491"/>
    <w:rsid w:val="00A211B4"/>
    <w:rsid w:val="00A213B8"/>
    <w:rsid w:val="00A21F67"/>
    <w:rsid w:val="00A229F5"/>
    <w:rsid w:val="00A30D88"/>
    <w:rsid w:val="00A33DDF"/>
    <w:rsid w:val="00A34547"/>
    <w:rsid w:val="00A376B7"/>
    <w:rsid w:val="00A41A9D"/>
    <w:rsid w:val="00A41BF5"/>
    <w:rsid w:val="00A4358A"/>
    <w:rsid w:val="00A44778"/>
    <w:rsid w:val="00A469E7"/>
    <w:rsid w:val="00A54F9F"/>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337E"/>
    <w:rsid w:val="00BE33AE"/>
    <w:rsid w:val="00BF046F"/>
    <w:rsid w:val="00BF0640"/>
    <w:rsid w:val="00BF72FA"/>
    <w:rsid w:val="00C01D50"/>
    <w:rsid w:val="00C056DC"/>
    <w:rsid w:val="00C1329B"/>
    <w:rsid w:val="00C146C9"/>
    <w:rsid w:val="00C1572F"/>
    <w:rsid w:val="00C1615D"/>
    <w:rsid w:val="00C21D4A"/>
    <w:rsid w:val="00C24C05"/>
    <w:rsid w:val="00C24D2F"/>
    <w:rsid w:val="00C26222"/>
    <w:rsid w:val="00C31283"/>
    <w:rsid w:val="00C33C48"/>
    <w:rsid w:val="00C340E5"/>
    <w:rsid w:val="00C35AA7"/>
    <w:rsid w:val="00C35E3F"/>
    <w:rsid w:val="00C37661"/>
    <w:rsid w:val="00C40877"/>
    <w:rsid w:val="00C43BA1"/>
    <w:rsid w:val="00C43DAB"/>
    <w:rsid w:val="00C445B6"/>
    <w:rsid w:val="00C46DC2"/>
    <w:rsid w:val="00C47F08"/>
    <w:rsid w:val="00C47FB5"/>
    <w:rsid w:val="00C514A6"/>
    <w:rsid w:val="00C541D0"/>
    <w:rsid w:val="00C5739F"/>
    <w:rsid w:val="00C57CF0"/>
    <w:rsid w:val="00C622A2"/>
    <w:rsid w:val="00C63557"/>
    <w:rsid w:val="00C649BD"/>
    <w:rsid w:val="00C65891"/>
    <w:rsid w:val="00C66AC9"/>
    <w:rsid w:val="00C724D3"/>
    <w:rsid w:val="00C77DD9"/>
    <w:rsid w:val="00C80890"/>
    <w:rsid w:val="00C83BE6"/>
    <w:rsid w:val="00C85354"/>
    <w:rsid w:val="00C86ABA"/>
    <w:rsid w:val="00C920E2"/>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3D00"/>
    <w:rsid w:val="00D04275"/>
    <w:rsid w:val="00D05C30"/>
    <w:rsid w:val="00D070BC"/>
    <w:rsid w:val="00D07876"/>
    <w:rsid w:val="00D10052"/>
    <w:rsid w:val="00D11359"/>
    <w:rsid w:val="00D152A1"/>
    <w:rsid w:val="00D16480"/>
    <w:rsid w:val="00D3188C"/>
    <w:rsid w:val="00D32D80"/>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5BC6"/>
    <w:rsid w:val="00E661FF"/>
    <w:rsid w:val="00E67347"/>
    <w:rsid w:val="00E726EB"/>
    <w:rsid w:val="00E72CF1"/>
    <w:rsid w:val="00E75CEE"/>
    <w:rsid w:val="00E76F24"/>
    <w:rsid w:val="00E80B52"/>
    <w:rsid w:val="00E824C3"/>
    <w:rsid w:val="00E840B3"/>
    <w:rsid w:val="00E84D10"/>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E756D"/>
    <w:rsid w:val="00EF1EC5"/>
    <w:rsid w:val="00EF4C88"/>
    <w:rsid w:val="00EF55EB"/>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30D2E"/>
    <w:rsid w:val="00F33453"/>
    <w:rsid w:val="00F34821"/>
    <w:rsid w:val="00F35516"/>
    <w:rsid w:val="00F35790"/>
    <w:rsid w:val="00F362D6"/>
    <w:rsid w:val="00F4136D"/>
    <w:rsid w:val="00F4212E"/>
    <w:rsid w:val="00F42C20"/>
    <w:rsid w:val="00F43466"/>
    <w:rsid w:val="00F43E34"/>
    <w:rsid w:val="00F5145D"/>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67.zip" TargetMode="External"/><Relationship Id="rId18" Type="http://schemas.openxmlformats.org/officeDocument/2006/relationships/hyperlink" Target="https://www.3gpp.org/ftp/TSG_RAN/WG4_Radio/TSGR4_102-e/Docs/R4-2205639.zip" TargetMode="External"/><Relationship Id="rId26" Type="http://schemas.openxmlformats.org/officeDocument/2006/relationships/hyperlink" Target="https://www.3gpp.org/ftp/TSG_RAN/WG4_Radio/TSGR4_102-e/Docs/R4-2205923.zip" TargetMode="External"/><Relationship Id="rId39" Type="http://schemas.openxmlformats.org/officeDocument/2006/relationships/hyperlink" Target="https://www.3gpp.org/ftp/TSG_RAN/WG4_Radio/TSGR4_102-e/Docs/R4-2203535.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3796.zip" TargetMode="External"/><Relationship Id="rId34" Type="http://schemas.openxmlformats.org/officeDocument/2006/relationships/image" Target="media/image2.png"/><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592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796.zip" TargetMode="External"/><Relationship Id="rId17" Type="http://schemas.openxmlformats.org/officeDocument/2006/relationships/hyperlink" Target="https://www.3gpp.org/ftp/TSG_RAN/WG4_Radio/TSGR4_102-e/Docs/R4-2205638.zip" TargetMode="External"/><Relationship Id="rId25" Type="http://schemas.openxmlformats.org/officeDocument/2006/relationships/hyperlink" Target="https://www.3gpp.org/ftp/TSG_RAN/WG4_Radio/TSGR4_102-e/Docs/R4-2205638.zip" TargetMode="External"/><Relationship Id="rId33" Type="http://schemas.openxmlformats.org/officeDocument/2006/relationships/hyperlink" Target="https://www.3gpp.org/ftp/TSG_RAN/WG4_Radio/TSGR4_102-e/Docs/R4-2205217.zip" TargetMode="External"/><Relationship Id="rId38" Type="http://schemas.openxmlformats.org/officeDocument/2006/relationships/hyperlink" Target="https://www.3gpp.org/ftp/TSG_RAN/WG4_Radio/TSGR4_102-e/Docs/R4-2203534.zip" TargetMode="External"/><Relationship Id="rId46" Type="http://schemas.openxmlformats.org/officeDocument/2006/relationships/hyperlink" Target="https://www.3gpp.org/ftp/TSG_RAN/WG4_Radio/TSGR4_102-e/Docs/R4-220563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393.zip" TargetMode="External"/><Relationship Id="rId20" Type="http://schemas.openxmlformats.org/officeDocument/2006/relationships/hyperlink" Target="https://www.3gpp.org/ftp/TSG_RAN/WG4_Radio/TSGR4_102-e/Docs/R4-2203534.zip" TargetMode="External"/><Relationship Id="rId29" Type="http://schemas.openxmlformats.org/officeDocument/2006/relationships/hyperlink" Target="https://www.3gpp.org/ftp/TSG_RAN/WG4_Radio/TSGR4_102-e/Docs/R4-2205392.zip" TargetMode="External"/><Relationship Id="rId41" Type="http://schemas.openxmlformats.org/officeDocument/2006/relationships/hyperlink" Target="https://www.3gpp.org/ftp/TSG_RAN/WG4_Radio/TSGR4_102-e/Docs/R4-220386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535.zip" TargetMode="Externa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3867.zip" TargetMode="External"/><Relationship Id="rId37" Type="http://schemas.openxmlformats.org/officeDocument/2006/relationships/hyperlink" Target="https://www.3gpp.org/ftp/TSG_RAN/WG4_Radio/TSGR4_102-e/Docs/R4-2205639.zip" TargetMode="External"/><Relationship Id="rId40" Type="http://schemas.openxmlformats.org/officeDocument/2006/relationships/hyperlink" Target="https://www.3gpp.org/ftp/TSG_RAN/WG4_Radio/TSGR4_102-e/Docs/R4-2203796.zip" TargetMode="External"/><Relationship Id="rId45" Type="http://schemas.openxmlformats.org/officeDocument/2006/relationships/hyperlink" Target="https://www.3gpp.org/ftp/TSG_RAN/WG4_Radio/TSGR4_102-e/Docs/R4-2205638.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392.zip" TargetMode="External"/><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3867.zip" TargetMode="External"/><Relationship Id="rId36" Type="http://schemas.openxmlformats.org/officeDocument/2006/relationships/hyperlink" Target="https://www.3gpp.org/ftp/TSG_RAN/WG4_Radio/TSGR4_102-e/Docs/R4-2205393.zip"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4_Radio/TSGR4_102-e/Docs/R4-2205923.zip" TargetMode="External"/><Relationship Id="rId31" Type="http://schemas.openxmlformats.org/officeDocument/2006/relationships/hyperlink" Target="https://www.3gpp.org/ftp/TSG_RAN/WG4_Radio/TSGR4_102-e/Docs/R4-2205923.zip" TargetMode="External"/><Relationship Id="rId44" Type="http://schemas.openxmlformats.org/officeDocument/2006/relationships/hyperlink" Target="https://www.3gpp.org/ftp/TSG_RAN/WG4_Radio/TSGR4_102-e/Docs/R4-220539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534.zip" TargetMode="External"/><Relationship Id="rId14" Type="http://schemas.openxmlformats.org/officeDocument/2006/relationships/hyperlink" Target="https://www.3gpp.org/ftp/TSG_RAN/WG4_Radio/TSGR4_102-e/Docs/R4-2205217.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3796.zip" TargetMode="External"/><Relationship Id="rId30" Type="http://schemas.openxmlformats.org/officeDocument/2006/relationships/hyperlink" Target="https://www.3gpp.org/ftp/TSG_RAN/WG4_Radio/TSGR4_102-e/Docs/R4-2205638.zip" TargetMode="External"/><Relationship Id="rId35" Type="http://schemas.openxmlformats.org/officeDocument/2006/relationships/hyperlink" Target="https://www.3gpp.org/ftp/TSG_RAN/WG4_Radio/TSGR4_102-e/Docs/R4-2203535.zip" TargetMode="External"/><Relationship Id="rId43" Type="http://schemas.openxmlformats.org/officeDocument/2006/relationships/hyperlink" Target="https://www.3gpp.org/ftp/TSG_RAN/WG4_Radio/TSGR4_102-e/Docs/R4-2205392.zip"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490</TotalTime>
  <Pages>14</Pages>
  <Words>4032</Words>
  <Characters>22984</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130</cp:revision>
  <cp:lastPrinted>2019-04-25T01:09:00Z</cp:lastPrinted>
  <dcterms:created xsi:type="dcterms:W3CDTF">2022-02-16T09:57:00Z</dcterms:created>
  <dcterms:modified xsi:type="dcterms:W3CDTF">2022-02-16T20:52:00Z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