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A4B2" w14:textId="369AF688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10</w:t>
      </w:r>
      <w:r w:rsidR="007D2380">
        <w:rPr>
          <w:rFonts w:ascii="Arial" w:hAnsi="Arial" w:cs="Arial"/>
          <w:b/>
          <w:sz w:val="24"/>
          <w:szCs w:val="24"/>
          <w:lang w:eastAsia="zh-CN"/>
        </w:rPr>
        <w:t>2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  </w:t>
      </w:r>
      <w:r w:rsidR="003B3A6C" w:rsidRPr="003B3A6C">
        <w:rPr>
          <w:rFonts w:ascii="Arial" w:hAnsi="Arial" w:cs="Arial"/>
          <w:b/>
          <w:sz w:val="24"/>
          <w:szCs w:val="24"/>
          <w:lang w:eastAsia="zh-CN"/>
        </w:rPr>
        <w:t>R4-</w:t>
      </w:r>
      <w:r w:rsidR="00EE062B" w:rsidRPr="00EE062B">
        <w:rPr>
          <w:rFonts w:ascii="Arial" w:hAnsi="Arial" w:cs="Arial"/>
          <w:b/>
          <w:sz w:val="24"/>
          <w:szCs w:val="24"/>
          <w:lang w:eastAsia="zh-CN"/>
        </w:rPr>
        <w:t>2206974</w:t>
      </w:r>
    </w:p>
    <w:p w14:paraId="016C0AD9" w14:textId="5FA23FD0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A40F4B">
        <w:rPr>
          <w:rFonts w:ascii="Arial" w:hAnsi="Arial" w:cs="Arial"/>
          <w:b/>
          <w:sz w:val="24"/>
          <w:szCs w:val="24"/>
          <w:lang w:eastAsia="zh-CN"/>
        </w:rPr>
        <w:t>21 Feb. – 04 March</w:t>
      </w:r>
      <w:r>
        <w:rPr>
          <w:rFonts w:ascii="Arial" w:hAnsi="Arial" w:cs="Arial"/>
          <w:b/>
          <w:sz w:val="24"/>
          <w:szCs w:val="24"/>
          <w:lang w:eastAsia="zh-CN"/>
        </w:rPr>
        <w:t>, 2022</w:t>
      </w:r>
    </w:p>
    <w:p w14:paraId="28E8D391" w14:textId="77777777" w:rsidR="00DD0732" w:rsidRDefault="00DD073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7092604" w14:textId="4DCF80E7" w:rsidR="00DD0732" w:rsidRDefault="002A167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EC67DF">
        <w:rPr>
          <w:rFonts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 xml:space="preserve">.20.3.2;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.20.3.3</w:t>
      </w:r>
      <w:r w:rsidR="002A4C31">
        <w:rPr>
          <w:rFonts w:ascii="Arial" w:hAnsi="Arial" w:cs="Arial"/>
          <w:color w:val="000000"/>
          <w:sz w:val="22"/>
          <w:lang w:eastAsia="zh-CN"/>
        </w:rPr>
        <w:t xml:space="preserve">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 w:rsidR="002A4C31">
        <w:rPr>
          <w:rFonts w:ascii="Arial" w:hAnsi="Arial" w:cs="Arial"/>
          <w:color w:val="000000"/>
          <w:sz w:val="22"/>
          <w:lang w:eastAsia="zh-CN"/>
        </w:rPr>
        <w:t>.20.3.4</w:t>
      </w:r>
    </w:p>
    <w:p w14:paraId="0504193F" w14:textId="77777777" w:rsidR="00DD0732" w:rsidRDefault="002A167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vivo</w:t>
      </w:r>
    </w:p>
    <w:p w14:paraId="0949410C" w14:textId="77777777" w:rsidR="00DD0732" w:rsidRDefault="002A1674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WF on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eDRX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 xml:space="preserve"> and RRM measurement relaxations requirements for Redcap UE</w:t>
      </w:r>
    </w:p>
    <w:p w14:paraId="5A511933" w14:textId="77777777" w:rsidR="00DD0732" w:rsidRDefault="002A1674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Approval</w:t>
      </w:r>
    </w:p>
    <w:p w14:paraId="7440A5AF" w14:textId="77777777" w:rsidR="00DD0732" w:rsidRDefault="002A1674">
      <w:pPr>
        <w:pStyle w:val="10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6F211F29" w14:textId="76A829F6" w:rsidR="00DD0732" w:rsidRDefault="002A1674">
      <w:pPr>
        <w:spacing w:after="0"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This is the WF to capture all agreements and open issues in [10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>][22</w:t>
      </w:r>
      <w:r w:rsidR="00943CB3">
        <w:rPr>
          <w:color w:val="000000"/>
          <w:sz w:val="22"/>
          <w:lang w:eastAsia="zh-CN"/>
        </w:rPr>
        <w:t>9</w:t>
      </w:r>
      <w:r>
        <w:rPr>
          <w:color w:val="000000"/>
          <w:sz w:val="22"/>
          <w:lang w:eastAsia="zh-CN"/>
        </w:rPr>
        <w:t xml:space="preserve">] NR_redcap_RRM_2 email related to </w:t>
      </w:r>
      <w:proofErr w:type="spellStart"/>
      <w:r>
        <w:rPr>
          <w:color w:val="000000"/>
          <w:sz w:val="22"/>
          <w:lang w:eastAsia="zh-CN"/>
        </w:rPr>
        <w:t>eDRX</w:t>
      </w:r>
      <w:proofErr w:type="spellEnd"/>
      <w:r>
        <w:rPr>
          <w:color w:val="000000"/>
          <w:sz w:val="22"/>
          <w:lang w:eastAsia="zh-CN"/>
        </w:rPr>
        <w:t xml:space="preserve"> and RRM measurement relaxations requirements for Redcap UE discussion at RAN4#10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 xml:space="preserve">-e meeting.   </w:t>
      </w:r>
    </w:p>
    <w:p w14:paraId="64B55A02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iCs/>
          <w:lang w:eastAsia="zh-CN"/>
        </w:rPr>
        <w:t>Extended DRX enhancements</w:t>
      </w:r>
    </w:p>
    <w:p w14:paraId="662F4D74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 General aspects 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enhancements</w:t>
      </w:r>
    </w:p>
    <w:p w14:paraId="3FBB464A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1-2 Idle state serving cell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</w:t>
      </w:r>
    </w:p>
    <w:p w14:paraId="0F57D87F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1-2-1: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and N1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up to 10.24s (FR2)</w:t>
      </w:r>
    </w:p>
    <w:p w14:paraId="381933E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 xml:space="preserve">Moderator Note: The following is used for </w:t>
      </w:r>
      <w:proofErr w:type="spellStart"/>
      <w:r>
        <w:rPr>
          <w:color w:val="0070C0"/>
          <w:szCs w:val="24"/>
          <w:highlight w:val="yellow"/>
          <w:lang w:eastAsia="zh-CN"/>
        </w:rPr>
        <w:t>N</w:t>
      </w:r>
      <w:r>
        <w:rPr>
          <w:color w:val="0070C0"/>
          <w:szCs w:val="24"/>
          <w:highlight w:val="yellow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highlight w:val="yellow"/>
          <w:lang w:eastAsia="zh-CN"/>
        </w:rPr>
        <w:t xml:space="preserve"> (FR2) requirement based on R4-2202672. The left issue is N1 value.</w:t>
      </w: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28"/>
        <w:gridCol w:w="2671"/>
      </w:tblGrid>
      <w:tr w:rsidR="00D93C94" w14:paraId="254EFA5A" w14:textId="77777777" w:rsidTr="0091643D">
        <w:trPr>
          <w:cantSplit/>
          <w:trHeight w:val="134"/>
          <w:jc w:val="center"/>
        </w:trPr>
        <w:tc>
          <w:tcPr>
            <w:tcW w:w="1499" w:type="pct"/>
            <w:tcBorders>
              <w:bottom w:val="nil"/>
            </w:tcBorders>
          </w:tcPr>
          <w:p w14:paraId="39E95F3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1666" w:type="pct"/>
          </w:tcPr>
          <w:p w14:paraId="48F5A3B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FR2 Scaling Factor (N1) </w:t>
            </w:r>
          </w:p>
        </w:tc>
        <w:tc>
          <w:tcPr>
            <w:tcW w:w="1834" w:type="pct"/>
            <w:tcBorders>
              <w:bottom w:val="nil"/>
            </w:tcBorders>
          </w:tcPr>
          <w:p w14:paraId="1296267B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cycles]</w:t>
            </w:r>
          </w:p>
        </w:tc>
      </w:tr>
      <w:tr w:rsidR="00D93C94" w14:paraId="7AFFF23C" w14:textId="77777777" w:rsidTr="0091643D">
        <w:trPr>
          <w:cantSplit/>
          <w:trHeight w:val="237"/>
          <w:jc w:val="center"/>
        </w:trPr>
        <w:tc>
          <w:tcPr>
            <w:tcW w:w="1499" w:type="pct"/>
          </w:tcPr>
          <w:p w14:paraId="61E714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1666" w:type="pct"/>
            <w:vMerge w:val="restart"/>
            <w:vAlign w:val="center"/>
          </w:tcPr>
          <w:p w14:paraId="791CA3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[TBD]</w:t>
            </w:r>
          </w:p>
        </w:tc>
        <w:tc>
          <w:tcPr>
            <w:tcW w:w="1834" w:type="pct"/>
            <w:vMerge w:val="restart"/>
            <w:vAlign w:val="center"/>
          </w:tcPr>
          <w:p w14:paraId="5AAD8F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N1*2</w:t>
            </w:r>
          </w:p>
          <w:p w14:paraId="4F79495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50CFFB3E" w14:textId="77777777" w:rsidTr="0091643D">
        <w:trPr>
          <w:cantSplit/>
          <w:trHeight w:val="245"/>
          <w:jc w:val="center"/>
        </w:trPr>
        <w:tc>
          <w:tcPr>
            <w:tcW w:w="1499" w:type="pct"/>
          </w:tcPr>
          <w:p w14:paraId="47FCE14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1666" w:type="pct"/>
            <w:vMerge/>
          </w:tcPr>
          <w:p w14:paraId="4B5A65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65F05A9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64D92A7B" w14:textId="77777777" w:rsidTr="0091643D">
        <w:trPr>
          <w:cantSplit/>
          <w:trHeight w:val="37"/>
          <w:jc w:val="center"/>
        </w:trPr>
        <w:tc>
          <w:tcPr>
            <w:tcW w:w="1499" w:type="pct"/>
          </w:tcPr>
          <w:p w14:paraId="55E64FB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7F8C0EC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3B2065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</w:tbl>
    <w:p w14:paraId="7A3F8F8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</w:p>
    <w:p w14:paraId="73729FAF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N1 = 3 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10.24s. (CMCC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00537E0F" w14:textId="77777777" w:rsidR="000C7A3C" w:rsidRDefault="000C7A3C" w:rsidP="00D93C94">
      <w:pPr>
        <w:rPr>
          <w:color w:val="0070C0"/>
          <w:lang w:eastAsia="zh-CN"/>
        </w:rPr>
      </w:pPr>
    </w:p>
    <w:p w14:paraId="3C8DE141" w14:textId="07F2953A" w:rsidR="00D93C94" w:rsidRDefault="00D93C94" w:rsidP="00D93C94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Agreement: agree with </w:t>
      </w:r>
      <w:r>
        <w:rPr>
          <w:rFonts w:eastAsia="宋体"/>
          <w:color w:val="0070C0"/>
          <w:szCs w:val="24"/>
          <w:lang w:eastAsia="zh-CN"/>
        </w:rPr>
        <w:t xml:space="preserve">N1 = 3 </w:t>
      </w:r>
      <w:r>
        <w:rPr>
          <w:color w:val="0070C0"/>
          <w:szCs w:val="24"/>
          <w:lang w:eastAsia="zh-CN"/>
        </w:rPr>
        <w:t xml:space="preserve">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 for FR2 </w:t>
      </w:r>
      <w:proofErr w:type="spellStart"/>
      <w:r>
        <w:rPr>
          <w:color w:val="0070C0"/>
          <w:szCs w:val="24"/>
          <w:lang w:eastAsia="zh-CN"/>
        </w:rPr>
        <w:t>N</w:t>
      </w:r>
      <w:r>
        <w:rPr>
          <w:color w:val="0070C0"/>
          <w:szCs w:val="24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lang w:eastAsia="zh-CN"/>
        </w:rPr>
        <w:t xml:space="preserve"> requirements</w:t>
      </w:r>
    </w:p>
    <w:p w14:paraId="0E8454F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1-2-2: Serving cell requirements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larger than 10.24s</w:t>
      </w:r>
    </w:p>
    <w:p w14:paraId="05BD01B2" w14:textId="77777777" w:rsidR="00D93C94" w:rsidRDefault="00D93C94" w:rsidP="00D93C94">
      <w:pPr>
        <w:pStyle w:val="aff8"/>
        <w:numPr>
          <w:ilvl w:val="0"/>
          <w:numId w:val="12"/>
        </w:numPr>
        <w:snapToGrid w:val="0"/>
        <w:spacing w:before="120" w:after="0" w:line="360" w:lineRule="auto"/>
        <w:ind w:left="425" w:firstLineChars="0" w:hanging="357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>
        <w:rPr>
          <w:rFonts w:hint="eastAsia"/>
          <w:color w:val="0070C0"/>
          <w:szCs w:val="24"/>
          <w:lang w:eastAsia="zh-CN"/>
        </w:rPr>
        <w:t>(Ap</w:t>
      </w:r>
      <w:r>
        <w:rPr>
          <w:color w:val="0070C0"/>
          <w:szCs w:val="24"/>
          <w:lang w:eastAsia="zh-CN"/>
        </w:rPr>
        <w:t xml:space="preserve">ple </w:t>
      </w:r>
      <w:proofErr w:type="spellStart"/>
      <w:r>
        <w:rPr>
          <w:color w:val="0070C0"/>
          <w:szCs w:val="24"/>
          <w:lang w:eastAsia="zh-CN"/>
        </w:rPr>
        <w:t>oppo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3EF6BB58" w14:textId="77777777" w:rsidR="00D93C94" w:rsidRDefault="00D93C94" w:rsidP="00D93C94">
      <w:pPr>
        <w:pStyle w:val="aff8"/>
        <w:numPr>
          <w:ilvl w:val="1"/>
          <w:numId w:val="12"/>
        </w:numPr>
        <w:spacing w:before="120" w:after="120" w:line="240" w:lineRule="auto"/>
        <w:ind w:left="1434" w:firstLineChars="0" w:hanging="357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>
        <w:rPr>
          <w:rFonts w:hint="eastAsia"/>
          <w:color w:val="0070C0"/>
          <w:szCs w:val="24"/>
          <w:lang w:eastAsia="zh-CN"/>
        </w:rPr>
        <w:t>a</w:t>
      </w:r>
      <w:r>
        <w:rPr>
          <w:color w:val="0070C0"/>
          <w:szCs w:val="24"/>
          <w:lang w:eastAsia="zh-CN"/>
        </w:rPr>
        <w:t>: Only support requirements in option 1 for FR1 (MTK)</w:t>
      </w:r>
    </w:p>
    <w:p w14:paraId="1A7DE2DB" w14:textId="77777777" w:rsidR="00D93C94" w:rsidRDefault="00D93C94" w:rsidP="00D93C94">
      <w:pPr>
        <w:spacing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ab/>
      </w:r>
    </w:p>
    <w:p w14:paraId="6A74B4C3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0FD6E3EC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1A47887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454A043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39139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355ABD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7513973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0B9C8CE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D93C94" w14:paraId="7F8D0ADD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41F2925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11E45F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013D3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1.28 (1) (M1=2)</w:t>
            </w:r>
          </w:p>
        </w:tc>
        <w:tc>
          <w:tcPr>
            <w:tcW w:w="810" w:type="pct"/>
            <w:vMerge w:val="restart"/>
            <w:vAlign w:val="center"/>
          </w:tcPr>
          <w:p w14:paraId="241460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3CB4CF9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D93C94" w14:paraId="02A92027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60E6C68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05C22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39A8792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 (M1=2)</w:t>
            </w:r>
          </w:p>
        </w:tc>
        <w:tc>
          <w:tcPr>
            <w:tcW w:w="810" w:type="pct"/>
            <w:vMerge/>
          </w:tcPr>
          <w:p w14:paraId="0F3D06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332DE4A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D93C94" w14:paraId="309F455E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2D4330F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5BA41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556D17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5531B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6EE70B0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2C7694C0" w14:textId="77777777" w:rsidTr="0091643D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934EC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E65DE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151F9A4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786DB1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233B13E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6CC302BB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5C3566CF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07B603F8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Note 2: M1=2 if SMTC periodicity (T</w:t>
            </w:r>
            <w:r>
              <w:rPr>
                <w:b/>
                <w:bCs/>
                <w:i/>
                <w:position w:val="-2"/>
                <w:vertAlign w:val="subscript"/>
              </w:rPr>
              <w:t>SMTC</w:t>
            </w:r>
            <w:r>
              <w:rPr>
                <w:b/>
                <w:bCs/>
                <w:i/>
              </w:rPr>
              <w:t xml:space="preserve">) &gt; 20 </w:t>
            </w:r>
            <w:proofErr w:type="spellStart"/>
            <w:r>
              <w:rPr>
                <w:b/>
                <w:bCs/>
                <w:i/>
              </w:rPr>
              <w:t>ms</w:t>
            </w:r>
            <w:proofErr w:type="spellEnd"/>
            <w:r>
              <w:rPr>
                <w:b/>
                <w:bCs/>
                <w:i/>
              </w:rPr>
              <w:t xml:space="preserve"> and DRX cycle≤ 0.64s, otherwise M1=1. </w:t>
            </w:r>
          </w:p>
        </w:tc>
      </w:tr>
    </w:tbl>
    <w:p w14:paraId="104C9E46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</w:p>
    <w:p w14:paraId="66608AEA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2EEB5C81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20BE28A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3A2A228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7D7B4DA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E603F1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D6038D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7F710C2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D93C94" w14:paraId="6F58C83C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164886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776CDF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26BBB512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1E2B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427DCE1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3C14E404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3C068B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6218EDF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716EF7A5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491F74F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56D81E7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44DD8A05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87C36D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04F765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237CE5D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09894B7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73209A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157AA153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204CCB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D2F50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6B253AD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0E4FAB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2164075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07392D82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1C8BA547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4504A25" w14:textId="77777777" w:rsidR="00D93C94" w:rsidRPr="001138B8" w:rsidRDefault="00D93C94" w:rsidP="0091643D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2DEACABD" w14:textId="15DEBC2D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1CE5D14F" w14:textId="0542047D" w:rsidR="00A32BAF" w:rsidRDefault="00A32BAF" w:rsidP="000C7A3C">
      <w:pPr>
        <w:spacing w:before="12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Tentative agreement: the following table are agreed:</w:t>
      </w:r>
    </w:p>
    <w:p w14:paraId="7BDBEAE1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0B2CD22E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3ECEBF9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1C97BAAD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03E13DA4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306784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5A41CC88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29505DD7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A32BAF" w14:paraId="0C5737C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5187F6B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6810B9A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64AFEA9A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</w:t>
            </w:r>
          </w:p>
        </w:tc>
        <w:tc>
          <w:tcPr>
            <w:tcW w:w="810" w:type="pct"/>
            <w:vMerge w:val="restart"/>
            <w:vAlign w:val="center"/>
          </w:tcPr>
          <w:p w14:paraId="4BC7FE1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526BCAF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A32BAF" w14:paraId="2A4A9D39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904C94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7A9A04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61767937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(M1=1) or </w:t>
            </w: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2.56 (2) (M1=2)</w:t>
            </w:r>
          </w:p>
        </w:tc>
        <w:tc>
          <w:tcPr>
            <w:tcW w:w="810" w:type="pct"/>
            <w:vMerge/>
          </w:tcPr>
          <w:p w14:paraId="1915206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5A87E43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A32BAF" w14:paraId="30D14DB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B7E50A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7E7D77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644141F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368DD11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799A558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14C301F" w14:textId="77777777" w:rsidTr="002B1947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89FBF4B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537AA19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22954B8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547EA28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192DE8E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4EDF5B0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32DEDF11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2B2065CB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 w:rsidRPr="001005C8">
              <w:rPr>
                <w:b/>
                <w:bCs/>
                <w:i/>
              </w:rPr>
              <w:t>Note 2: M1=2 if SMTC periodicity (T</w:t>
            </w:r>
            <w:r w:rsidRPr="001005C8">
              <w:rPr>
                <w:b/>
                <w:bCs/>
                <w:i/>
                <w:position w:val="-2"/>
                <w:vertAlign w:val="subscript"/>
              </w:rPr>
              <w:t>SMTC</w:t>
            </w:r>
            <w:r w:rsidRPr="001005C8">
              <w:rPr>
                <w:b/>
                <w:bCs/>
                <w:i/>
              </w:rPr>
              <w:t xml:space="preserve">) &gt; 20 </w:t>
            </w:r>
            <w:proofErr w:type="spellStart"/>
            <w:r w:rsidRPr="001005C8">
              <w:rPr>
                <w:b/>
                <w:bCs/>
                <w:i/>
              </w:rPr>
              <w:t>ms</w:t>
            </w:r>
            <w:proofErr w:type="spellEnd"/>
            <w:r w:rsidRPr="001005C8">
              <w:rPr>
                <w:b/>
                <w:bCs/>
                <w:i/>
              </w:rPr>
              <w:t xml:space="preserve"> and DRX cycle</w:t>
            </w:r>
            <w:r w:rsidRPr="001005C8">
              <w:rPr>
                <w:rFonts w:hint="eastAsia"/>
                <w:b/>
                <w:bCs/>
                <w:i/>
              </w:rPr>
              <w:t>≤</w:t>
            </w:r>
            <w:r w:rsidRPr="001005C8">
              <w:rPr>
                <w:b/>
                <w:bCs/>
                <w:i/>
              </w:rPr>
              <w:t xml:space="preserve"> 0.64s, otherwise M1=1.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07F72BB8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</w:p>
    <w:p w14:paraId="3054EFF6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715D3636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45867A19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5306E0B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9E842FF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6E5EFB0A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CD196A2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1F8CA33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A32BAF" w14:paraId="253F2FA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1FF5A44A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2DAC694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4A506E36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A0F32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5B9CB100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5BD02C8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415088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35F495C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0322EDBB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6E06CAC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159DA50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F5250A8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5C49C32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4CFEC1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07A1B23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613E726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33B7700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796657C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33ECFDC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5D0460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421A939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109CF20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6FFDDF2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22B1E229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6643005A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3717568" w14:textId="77777777" w:rsidR="00A32BAF" w:rsidRPr="001138B8" w:rsidRDefault="00A32BAF" w:rsidP="002B1947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39B1FA4B" w14:textId="77777777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77D90FF9" w14:textId="2370733A" w:rsidR="000C7A3C" w:rsidRDefault="000C7A3C" w:rsidP="000C7A3C">
      <w:pPr>
        <w:spacing w:before="120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1-2-2-1: FR1 PTW length (N1=1), whether M1 should be considered for FR1/FR2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when DRX = 0.32 and 0.64s </w:t>
      </w:r>
    </w:p>
    <w:p w14:paraId="5D46B8DE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Keep M1 (M1=2 if SMTC periodicity (TSMTC) &gt; 20 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 xml:space="preserve"> and DRX cycle≤ 0.64s) (Apple MTK vivo)</w:t>
      </w:r>
    </w:p>
    <w:p w14:paraId="7D2F0EC3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Do not use M1(CMCC Nokia Ericsson ZTE)</w:t>
      </w:r>
    </w:p>
    <w:p w14:paraId="1156412F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3: Keep M1 for FR1 and do not use M1 for FR2 (Huawei)</w:t>
      </w:r>
    </w:p>
    <w:p w14:paraId="3F153D16" w14:textId="2CD540D2" w:rsidR="000C7A3C" w:rsidRPr="00460235" w:rsidRDefault="000C7A3C" w:rsidP="000C7A3C">
      <w:pPr>
        <w:spacing w:after="120" w:line="252" w:lineRule="auto"/>
        <w:rPr>
          <w:color w:val="0070C0"/>
          <w:lang w:eastAsia="zh-CN"/>
        </w:rPr>
      </w:pPr>
      <w:r w:rsidRPr="00460235">
        <w:rPr>
          <w:color w:val="0070C0"/>
          <w:lang w:eastAsia="zh-CN"/>
        </w:rPr>
        <w:t>Agreement: Keep M1 for FR1 and do not use M1 for FR2</w:t>
      </w:r>
    </w:p>
    <w:p w14:paraId="76A4118B" w14:textId="111C5F77" w:rsidR="00D93C94" w:rsidRDefault="00D93C94" w:rsidP="00D93C94">
      <w:pPr>
        <w:rPr>
          <w:color w:val="0070C0"/>
          <w:lang w:eastAsia="zh-CN"/>
        </w:rPr>
      </w:pPr>
    </w:p>
    <w:p w14:paraId="3FD330AF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1-2-2-2: N1 for 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requirements </w:t>
      </w:r>
    </w:p>
    <w:p w14:paraId="23FF8B35" w14:textId="77777777" w:rsidR="000C7A3C" w:rsidRDefault="000C7A3C" w:rsidP="000C7A3C">
      <w:pPr>
        <w:spacing w:before="120"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 N1= 8 for DRX= 0.32s;  5 for DRX=0.64s;   4 for DRX= 1.28s;  3 for DRX =2.56s (</w:t>
      </w:r>
      <w:r>
        <w:rPr>
          <w:rFonts w:hint="eastAsia"/>
          <w:color w:val="0070C0"/>
          <w:szCs w:val="24"/>
          <w:lang w:eastAsia="zh-CN"/>
        </w:rPr>
        <w:t>App</w:t>
      </w:r>
      <w:r>
        <w:rPr>
          <w:color w:val="0070C0"/>
          <w:szCs w:val="24"/>
          <w:lang w:eastAsia="zh-CN"/>
        </w:rPr>
        <w:t xml:space="preserve">le 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6FF65529" w14:textId="77777777" w:rsidR="001005C8" w:rsidRDefault="001005C8" w:rsidP="000C7A3C">
      <w:pPr>
        <w:rPr>
          <w:color w:val="0070C0"/>
          <w:lang w:eastAsia="zh-CN"/>
        </w:rPr>
      </w:pPr>
    </w:p>
    <w:p w14:paraId="1565BC9E" w14:textId="1630FA12" w:rsidR="000C7A3C" w:rsidRDefault="000C7A3C" w:rsidP="000C7A3C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option 1</w:t>
      </w:r>
    </w:p>
    <w:p w14:paraId="08870B8F" w14:textId="77777777" w:rsidR="000C7A3C" w:rsidRDefault="000C7A3C" w:rsidP="00D93C94">
      <w:pPr>
        <w:rPr>
          <w:color w:val="0070C0"/>
          <w:lang w:eastAsia="zh-CN"/>
        </w:rPr>
      </w:pPr>
    </w:p>
    <w:p w14:paraId="0F41EAE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1-2-2-3: FR2 serving cell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6EDE291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</w:t>
      </w:r>
      <w:proofErr w:type="spellStart"/>
      <w:r>
        <w:rPr>
          <w:rFonts w:eastAsia="宋体"/>
          <w:color w:val="0070C0"/>
          <w:szCs w:val="24"/>
          <w:lang w:eastAsia="zh-CN"/>
        </w:rPr>
        <w:t>Besdies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three more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PTE are overlapped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without PTW.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5BDB2A8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1a: </w:t>
      </w:r>
      <w:r w:rsidRPr="00002867">
        <w:rPr>
          <w:rFonts w:eastAsia="宋体"/>
          <w:color w:val="0070C0"/>
          <w:szCs w:val="24"/>
          <w:lang w:eastAsia="zh-CN"/>
        </w:rPr>
        <w:t xml:space="preserve">Can we add Option 1a: add a note to exclude the case of </w:t>
      </w:r>
      <w:proofErr w:type="spellStart"/>
      <w:r w:rsidRPr="00002867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002867">
        <w:rPr>
          <w:rFonts w:eastAsia="宋体"/>
          <w:color w:val="0070C0"/>
          <w:szCs w:val="24"/>
          <w:lang w:eastAsia="zh-CN"/>
        </w:rPr>
        <w:t xml:space="preserve"> 20.48s with DRX 0.32s in FR2? </w:t>
      </w:r>
      <w:r w:rsidRPr="00002867">
        <w:rPr>
          <w:rFonts w:eastAsia="宋体"/>
          <w:color w:val="0070C0"/>
          <w:szCs w:val="24"/>
          <w:lang w:eastAsia="zh-CN"/>
        </w:rPr>
        <w:br/>
        <w:t>To our understanding, the above option is not feasible and we can compromise to it. (MTK)</w:t>
      </w:r>
    </w:p>
    <w:p w14:paraId="01FB4880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Not agree with option 1 (Ericsson, Huawei,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, vivo, Nokia)</w:t>
      </w:r>
    </w:p>
    <w:p w14:paraId="77006E15" w14:textId="5DDDF63D" w:rsidR="00D93C94" w:rsidRDefault="00D93C94" w:rsidP="00D93C94"/>
    <w:p w14:paraId="273C7B05" w14:textId="24F3D070" w:rsidR="001005C8" w:rsidRPr="001005C8" w:rsidRDefault="001005C8" w:rsidP="00D93C94">
      <w:pPr>
        <w:rPr>
          <w:color w:val="0070C0"/>
          <w:lang w:eastAsia="zh-CN"/>
        </w:rPr>
      </w:pPr>
      <w:r w:rsidRPr="001005C8">
        <w:rPr>
          <w:color w:val="0070C0"/>
          <w:lang w:eastAsia="zh-CN"/>
        </w:rPr>
        <w:t xml:space="preserve">Tentative agreement: </w:t>
      </w:r>
      <w:r w:rsidR="00C03D6A">
        <w:rPr>
          <w:color w:val="0070C0"/>
          <w:lang w:eastAsia="zh-CN"/>
        </w:rPr>
        <w:t xml:space="preserve">agree </w:t>
      </w:r>
      <w:r w:rsidRPr="001005C8">
        <w:rPr>
          <w:color w:val="0070C0"/>
          <w:lang w:eastAsia="zh-CN"/>
        </w:rPr>
        <w:t>option 2</w:t>
      </w:r>
      <w:r w:rsidR="00C03D6A">
        <w:rPr>
          <w:color w:val="0070C0"/>
          <w:lang w:eastAsia="zh-CN"/>
        </w:rPr>
        <w:t xml:space="preserve"> with the case (</w:t>
      </w:r>
      <w:proofErr w:type="spellStart"/>
      <w:r w:rsidR="00C03D6A" w:rsidRPr="00C03D6A">
        <w:rPr>
          <w:color w:val="0070C0"/>
          <w:lang w:eastAsia="zh-CN"/>
        </w:rPr>
        <w:t>eDRX</w:t>
      </w:r>
      <w:proofErr w:type="spellEnd"/>
      <w:r w:rsidR="00C03D6A" w:rsidRPr="00C03D6A">
        <w:rPr>
          <w:color w:val="0070C0"/>
          <w:lang w:eastAsia="zh-CN"/>
        </w:rPr>
        <w:t xml:space="preserve"> cycle = 20.48s and DRX cycle = 0.32s) </w:t>
      </w:r>
      <w:r w:rsidR="00C03D6A" w:rsidRPr="00C03D6A">
        <w:rPr>
          <w:rFonts w:hint="eastAsia"/>
          <w:color w:val="0070C0"/>
          <w:lang w:eastAsia="zh-CN"/>
        </w:rPr>
        <w:t>f</w:t>
      </w:r>
      <w:r w:rsidR="00C03D6A" w:rsidRPr="00C03D6A">
        <w:rPr>
          <w:color w:val="0070C0"/>
          <w:lang w:eastAsia="zh-CN"/>
        </w:rPr>
        <w:t>or FFS</w:t>
      </w:r>
    </w:p>
    <w:p w14:paraId="668C1CBA" w14:textId="77777777" w:rsidR="00D93C94" w:rsidRDefault="00D93C94" w:rsidP="00D93C94">
      <w:pPr>
        <w:pStyle w:val="30"/>
        <w:spacing w:line="240" w:lineRule="auto"/>
      </w:pPr>
      <w:r>
        <w:rPr>
          <w:sz w:val="24"/>
          <w:szCs w:val="16"/>
          <w:lang w:val="en-US"/>
        </w:rPr>
        <w:t xml:space="preserve">Sub-topic 1-3 Idle state cell reselection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</w:t>
      </w:r>
    </w:p>
    <w:p w14:paraId="622447BA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1-3-1: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24E08383" w14:textId="4547F4D2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</w:t>
      </w:r>
      <w:r>
        <w:rPr>
          <w:color w:val="0070C0"/>
          <w:szCs w:val="24"/>
          <w:lang w:eastAsia="zh-CN"/>
        </w:rPr>
        <w:t>ion 1 (</w:t>
      </w:r>
      <w:r w:rsidR="006B1470">
        <w:rPr>
          <w:b/>
          <w:color w:val="0070C0"/>
          <w:u w:val="single"/>
          <w:lang w:eastAsia="zh-CN"/>
        </w:rPr>
        <w:t>Apple MTK Ericsson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29FB55F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035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1A1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91737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C8EF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68356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2E944A5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0C7A3C" w14:paraId="78E967F8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CE3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BE3E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8D4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1B9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E7A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0C7A3C" w14:paraId="5047911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A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C94C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39F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8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A81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0C7A3C" w14:paraId="220BD9B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5F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0E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F1B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BAB682B" w14:textId="37B93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6B1470">
        <w:rPr>
          <w:b/>
          <w:color w:val="0070C0"/>
          <w:u w:val="single"/>
          <w:lang w:eastAsia="zh-CN"/>
        </w:rPr>
        <w:t xml:space="preserve">Huawei Apple CMCC </w:t>
      </w:r>
      <w:proofErr w:type="spellStart"/>
      <w:r w:rsidR="006B1470">
        <w:rPr>
          <w:b/>
          <w:color w:val="0070C0"/>
          <w:u w:val="single"/>
          <w:lang w:eastAsia="zh-CN"/>
        </w:rPr>
        <w:t>xiaomi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</w:t>
      </w:r>
      <w:proofErr w:type="spellStart"/>
      <w:r w:rsidR="006B1470">
        <w:rPr>
          <w:b/>
          <w:color w:val="0070C0"/>
          <w:u w:val="single"/>
          <w:lang w:eastAsia="zh-CN"/>
        </w:rPr>
        <w:t>oppo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vivo MTK Nokia QC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171785DE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FF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9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BF64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9175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2929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509FA205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4615F8ED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4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E73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F2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85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9F3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7.68 x N1 (3 x N1)</w:t>
            </w:r>
          </w:p>
        </w:tc>
      </w:tr>
      <w:tr w:rsidR="000C7A3C" w14:paraId="47255C57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A6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21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7C0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588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1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640DB0F1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00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90D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A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A3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A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7C49EE21" w14:textId="0C188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 (</w:t>
      </w:r>
      <w:r w:rsidR="006B1470">
        <w:rPr>
          <w:b/>
          <w:color w:val="0070C0"/>
          <w:u w:val="single"/>
          <w:lang w:eastAsia="zh-CN"/>
        </w:rPr>
        <w:t>Xiaomi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73EACFAF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16D5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88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512C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F2A8D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02229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074B6EEB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7E41416F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1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935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94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140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08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0C7A3C" w14:paraId="4BD9DB3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9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55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AB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63C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8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7A3EA3E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67B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42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59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7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7B4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502230F4" w14:textId="77777777" w:rsidR="000C7A3C" w:rsidRDefault="000C7A3C" w:rsidP="000C7A3C">
      <w:pPr>
        <w:rPr>
          <w:b/>
          <w:color w:val="0070C0"/>
          <w:u w:val="single"/>
          <w:lang w:eastAsia="zh-CN"/>
        </w:rPr>
      </w:pPr>
    </w:p>
    <w:p w14:paraId="38F966B1" w14:textId="1E17AA7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12FBBC08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1-3-2: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5E6932E8" w14:textId="57A6B269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Option 1 (Apple MTK 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69420F" w14:paraId="662163B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389EB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97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FR2 Scaling Factor (N1)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A841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B1DAE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E918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4929314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69420F" w14:paraId="24089F19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00D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B2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  <w:p w14:paraId="07C26472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E0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69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69420F" w14:paraId="5C911B5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5F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0FAE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CE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9D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0AC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69420F" w14:paraId="7016ECD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EF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B6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6D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31B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FD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1175ACF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04D2CA5F" w14:textId="5BD0160A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Option 2 (Huawei Apple CMCC </w:t>
      </w:r>
      <w:proofErr w:type="spellStart"/>
      <w:r>
        <w:rPr>
          <w:b/>
          <w:color w:val="0070C0"/>
          <w:u w:val="single"/>
          <w:lang w:eastAsia="zh-CN"/>
        </w:rPr>
        <w:t>xiaomi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proofErr w:type="spellStart"/>
      <w:r>
        <w:rPr>
          <w:b/>
          <w:color w:val="0070C0"/>
          <w:u w:val="single"/>
          <w:lang w:eastAsia="zh-CN"/>
        </w:rPr>
        <w:t>oppo</w:t>
      </w:r>
      <w:proofErr w:type="spellEnd"/>
      <w:r>
        <w:rPr>
          <w:b/>
          <w:color w:val="0070C0"/>
          <w:u w:val="single"/>
          <w:lang w:eastAsia="zh-CN"/>
        </w:rPr>
        <w:t xml:space="preserve"> vivo MTK Nokia QC)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0FCF8FB1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67C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9EF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BD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CE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0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580696A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5273180B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2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779E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E0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2C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94A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7.68 x N1 (3 x N1)</w:t>
            </w:r>
          </w:p>
        </w:tc>
      </w:tr>
      <w:tr w:rsidR="0069420F" w14:paraId="5756BC2D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D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02B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8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E2B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6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4128A155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D1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6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AF4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D46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DD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58EA5C31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25AA5B0E" w14:textId="0D36CC12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rFonts w:hint="eastAsia"/>
          <w:b/>
          <w:color w:val="0070C0"/>
          <w:u w:val="single"/>
          <w:lang w:eastAsia="zh-CN"/>
        </w:rPr>
        <w:t>Optio</w:t>
      </w:r>
      <w:r>
        <w:rPr>
          <w:b/>
          <w:color w:val="0070C0"/>
          <w:u w:val="single"/>
          <w:lang w:eastAsia="zh-CN"/>
        </w:rPr>
        <w:t>n 3 (Xiaomi)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23DA2E65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BC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332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23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77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5F3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4CD5097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7CB445F3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9B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4AC57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8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05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23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69420F" w14:paraId="3DF614F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54D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15B6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FAF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E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61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1DA4706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C7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69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D8B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0C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3F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0A3F74E8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6321C249" w14:textId="7F8B47E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0CF366BC" w14:textId="77777777" w:rsidR="000C7A3C" w:rsidRPr="000527FD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</w:p>
    <w:p w14:paraId="28370A93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1-3-3: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&gt;1</w:t>
      </w:r>
      <w:r>
        <w:rPr>
          <w:b/>
          <w:color w:val="0070C0"/>
          <w:u w:val="single"/>
          <w:lang w:eastAsia="zh-CN"/>
        </w:rPr>
        <w:t>0.24s</w:t>
      </w:r>
    </w:p>
    <w:p w14:paraId="629D7EAB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(Apple MTK)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39"/>
        <w:gridCol w:w="1269"/>
        <w:gridCol w:w="839"/>
        <w:gridCol w:w="2805"/>
        <w:gridCol w:w="1346"/>
        <w:gridCol w:w="1339"/>
      </w:tblGrid>
      <w:tr w:rsidR="00D93C94" w14:paraId="3A65C3E4" w14:textId="77777777" w:rsidTr="0091643D">
        <w:trPr>
          <w:cantSplit/>
          <w:trHeight w:val="30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15B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0233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DRX cycle length [s]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F7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PTW length [s] </w:t>
            </w:r>
          </w:p>
          <w:p w14:paraId="452714C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(number of 1.28s periods)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C1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FR1 Scaling Factor (N1)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6FE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FDF2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1DCC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2FBE80F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[s] (number of DRX cycles)</w:t>
            </w:r>
          </w:p>
        </w:tc>
      </w:tr>
      <w:tr w:rsidR="00D93C94" w14:paraId="29A81C7C" w14:textId="77777777" w:rsidTr="0091643D">
        <w:trPr>
          <w:cantSplit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E4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cycle length ≤ 10485.76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8FB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B6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77CA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eDRX_cycle_length*</m:t>
                </m:r>
              </m:oMath>
            </m:oMathPara>
          </w:p>
          <w:p w14:paraId="5E5538E1" w14:textId="77777777" w:rsidR="00D93C94" w:rsidRDefault="000D7570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23*M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2*N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7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 x N1 x M2 (1 x N1 x 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74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x M2 (2 x N1 x M2)</w:t>
            </w:r>
          </w:p>
        </w:tc>
      </w:tr>
      <w:tr w:rsidR="00D93C94" w14:paraId="265BEE68" w14:textId="77777777" w:rsidTr="0091643D">
        <w:trPr>
          <w:cantSplit/>
          <w:trHeight w:val="633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87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A6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1402231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944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263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AF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F7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(2 x N1)</w:t>
            </w:r>
          </w:p>
        </w:tc>
      </w:tr>
      <w:tr w:rsidR="00D93C94" w14:paraId="161118C1" w14:textId="77777777" w:rsidTr="0091643D">
        <w:trPr>
          <w:cantSplit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D4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38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500A28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721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747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F4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20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(2 x N1)</w:t>
            </w:r>
          </w:p>
        </w:tc>
      </w:tr>
      <w:tr w:rsidR="00D93C94" w14:paraId="205316B6" w14:textId="77777777" w:rsidTr="0091643D">
        <w:trPr>
          <w:cantSplit/>
          <w:trHeight w:val="57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5CF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4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7DE1958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782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53BA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93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(2 x N1)</w:t>
            </w:r>
          </w:p>
        </w:tc>
      </w:tr>
      <w:tr w:rsidR="00D93C94" w14:paraId="6502C4C8" w14:textId="77777777" w:rsidTr="0091643D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9B017C" w14:textId="77777777" w:rsidR="00D93C94" w:rsidRDefault="00D93C94" w:rsidP="0091643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  <w:r>
              <w:rPr>
                <w:b/>
                <w:bCs/>
                <w:i/>
                <w:iCs/>
              </w:rPr>
              <w:t xml:space="preserve">  </w:t>
            </w:r>
          </w:p>
          <w:p w14:paraId="0B94C2D3" w14:textId="77777777" w:rsidR="00D93C94" w:rsidRDefault="00D93C94" w:rsidP="0091643D">
            <w:pPr>
              <w:pStyle w:val="TAC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Note 2: M2=1.5 if SMTC periodicity of measured intra-frequency cell &gt; 20 m and DRX cycle=0.32s, otherwise M2=1.</w:t>
            </w:r>
          </w:p>
        </w:tc>
      </w:tr>
    </w:tbl>
    <w:p w14:paraId="36442C56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(vivo)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8"/>
        <w:gridCol w:w="1898"/>
        <w:gridCol w:w="1150"/>
        <w:gridCol w:w="2321"/>
        <w:gridCol w:w="1089"/>
        <w:gridCol w:w="1084"/>
      </w:tblGrid>
      <w:tr w:rsidR="00D93C94" w14:paraId="3F867B57" w14:textId="77777777" w:rsidTr="0091643D">
        <w:trPr>
          <w:cantSplit/>
          <w:trHeight w:val="308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A67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cycle length [s]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14C6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DRX cycle length [s]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CAA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PTW length [s] </w:t>
            </w:r>
          </w:p>
          <w:p w14:paraId="57294E77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(number of 1.28s periods)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1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FR1 Scaling Factor (N1)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189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3B3B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D80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evaluate,NR_Intra</w:t>
            </w:r>
            <w:proofErr w:type="spellEnd"/>
          </w:p>
          <w:p w14:paraId="31A5C5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[s] (number of DRX cycles)</w:t>
            </w:r>
          </w:p>
        </w:tc>
      </w:tr>
      <w:tr w:rsidR="00D93C94" w14:paraId="06A66854" w14:textId="77777777" w:rsidTr="0091643D">
        <w:trPr>
          <w:cantSplit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81B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cycle length ≤ 10485.76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D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74C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≥1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.28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4A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2207B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5"/>
                    <w:szCs w:val="15"/>
                  </w:rPr>
                  <m:t>eDRX_cycle_length*</m:t>
                </m:r>
              </m:oMath>
            </m:oMathPara>
          </w:p>
          <w:p w14:paraId="4ED4F868" w14:textId="77777777" w:rsidR="00D93C94" w:rsidRDefault="000D7570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23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14:paraId="5B4A92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(23)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C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 x N1*M2 (1 x N1*M2)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1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*M2 (2 x N1*M2)</w:t>
            </w:r>
          </w:p>
        </w:tc>
      </w:tr>
      <w:tr w:rsidR="00D93C94" w14:paraId="7E160CBD" w14:textId="77777777" w:rsidTr="0091643D">
        <w:trPr>
          <w:cantSplit/>
          <w:trHeight w:val="633"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093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E1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6723CE1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8 (1)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5DD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C2E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11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7F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(2 x N1)</w:t>
            </w:r>
          </w:p>
        </w:tc>
      </w:tr>
      <w:tr w:rsidR="00D93C94" w14:paraId="7D533838" w14:textId="77777777" w:rsidTr="0091643D">
        <w:trPr>
          <w:cantSplit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9B0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86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3C4724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2.56 (2)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1BF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AAB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02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8B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(2 x N1)</w:t>
            </w:r>
          </w:p>
        </w:tc>
      </w:tr>
      <w:tr w:rsidR="00D93C94" w14:paraId="745F8929" w14:textId="77777777" w:rsidTr="0091643D">
        <w:trPr>
          <w:cantSplit/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E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3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0E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5.12 (4)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51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8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E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A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5.12 x N1 (2 x N1)</w:t>
            </w:r>
          </w:p>
        </w:tc>
      </w:tr>
    </w:tbl>
    <w:p w14:paraId="5D2FC81B" w14:textId="121FF18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6E81766C" w14:textId="6EF19710" w:rsidR="006F680A" w:rsidRPr="006F680A" w:rsidRDefault="006F680A" w:rsidP="0096070F">
      <w:pPr>
        <w:rPr>
          <w:color w:val="0070C0"/>
          <w:lang w:eastAsia="zh-CN"/>
        </w:rPr>
      </w:pPr>
      <w:r w:rsidRPr="006F680A">
        <w:rPr>
          <w:color w:val="0070C0"/>
          <w:lang w:eastAsia="zh-CN"/>
        </w:rPr>
        <w:t>Tentative agreement: option 1</w:t>
      </w:r>
    </w:p>
    <w:p w14:paraId="203E53C2" w14:textId="7777777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04B72985" w14:textId="0D1CADA5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1-3-3-1 Whether to consider M2 when DRX = 0.32s</w:t>
      </w:r>
    </w:p>
    <w:p w14:paraId="01C08021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 included   (M2 = 1.5 if SMTC periodicity of measured intra-frequency cell &gt; 20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otherwise M2=1.(Apple Huawei MTK vivo) </w:t>
      </w:r>
    </w:p>
    <w:p w14:paraId="510016ED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include M2 (CMCC Nokia Ericsson ZTE)</w:t>
      </w:r>
    </w:p>
    <w:p w14:paraId="0B7C70FF" w14:textId="6026951F" w:rsidR="0096070F" w:rsidRPr="00C05CDB" w:rsidRDefault="0096070F" w:rsidP="0096070F">
      <w:pPr>
        <w:spacing w:after="120" w:line="252" w:lineRule="auto"/>
        <w:rPr>
          <w:color w:val="0070C0"/>
          <w:lang w:eastAsia="zh-CN"/>
        </w:rPr>
      </w:pPr>
      <w:r w:rsidRPr="00C05CDB">
        <w:rPr>
          <w:color w:val="0070C0"/>
          <w:lang w:eastAsia="zh-CN"/>
        </w:rPr>
        <w:t>Agreement: Keep M2 for FR1 and do not use M2 for FR2</w:t>
      </w:r>
    </w:p>
    <w:p w14:paraId="4007AA86" w14:textId="77777777" w:rsidR="0096070F" w:rsidRPr="00460235" w:rsidRDefault="0096070F" w:rsidP="0096070F">
      <w:pPr>
        <w:spacing w:after="120" w:line="252" w:lineRule="auto"/>
        <w:rPr>
          <w:color w:val="0070C0"/>
          <w:lang w:eastAsia="zh-CN"/>
        </w:rPr>
      </w:pPr>
    </w:p>
    <w:p w14:paraId="01259FE4" w14:textId="77777777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1-3-3-2 Whether split PTW to 2 gears for small DRX cycle (0.32s and 0.64s) when defining requirements</w:t>
      </w:r>
    </w:p>
    <w:p w14:paraId="1B738CB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Yes  (Huawei)</w:t>
      </w:r>
    </w:p>
    <w:p w14:paraId="3AE9829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No   (Apple CMCC Nokia Ericsson)</w:t>
      </w:r>
    </w:p>
    <w:p w14:paraId="477D6679" w14:textId="44EE4255" w:rsidR="0096070F" w:rsidRPr="00590954" w:rsidRDefault="0096070F" w:rsidP="0096070F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>greement: option 2</w:t>
      </w:r>
    </w:p>
    <w:p w14:paraId="30D11530" w14:textId="77777777" w:rsidR="0096070F" w:rsidRDefault="0096070F" w:rsidP="0096070F">
      <w:pPr>
        <w:spacing w:after="120"/>
        <w:rPr>
          <w:b/>
          <w:color w:val="0070C0"/>
          <w:u w:val="single"/>
          <w:lang w:eastAsia="zh-CN"/>
        </w:rPr>
      </w:pPr>
    </w:p>
    <w:p w14:paraId="67EF6423" w14:textId="77777777" w:rsidR="00D93C94" w:rsidRDefault="00D93C94" w:rsidP="00D93C94"/>
    <w:p w14:paraId="65E18D25" w14:textId="4637ECE6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 w:rsidR="00C03D6A">
        <w:rPr>
          <w:b/>
          <w:color w:val="0070C0"/>
          <w:u w:val="single"/>
          <w:lang w:eastAsia="zh-CN"/>
        </w:rPr>
        <w:t>≥</w:t>
      </w:r>
      <w:r>
        <w:rPr>
          <w:b/>
          <w:color w:val="0070C0"/>
          <w:u w:val="single"/>
          <w:lang w:eastAsia="zh-CN"/>
        </w:rPr>
        <w:t>20.48s</w:t>
      </w:r>
    </w:p>
    <w:p w14:paraId="18F0BD01" w14:textId="77777777" w:rsidR="00D93C94" w:rsidRDefault="00D93C94" w:rsidP="00D93C94">
      <w:pPr>
        <w:pStyle w:val="aff8"/>
        <w:numPr>
          <w:ilvl w:val="0"/>
          <w:numId w:val="11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Option</w:t>
      </w:r>
      <w:r>
        <w:rPr>
          <w:color w:val="0070C0"/>
          <w:szCs w:val="24"/>
          <w:lang w:eastAsia="zh-CN"/>
        </w:rPr>
        <w:t xml:space="preserve"> </w:t>
      </w:r>
      <w:r>
        <w:rPr>
          <w:rFonts w:hint="eastAsia"/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a </w:t>
      </w:r>
      <w:r>
        <w:rPr>
          <w:rFonts w:hint="eastAsia"/>
          <w:color w:val="0070C0"/>
          <w:szCs w:val="24"/>
          <w:lang w:eastAsia="zh-CN"/>
        </w:rPr>
        <w:t>(</w:t>
      </w:r>
      <w:r>
        <w:rPr>
          <w:color w:val="0070C0"/>
          <w:szCs w:val="24"/>
          <w:lang w:eastAsia="zh-CN"/>
        </w:rPr>
        <w:t>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90"/>
        <w:gridCol w:w="1002"/>
        <w:gridCol w:w="876"/>
        <w:gridCol w:w="2702"/>
        <w:gridCol w:w="1462"/>
        <w:gridCol w:w="1452"/>
      </w:tblGrid>
      <w:tr w:rsidR="00D93C94" w14:paraId="00FB1D8A" w14:textId="77777777" w:rsidTr="0091643D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8CC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992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62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170D6CC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60" w14:textId="3E4D21F0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</w:t>
            </w:r>
            <w:r w:rsidR="002C3C4F">
              <w:rPr>
                <w:rFonts w:ascii="Times New Roman" w:hAnsi="Times New Roman"/>
                <w:bCs/>
                <w:szCs w:val="18"/>
              </w:rPr>
              <w:t>2</w:t>
            </w:r>
            <w:r>
              <w:rPr>
                <w:rFonts w:ascii="Times New Roman" w:hAnsi="Times New Roman"/>
                <w:bCs/>
                <w:szCs w:val="18"/>
              </w:rPr>
              <w:t xml:space="preserve">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9C7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6BDA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7690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3954B04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D93C94" w14:paraId="1E23B8B3" w14:textId="77777777" w:rsidTr="0091643D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BC6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DF4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2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4B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258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D96C6D9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3F" w14:textId="77777777" w:rsidR="00D93C94" w:rsidRDefault="00D93C94" w:rsidP="0091643D">
            <w:pPr>
              <w:pStyle w:val="TAC"/>
            </w:pPr>
            <w:r>
              <w:t xml:space="preserve">0.32 x N1 </w:t>
            </w:r>
          </w:p>
          <w:p w14:paraId="787C1E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390" w14:textId="77777777" w:rsidR="00D93C94" w:rsidRDefault="00D93C94" w:rsidP="0091643D">
            <w:pPr>
              <w:pStyle w:val="TAC"/>
            </w:pPr>
            <w:r>
              <w:t>0.64 x N1</w:t>
            </w:r>
          </w:p>
          <w:p w14:paraId="465DF8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685E027C" w14:textId="77777777" w:rsidTr="0091643D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6A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E5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D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D69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1D4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64E" w14:textId="77777777" w:rsidR="00D93C94" w:rsidRDefault="00D93C94" w:rsidP="0091643D">
            <w:pPr>
              <w:pStyle w:val="TAC"/>
            </w:pPr>
            <w:r>
              <w:t xml:space="preserve">0.64 x N1 </w:t>
            </w:r>
          </w:p>
          <w:p w14:paraId="6BCCC49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E3B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36C616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52BE9E63" w14:textId="77777777" w:rsidTr="0091643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88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8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F6" w14:textId="77777777" w:rsidR="00D93C94" w:rsidRDefault="00D93C94" w:rsidP="0091643D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5AD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A9B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790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55C187D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9E3" w14:textId="77777777" w:rsidR="00D93C94" w:rsidRDefault="00D93C94" w:rsidP="0091643D">
            <w:pPr>
              <w:pStyle w:val="TAC"/>
            </w:pPr>
            <w:r>
              <w:t>2.56 x N1</w:t>
            </w:r>
          </w:p>
          <w:p w14:paraId="49335E8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7671C680" w14:textId="77777777" w:rsidTr="0091643D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607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11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F5D" w14:textId="77777777" w:rsidR="00D93C94" w:rsidRDefault="00D93C94" w:rsidP="0091643D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DE1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5A2" w14:textId="77777777" w:rsidR="00D93C94" w:rsidRDefault="00D93C94" w:rsidP="0091643D">
            <w:pPr>
              <w:pStyle w:val="TAC"/>
            </w:pPr>
            <w:r>
              <w:t xml:space="preserve">2.56 x N1 </w:t>
            </w:r>
          </w:p>
          <w:p w14:paraId="62A8A1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30D" w14:textId="77777777" w:rsidR="00D93C94" w:rsidRDefault="00D93C94" w:rsidP="0091643D">
            <w:pPr>
              <w:pStyle w:val="TAC"/>
            </w:pPr>
            <w:r>
              <w:t>5.12 x N1</w:t>
            </w:r>
          </w:p>
          <w:p w14:paraId="0A799C6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</w:tbl>
    <w:p w14:paraId="05D9075A" w14:textId="77777777" w:rsidR="00D93C94" w:rsidRDefault="00D93C94" w:rsidP="00D93C94"/>
    <w:p w14:paraId="616AD71A" w14:textId="0E57BA9A" w:rsidR="00D93C94" w:rsidRPr="0099070E" w:rsidRDefault="0099070E" w:rsidP="0099070E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99070E">
        <w:rPr>
          <w:rFonts w:eastAsia="宋体"/>
          <w:color w:val="0070C0"/>
          <w:szCs w:val="24"/>
          <w:lang w:eastAsia="zh-CN"/>
        </w:rPr>
        <w:t>Tentative agreement:</w:t>
      </w:r>
      <w:r>
        <w:rPr>
          <w:rFonts w:eastAsia="宋体"/>
          <w:color w:val="0070C0"/>
          <w:szCs w:val="24"/>
          <w:lang w:eastAsia="zh-CN"/>
        </w:rPr>
        <w:t xml:space="preserve"> requirements in the following table are agreed: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88"/>
        <w:gridCol w:w="1000"/>
        <w:gridCol w:w="876"/>
        <w:gridCol w:w="2702"/>
        <w:gridCol w:w="1462"/>
        <w:gridCol w:w="1456"/>
      </w:tblGrid>
      <w:tr w:rsidR="0099070E" w14:paraId="5D8457FC" w14:textId="77777777" w:rsidTr="002B1947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3917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0A9D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9F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58957B8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A6C" w14:textId="33B64B7F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</w:t>
            </w:r>
            <w:r w:rsidR="002C3C4F">
              <w:rPr>
                <w:rFonts w:ascii="Times New Roman" w:hAnsi="Times New Roman"/>
                <w:bCs/>
                <w:szCs w:val="18"/>
              </w:rPr>
              <w:t>2</w:t>
            </w:r>
            <w:r>
              <w:rPr>
                <w:rFonts w:ascii="Times New Roman" w:hAnsi="Times New Roman"/>
                <w:bCs/>
                <w:szCs w:val="18"/>
              </w:rPr>
              <w:t xml:space="preserve">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3F86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DB2A1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AA646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2B89B8D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99070E" w14:paraId="13814492" w14:textId="77777777" w:rsidTr="002B1947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683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E0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25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76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44D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CB65426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5CC" w14:textId="77777777" w:rsidR="0099070E" w:rsidRDefault="0099070E" w:rsidP="002B1947">
            <w:pPr>
              <w:pStyle w:val="TAC"/>
            </w:pPr>
            <w:r>
              <w:t xml:space="preserve">0.32 x N1 </w:t>
            </w:r>
          </w:p>
          <w:p w14:paraId="00D04B3C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225" w14:textId="77777777" w:rsidR="0099070E" w:rsidRDefault="0099070E" w:rsidP="002B1947">
            <w:pPr>
              <w:pStyle w:val="TAC"/>
            </w:pPr>
            <w:r>
              <w:t>0.64 x N1</w:t>
            </w:r>
          </w:p>
          <w:p w14:paraId="0A705BE0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4A31F2FB" w14:textId="77777777" w:rsidTr="002B1947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E3F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358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57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A67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CFD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8E5" w14:textId="77777777" w:rsidR="0099070E" w:rsidRDefault="0099070E" w:rsidP="002B1947">
            <w:pPr>
              <w:pStyle w:val="TAC"/>
            </w:pPr>
            <w:r>
              <w:t xml:space="preserve">0.64 x N1 </w:t>
            </w:r>
          </w:p>
          <w:p w14:paraId="5134F1D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F8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79659C81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7B86A6F9" w14:textId="77777777" w:rsidTr="002B19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33C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CA6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CDB" w14:textId="77777777" w:rsidR="0099070E" w:rsidRDefault="0099070E" w:rsidP="002B1947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B26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67C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92F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08B1F42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8DC" w14:textId="77777777" w:rsidR="0099070E" w:rsidRDefault="0099070E" w:rsidP="002B1947">
            <w:pPr>
              <w:pStyle w:val="TAC"/>
            </w:pPr>
            <w:r>
              <w:t>2.56 x N1</w:t>
            </w:r>
          </w:p>
          <w:p w14:paraId="73C22EB4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112A2F33" w14:textId="77777777" w:rsidTr="002B194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AC3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1DE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32" w14:textId="77777777" w:rsidR="0099070E" w:rsidRDefault="0099070E" w:rsidP="002B1947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C1F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093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3E6" w14:textId="77777777" w:rsidR="0099070E" w:rsidRDefault="0099070E" w:rsidP="002B1947">
            <w:pPr>
              <w:pStyle w:val="TAC"/>
            </w:pPr>
            <w:r>
              <w:t xml:space="preserve">2.56 x N1 </w:t>
            </w:r>
          </w:p>
          <w:p w14:paraId="4728E8F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B55" w14:textId="77777777" w:rsidR="0099070E" w:rsidRDefault="0099070E" w:rsidP="002B1947">
            <w:pPr>
              <w:pStyle w:val="TAC"/>
            </w:pPr>
            <w:r>
              <w:t>5.12 x N1</w:t>
            </w:r>
          </w:p>
          <w:p w14:paraId="3713E44D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6CC2CB58" w14:textId="77777777" w:rsidTr="002B1947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71C" w14:textId="77777777" w:rsidR="0099070E" w:rsidRPr="002014E4" w:rsidRDefault="0099070E" w:rsidP="002B1947">
            <w:pPr>
              <w:spacing w:after="0"/>
            </w:pPr>
            <w:r w:rsidRPr="007C63AA">
              <w:rPr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*1.28s</m:t>
              </m:r>
            </m:oMath>
            <w:r w:rsidRPr="002014E4">
              <w:t xml:space="preserve">  </w:t>
            </w:r>
          </w:p>
          <w:p w14:paraId="25BD5DC3" w14:textId="77777777" w:rsidR="0099070E" w:rsidRDefault="0099070E" w:rsidP="002B1947">
            <w:pPr>
              <w:pStyle w:val="TAC"/>
            </w:pPr>
          </w:p>
        </w:tc>
      </w:tr>
    </w:tbl>
    <w:p w14:paraId="7A2369ED" w14:textId="77777777" w:rsidR="0099070E" w:rsidRDefault="0099070E" w:rsidP="00D93C94">
      <w:pPr>
        <w:rPr>
          <w:b/>
          <w:color w:val="0070C0"/>
          <w:u w:val="single"/>
          <w:lang w:eastAsia="zh-CN"/>
        </w:rPr>
      </w:pPr>
    </w:p>
    <w:p w14:paraId="5ACAF542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1-3-4-1: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372FC5A3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3EBDBDD4" w14:textId="796D1C56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issue (Apple CMCC Nokia Ericsson Huawei vivo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12857E33" w14:textId="01B7F77C" w:rsidR="00EF3E2C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2B1947">
        <w:rPr>
          <w:rFonts w:eastAsia="宋体"/>
          <w:color w:val="0070C0"/>
          <w:szCs w:val="24"/>
          <w:lang w:eastAsia="zh-CN"/>
        </w:rPr>
        <w:t>Tentative agreement: option 2</w:t>
      </w:r>
    </w:p>
    <w:p w14:paraId="099DF4D7" w14:textId="77777777" w:rsidR="002B1947" w:rsidRPr="002B1947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4794ED3A" w14:textId="38EA6084" w:rsidR="00EF3E2C" w:rsidRDefault="00EF3E2C" w:rsidP="00EF3E2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1-3-4-2: N1 for FR2 intra-frequency cell reselection  requirements </w:t>
      </w:r>
    </w:p>
    <w:p w14:paraId="375DB332" w14:textId="77777777" w:rsidR="00EF3E2C" w:rsidRDefault="00EF3E2C" w:rsidP="00EF3E2C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[8 5 4 3] for DRX [0.32 0.64 1.28 2.56]  (Apple CMCC Nokia Ericsson Huawei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2850A583" w14:textId="603152D5" w:rsidR="00EF3E2C" w:rsidRPr="00590954" w:rsidRDefault="00EF3E2C" w:rsidP="00EF3E2C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 xml:space="preserve">greement: option </w:t>
      </w:r>
      <w:r>
        <w:rPr>
          <w:rFonts w:eastAsia="宋体"/>
          <w:color w:val="0070C0"/>
          <w:szCs w:val="24"/>
          <w:lang w:eastAsia="zh-CN"/>
        </w:rPr>
        <w:t>1</w:t>
      </w:r>
    </w:p>
    <w:p w14:paraId="7592C022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</w:p>
    <w:p w14:paraId="19E1BCE8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1-3-5 Timer for initiating Cell selection in Idle mode</w:t>
      </w:r>
    </w:p>
    <w:p w14:paraId="0418E122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818874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(Ericsson)</w:t>
      </w:r>
    </w:p>
    <w:p w14:paraId="095C9F5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1596DE0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K1*N1*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20.48s, where, K1=2. Otherwise, T = max(81.92s,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</w:t>
      </w:r>
    </w:p>
    <w:p w14:paraId="1ED8F6BB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 (Huawei Apple vivo Nokia)</w:t>
      </w:r>
    </w:p>
    <w:p w14:paraId="047E1AEF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74DC02BC" w14:textId="0122F5E1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5E15E0EB" w14:textId="711EC9FD" w:rsidR="007A6F02" w:rsidRPr="007A6F02" w:rsidRDefault="007A6F02" w:rsidP="007A6F02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>Option 2a</w:t>
      </w:r>
    </w:p>
    <w:p w14:paraId="08627F7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5C18D9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353F726F" w14:textId="5B14664E" w:rsidR="007A6F02" w:rsidRPr="007A6F02" w:rsidRDefault="007A6F02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lastRenderedPageBreak/>
        <w:t xml:space="preserve">When UE is configured with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eDRX_IDLE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cycle, introduce the max function for timer  T= max(10s,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 is larger than 10.24s</w:t>
      </w:r>
    </w:p>
    <w:p w14:paraId="3761E42D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 (MTK)</w:t>
      </w:r>
    </w:p>
    <w:p w14:paraId="417B722E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37D834C4" w14:textId="77777777" w:rsidR="00D93C94" w:rsidRPr="00F04817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04817">
        <w:rPr>
          <w:rFonts w:eastAsia="宋体"/>
          <w:color w:val="0070C0"/>
          <w:szCs w:val="24"/>
          <w:lang w:eastAsia="zh-CN"/>
        </w:rPr>
        <w:t>FFS on FR2</w:t>
      </w:r>
    </w:p>
    <w:p w14:paraId="7FB01AA7" w14:textId="56AEE768" w:rsidR="007A6F02" w:rsidRDefault="007A6F02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 xml:space="preserve">Tentative agreement: </w:t>
      </w:r>
      <w:r w:rsidR="006C22E7">
        <w:rPr>
          <w:rFonts w:eastAsia="宋体"/>
          <w:color w:val="0070C0"/>
          <w:szCs w:val="24"/>
          <w:lang w:eastAsia="zh-CN"/>
        </w:rPr>
        <w:t>option 2a</w:t>
      </w:r>
    </w:p>
    <w:p w14:paraId="0EF06E2E" w14:textId="77777777" w:rsidR="003F39DB" w:rsidRDefault="003F39DB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01605CC2" w14:textId="77777777" w:rsidR="006C22E7" w:rsidRPr="007A6F02" w:rsidRDefault="006C22E7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78A74607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1-4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for inactive state</w:t>
      </w:r>
    </w:p>
    <w:p w14:paraId="4436853C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1-4-1: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longer than 10.24s</w:t>
      </w:r>
    </w:p>
    <w:p w14:paraId="7AA2310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DRX or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configured (Huawei vivo MTK) </w:t>
      </w:r>
    </w:p>
    <w:p w14:paraId="3B3FB867" w14:textId="77777777" w:rsidR="00D93C94" w:rsidRPr="00FB6528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B6528"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 w:rsidRPr="00FB6528">
        <w:rPr>
          <w:rFonts w:eastAsia="宋体"/>
          <w:color w:val="0070C0"/>
          <w:szCs w:val="24"/>
          <w:lang w:eastAsia="zh-CN"/>
        </w:rPr>
        <w:t>xiaomi</w:t>
      </w:r>
      <w:proofErr w:type="spellEnd"/>
      <w:r w:rsidRPr="00FB6528">
        <w:rPr>
          <w:rFonts w:eastAsia="宋体"/>
          <w:color w:val="0070C0"/>
          <w:szCs w:val="24"/>
          <w:lang w:eastAsia="zh-CN"/>
        </w:rPr>
        <w:t xml:space="preserve"> Nokia)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DB51025" w14:textId="77777777" w:rsidTr="0091643D">
        <w:tc>
          <w:tcPr>
            <w:tcW w:w="1525" w:type="dxa"/>
          </w:tcPr>
          <w:p w14:paraId="16921FC3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7ED9353B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6DDC1DE1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30732DE9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7EDCCB74" w14:textId="77777777" w:rsidTr="0091643D">
        <w:tc>
          <w:tcPr>
            <w:tcW w:w="1525" w:type="dxa"/>
          </w:tcPr>
          <w:p w14:paraId="363946B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4E5B9EB2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2BE3EAEE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1B88540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>Shortest value of default paging cycle and UE specific DRX cycle if configured by upper layer</w:t>
            </w:r>
          </w:p>
        </w:tc>
      </w:tr>
      <w:tr w:rsidR="00D93C94" w14:paraId="7C67EDD8" w14:textId="77777777" w:rsidTr="0091643D">
        <w:tc>
          <w:tcPr>
            <w:tcW w:w="1525" w:type="dxa"/>
          </w:tcPr>
          <w:p w14:paraId="77760DDC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06FEA058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715A0757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25D8775D" w14:textId="77777777" w:rsidR="00D93C94" w:rsidRDefault="00D93C94" w:rsidP="0091643D">
            <w:pPr>
              <w:spacing w:after="120"/>
              <w:jc w:val="both"/>
            </w:pPr>
            <w:r>
              <w:t>RAN paging cycle.</w:t>
            </w:r>
          </w:p>
        </w:tc>
      </w:tr>
      <w:tr w:rsidR="00D93C94" w14:paraId="3EFCA9CB" w14:textId="77777777" w:rsidTr="0091643D">
        <w:tc>
          <w:tcPr>
            <w:tcW w:w="1525" w:type="dxa"/>
          </w:tcPr>
          <w:p w14:paraId="3A1C671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6EAC8F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6D18D4D3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CA98914" w14:textId="77777777" w:rsidR="00D93C94" w:rsidRDefault="00D93C94" w:rsidP="0091643D">
            <w:pPr>
              <w:spacing w:after="120"/>
              <w:jc w:val="both"/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hortest value of default paging cycle and UE specific DRX cycle if configured by upper layer</w:t>
            </w:r>
          </w:p>
        </w:tc>
      </w:tr>
      <w:tr w:rsidR="00D93C94" w14:paraId="04317881" w14:textId="77777777" w:rsidTr="0091643D">
        <w:tc>
          <w:tcPr>
            <w:tcW w:w="1525" w:type="dxa"/>
          </w:tcPr>
          <w:p w14:paraId="7E0AAF61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7AF705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71A9B3CC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16638D53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</w:tbl>
    <w:p w14:paraId="0BA51730" w14:textId="38BF95AE" w:rsidR="00D93C94" w:rsidRDefault="00D93C94" w:rsidP="00D93C94">
      <w:pPr>
        <w:spacing w:after="120"/>
        <w:rPr>
          <w:color w:val="0070C0"/>
          <w:lang w:val="en-US" w:eastAsia="zh-CN"/>
        </w:rPr>
      </w:pPr>
    </w:p>
    <w:p w14:paraId="28DE0C2E" w14:textId="52883F67" w:rsidR="003F39DB" w:rsidRDefault="003F39DB" w:rsidP="00D93C94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no consensus </w:t>
      </w:r>
    </w:p>
    <w:p w14:paraId="47659FAB" w14:textId="77777777" w:rsidR="003F39DB" w:rsidRDefault="003F39DB" w:rsidP="00D93C94">
      <w:pPr>
        <w:spacing w:after="120"/>
        <w:rPr>
          <w:color w:val="0070C0"/>
          <w:lang w:val="en-US" w:eastAsia="zh-CN"/>
        </w:rPr>
      </w:pPr>
    </w:p>
    <w:p w14:paraId="57773439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1-4-2: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no longer than 10.24s</w:t>
      </w:r>
    </w:p>
    <w:p w14:paraId="131B59DC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or inactive DRX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not configured (Huawei vivo MTK)   </w:t>
      </w:r>
    </w:p>
    <w:p w14:paraId="1B52F6A9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 Nokia)</w:t>
      </w:r>
    </w:p>
    <w:p w14:paraId="58CD6B8A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3B55E21" w14:textId="77777777" w:rsidTr="0091643D">
        <w:tc>
          <w:tcPr>
            <w:tcW w:w="1525" w:type="dxa"/>
          </w:tcPr>
          <w:p w14:paraId="5BA3652C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266D333C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46534E00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04E4419A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2DE348D9" w14:textId="77777777" w:rsidTr="0091643D">
        <w:tc>
          <w:tcPr>
            <w:tcW w:w="1525" w:type="dxa"/>
          </w:tcPr>
          <w:p w14:paraId="1FE8DFC6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3DD62DB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1F2640AE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198C13E0" w14:textId="77777777" w:rsidR="00D93C94" w:rsidRDefault="00D93C94" w:rsidP="0091643D">
            <w:pPr>
              <w:spacing w:after="120"/>
              <w:jc w:val="both"/>
            </w:pPr>
            <w:r>
              <w:t xml:space="preserve">Shortest of RAN paging cycle and IDLE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  <w:tr w:rsidR="00D93C94" w14:paraId="47A2CA9E" w14:textId="77777777" w:rsidTr="0091643D">
        <w:tc>
          <w:tcPr>
            <w:tcW w:w="1525" w:type="dxa"/>
          </w:tcPr>
          <w:p w14:paraId="036E89D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2AA00BA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0EEAA555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5AD56579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 xml:space="preserve">The shortest of IDLE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 and INACTIVE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cycle.</w:t>
            </w:r>
          </w:p>
        </w:tc>
      </w:tr>
    </w:tbl>
    <w:p w14:paraId="4B43EC4F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p w14:paraId="13F28EFA" w14:textId="37973405" w:rsidR="00A76F86" w:rsidRDefault="00A76F86" w:rsidP="00A76F86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</w:t>
      </w:r>
      <w:r w:rsidR="009F7358">
        <w:rPr>
          <w:color w:val="0070C0"/>
          <w:lang w:val="en-US" w:eastAsia="zh-CN"/>
        </w:rPr>
        <w:t>No</w:t>
      </w:r>
      <w:r>
        <w:rPr>
          <w:color w:val="0070C0"/>
          <w:lang w:val="en-US" w:eastAsia="zh-CN"/>
        </w:rPr>
        <w:t xml:space="preserve"> consensus</w:t>
      </w:r>
      <w:r w:rsidR="00B1077C">
        <w:rPr>
          <w:color w:val="0070C0"/>
          <w:lang w:val="en-US" w:eastAsia="zh-CN"/>
        </w:rPr>
        <w:t xml:space="preserve">, </w:t>
      </w:r>
      <w:r w:rsidR="00B1077C">
        <w:rPr>
          <w:color w:val="0070C0"/>
          <w:lang w:eastAsia="zh-CN"/>
        </w:rPr>
        <w:t>FFS at maintenance stage</w:t>
      </w:r>
      <w:r>
        <w:rPr>
          <w:color w:val="0070C0"/>
          <w:lang w:val="en-US" w:eastAsia="zh-CN"/>
        </w:rPr>
        <w:t xml:space="preserve"> </w:t>
      </w:r>
    </w:p>
    <w:p w14:paraId="19CDD385" w14:textId="77777777" w:rsidR="00A3302B" w:rsidRPr="00A76F86" w:rsidRDefault="00A3302B" w:rsidP="00A76F86">
      <w:pPr>
        <w:spacing w:after="120" w:line="240" w:lineRule="auto"/>
        <w:rPr>
          <w:lang w:val="en-US" w:eastAsia="zh-CN"/>
        </w:rPr>
      </w:pPr>
    </w:p>
    <w:p w14:paraId="76A50A3D" w14:textId="77777777" w:rsidR="00A3302B" w:rsidRDefault="00A3302B" w:rsidP="00A3302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1-4-4: Inactive state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inter-frequency requirements </w:t>
      </w:r>
    </w:p>
    <w:p w14:paraId="3486CB29" w14:textId="77777777" w:rsidR="00A3302B" w:rsidRDefault="00A3302B" w:rsidP="00A3302B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inter-frequency measurement requirements for inactive state Redcap UE are the same as these of intra-frequency measurement requirements (vivo) </w:t>
      </w:r>
    </w:p>
    <w:p w14:paraId="3D4E0F12" w14:textId="6CDBBCE0" w:rsidR="00A3302B" w:rsidRPr="00A3302B" w:rsidRDefault="00A3302B" w:rsidP="00A3302B">
      <w:pPr>
        <w:spacing w:after="120" w:line="240" w:lineRule="auto"/>
        <w:rPr>
          <w:lang w:val="en-US" w:eastAsia="zh-CN"/>
        </w:rPr>
      </w:pPr>
      <w:r>
        <w:rPr>
          <w:b/>
          <w:color w:val="0070C0"/>
          <w:u w:val="single"/>
          <w:lang w:eastAsia="zh-CN"/>
        </w:rPr>
        <w:lastRenderedPageBreak/>
        <w:t>A</w:t>
      </w:r>
      <w:r w:rsidRPr="00A3302B">
        <w:rPr>
          <w:b/>
          <w:color w:val="0070C0"/>
          <w:u w:val="single"/>
          <w:lang w:eastAsia="zh-CN"/>
        </w:rPr>
        <w:t>greement: option 1</w:t>
      </w:r>
    </w:p>
    <w:p w14:paraId="67CCCC8F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>Topic #2: RRM measurement relaxations</w:t>
      </w:r>
    </w:p>
    <w:p w14:paraId="3DD5511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General aspects for RRM measurement relaxation for Redcap </w:t>
      </w:r>
    </w:p>
    <w:p w14:paraId="3B93E35A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 Scenario to be considered for Rel-17 RRM relaxation for Redcap when both Rel-16 and Rel-17 criteria are configured </w:t>
      </w:r>
      <w:r>
        <w:rPr>
          <w:rFonts w:hint="eastAsia"/>
          <w:b/>
          <w:color w:val="0070C0"/>
          <w:u w:val="single"/>
          <w:lang w:eastAsia="zh-CN"/>
        </w:rPr>
        <w:t>agr</w:t>
      </w:r>
      <w:r>
        <w:rPr>
          <w:b/>
          <w:color w:val="0070C0"/>
          <w:u w:val="single"/>
          <w:lang w:eastAsia="ko-KR"/>
        </w:rPr>
        <w:t>eed at RAN4 101bis-e</w:t>
      </w:r>
    </w:p>
    <w:p w14:paraId="3385B5EF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highlight w:val="yellow"/>
          <w:u w:val="single"/>
          <w:lang w:eastAsia="ko-KR"/>
        </w:rPr>
        <w:t>Moderator Note: update case number to align with agreed LS R4-2202675</w:t>
      </w:r>
    </w:p>
    <w:p w14:paraId="2BA15B2E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25"/>
        <w:gridCol w:w="3060"/>
        <w:gridCol w:w="2434"/>
      </w:tblGrid>
      <w:tr w:rsidR="00650B64" w14:paraId="6C87F9F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33C6E1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</w:t>
            </w:r>
          </w:p>
        </w:tc>
        <w:tc>
          <w:tcPr>
            <w:tcW w:w="3625" w:type="dxa"/>
            <w:shd w:val="clear" w:color="auto" w:fill="auto"/>
          </w:tcPr>
          <w:p w14:paraId="25619768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Rel-16 relaxation criterion</w:t>
            </w:r>
          </w:p>
        </w:tc>
        <w:tc>
          <w:tcPr>
            <w:tcW w:w="3060" w:type="dxa"/>
            <w:shd w:val="clear" w:color="auto" w:fill="auto"/>
          </w:tcPr>
          <w:p w14:paraId="2BFA3950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relaxation criterion</w:t>
            </w:r>
          </w:p>
        </w:tc>
        <w:tc>
          <w:tcPr>
            <w:tcW w:w="2434" w:type="dxa"/>
          </w:tcPr>
          <w:p w14:paraId="3975854F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Applicability</w:t>
            </w:r>
          </w:p>
        </w:tc>
      </w:tr>
      <w:tr w:rsidR="00650B64" w14:paraId="4126A46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378D89DE" w14:textId="77777777" w:rsidR="00650B64" w:rsidRDefault="00650B64" w:rsidP="002B1947">
            <w:r>
              <w:t>7</w:t>
            </w:r>
          </w:p>
        </w:tc>
        <w:tc>
          <w:tcPr>
            <w:tcW w:w="3625" w:type="dxa"/>
            <w:shd w:val="clear" w:color="auto" w:fill="auto"/>
          </w:tcPr>
          <w:p w14:paraId="4BEEDD58" w14:textId="77777777" w:rsidR="00650B64" w:rsidRDefault="00650B64" w:rsidP="002B1947">
            <w:r>
              <w:t>Rel-16 low mobility</w:t>
            </w:r>
          </w:p>
        </w:tc>
        <w:tc>
          <w:tcPr>
            <w:tcW w:w="3060" w:type="dxa"/>
            <w:shd w:val="clear" w:color="auto" w:fill="auto"/>
          </w:tcPr>
          <w:p w14:paraId="25AE4EB0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2B0D87FC" w14:textId="77777777" w:rsidR="00650B64" w:rsidRDefault="00650B64" w:rsidP="002B1947">
            <w:r>
              <w:t>Allowed</w:t>
            </w:r>
          </w:p>
        </w:tc>
      </w:tr>
      <w:tr w:rsidR="00650B64" w14:paraId="2E5F2AE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27E567F" w14:textId="77777777" w:rsidR="00650B64" w:rsidRDefault="00650B64" w:rsidP="002B1947">
            <w:r>
              <w:t>8</w:t>
            </w:r>
          </w:p>
        </w:tc>
        <w:tc>
          <w:tcPr>
            <w:tcW w:w="3625" w:type="dxa"/>
            <w:shd w:val="clear" w:color="auto" w:fill="auto"/>
          </w:tcPr>
          <w:p w14:paraId="43C8ED66" w14:textId="77777777" w:rsidR="00650B64" w:rsidRDefault="00650B64" w:rsidP="002B1947"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E4842CB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05371CF9" w14:textId="77777777" w:rsidR="00650B64" w:rsidRDefault="00650B64" w:rsidP="002B1947">
            <w:r>
              <w:t>NO</w:t>
            </w:r>
          </w:p>
        </w:tc>
      </w:tr>
      <w:tr w:rsidR="00650B64" w14:paraId="2ECD9C3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13FE1E2A" w14:textId="77777777" w:rsidR="00650B64" w:rsidRDefault="00650B64" w:rsidP="002B1947">
            <w:r>
              <w:t>9</w:t>
            </w:r>
          </w:p>
        </w:tc>
        <w:tc>
          <w:tcPr>
            <w:tcW w:w="3625" w:type="dxa"/>
            <w:shd w:val="clear" w:color="auto" w:fill="auto"/>
          </w:tcPr>
          <w:p w14:paraId="16D7EBDB" w14:textId="77777777" w:rsidR="00650B64" w:rsidRDefault="00650B64" w:rsidP="002B1947">
            <w:r>
              <w:t xml:space="preserve">Rel-16 low mobility &amp; </w:t>
            </w:r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47FE5AE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699B3C18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Not allowed(Huawei Apple CMCC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oppo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Nokia vivo)</w:t>
            </w:r>
          </w:p>
          <w:p w14:paraId="035D568A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2: Allowed (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MTK QC)</w:t>
            </w:r>
          </w:p>
        </w:tc>
      </w:tr>
      <w:tr w:rsidR="00650B64" w14:paraId="10FD85A4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0EF9B2A" w14:textId="77777777" w:rsidR="00650B64" w:rsidRDefault="00650B64" w:rsidP="002B1947">
            <w:r>
              <w:t>10</w:t>
            </w:r>
          </w:p>
        </w:tc>
        <w:tc>
          <w:tcPr>
            <w:tcW w:w="3625" w:type="dxa"/>
            <w:shd w:val="clear" w:color="auto" w:fill="auto"/>
          </w:tcPr>
          <w:p w14:paraId="23206D48" w14:textId="77777777" w:rsidR="00650B64" w:rsidRDefault="00650B64" w:rsidP="002B1947">
            <w:r>
              <w:t>Rel-16 low-mobility</w:t>
            </w:r>
          </w:p>
        </w:tc>
        <w:tc>
          <w:tcPr>
            <w:tcW w:w="3060" w:type="dxa"/>
            <w:shd w:val="clear" w:color="auto" w:fill="auto"/>
          </w:tcPr>
          <w:p w14:paraId="2E0D2086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48A58574" w14:textId="77777777" w:rsidR="00650B64" w:rsidRDefault="00650B64" w:rsidP="002B1947">
            <w:r>
              <w:t>Allowed</w:t>
            </w:r>
          </w:p>
        </w:tc>
      </w:tr>
      <w:tr w:rsidR="00650B64" w14:paraId="2214309F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FC9787" w14:textId="77777777" w:rsidR="00650B64" w:rsidRDefault="00650B64" w:rsidP="002B1947">
            <w:r>
              <w:t>11</w:t>
            </w:r>
          </w:p>
        </w:tc>
        <w:tc>
          <w:tcPr>
            <w:tcW w:w="3625" w:type="dxa"/>
            <w:shd w:val="clear" w:color="auto" w:fill="auto"/>
          </w:tcPr>
          <w:p w14:paraId="3D4E03AA" w14:textId="77777777" w:rsidR="00650B64" w:rsidRDefault="00650B64" w:rsidP="002B1947">
            <w:r>
              <w:t>Rel-16 not-at-cell-edge</w:t>
            </w:r>
          </w:p>
        </w:tc>
        <w:tc>
          <w:tcPr>
            <w:tcW w:w="3060" w:type="dxa"/>
            <w:shd w:val="clear" w:color="auto" w:fill="auto"/>
          </w:tcPr>
          <w:p w14:paraId="74EF60A1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1E5AF275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  <w:tr w:rsidR="00650B64" w14:paraId="5880F8FB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B9A0D7D" w14:textId="77777777" w:rsidR="00650B64" w:rsidRDefault="00650B64" w:rsidP="002B1947">
            <w:r>
              <w:t>12</w:t>
            </w:r>
          </w:p>
        </w:tc>
        <w:tc>
          <w:tcPr>
            <w:tcW w:w="3625" w:type="dxa"/>
            <w:shd w:val="clear" w:color="auto" w:fill="auto"/>
          </w:tcPr>
          <w:p w14:paraId="60046A6C" w14:textId="77777777" w:rsidR="00650B64" w:rsidRDefault="00650B64" w:rsidP="002B1947">
            <w:r>
              <w:t>Rel-16 low mobility &amp; Rel-16 not-at-cell-edge</w:t>
            </w:r>
          </w:p>
        </w:tc>
        <w:tc>
          <w:tcPr>
            <w:tcW w:w="3060" w:type="dxa"/>
            <w:shd w:val="clear" w:color="auto" w:fill="auto"/>
          </w:tcPr>
          <w:p w14:paraId="24738E5F" w14:textId="77777777" w:rsidR="00650B64" w:rsidRDefault="00650B64" w:rsidP="002B1947">
            <w:pPr>
              <w:keepNext/>
            </w:pPr>
            <w:r>
              <w:t>Rel-17 stationary &amp; Rel-17 not-at-cell-edge</w:t>
            </w:r>
          </w:p>
        </w:tc>
        <w:tc>
          <w:tcPr>
            <w:tcW w:w="2434" w:type="dxa"/>
          </w:tcPr>
          <w:p w14:paraId="0029A3E3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</w:tbl>
    <w:p w14:paraId="466B63B7" w14:textId="77777777" w:rsidR="003D444B" w:rsidRDefault="003D444B" w:rsidP="00650B64">
      <w:pPr>
        <w:rPr>
          <w:color w:val="0070C0"/>
          <w:lang w:eastAsia="zh-CN"/>
        </w:rPr>
      </w:pPr>
    </w:p>
    <w:p w14:paraId="441B10A6" w14:textId="60ABF9CC" w:rsidR="00650B64" w:rsidRDefault="00650B64" w:rsidP="00650B64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case 11 and 12 are allowed</w:t>
      </w:r>
    </w:p>
    <w:p w14:paraId="14CDCCC0" w14:textId="2A77FF7B" w:rsidR="003D444B" w:rsidRDefault="003D444B" w:rsidP="003D444B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Tentative agreement: </w:t>
      </w:r>
      <w:r w:rsidR="00F50CFB">
        <w:rPr>
          <w:color w:val="0070C0"/>
          <w:lang w:eastAsia="zh-CN"/>
        </w:rPr>
        <w:t>No</w:t>
      </w:r>
    </w:p>
    <w:p w14:paraId="57691C03" w14:textId="77777777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</w:p>
    <w:p w14:paraId="07AFB9F3" w14:textId="1D68C563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2-1-2:  Relaxation when multiple criteria of Rel-16 and Rel-17 are satisfied</w:t>
      </w:r>
    </w:p>
    <w:p w14:paraId="7B7D58BE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C27D71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UE is allowed to meet the requirements that are most relaxed out of Rel-16 and Rel-17 requirements. (ZTE Apple CMCC Ericsson Nokia vivo)</w:t>
      </w:r>
    </w:p>
    <w:p w14:paraId="4A531AD0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Up to UE implementation (ZTE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Huawei)</w:t>
      </w:r>
    </w:p>
    <w:p w14:paraId="71387154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The UE shall perform Rel-17 RRM relaxation method (MTK )</w:t>
      </w:r>
    </w:p>
    <w:p w14:paraId="1D60A691" w14:textId="77777777" w:rsidR="00FB34F9" w:rsidRDefault="00FB34F9" w:rsidP="00FB34F9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3a: A note shall be added to the rel-17 RRM relaxation to mention that when rel-17 RRM relaxation criterion is fulfilled then the rel-16 RRM relaxation shall be disabled (MTK)</w:t>
      </w:r>
    </w:p>
    <w:p w14:paraId="1FE2D6AE" w14:textId="77777777" w:rsidR="00FB34F9" w:rsidRPr="00B86803" w:rsidRDefault="00FB34F9" w:rsidP="00FB34F9">
      <w:pPr>
        <w:spacing w:after="120" w:line="252" w:lineRule="auto"/>
        <w:rPr>
          <w:color w:val="0070C0"/>
          <w:lang w:eastAsia="zh-CN"/>
        </w:rPr>
      </w:pPr>
      <w:r w:rsidRPr="00B86803">
        <w:rPr>
          <w:color w:val="0070C0"/>
          <w:lang w:eastAsia="zh-CN"/>
        </w:rPr>
        <w:t>GTW agreement: UE is allowed to meet the requirements that are the most relaxed out of Rel-16 and Rel-17 requirements</w:t>
      </w:r>
    </w:p>
    <w:p w14:paraId="0AF56C4E" w14:textId="77777777" w:rsidR="00FB34F9" w:rsidRDefault="00FB34F9" w:rsidP="00FB34F9">
      <w:pPr>
        <w:rPr>
          <w:b/>
          <w:color w:val="0070C0"/>
          <w:u w:val="single"/>
          <w:lang w:eastAsia="ko-KR"/>
        </w:rPr>
      </w:pPr>
    </w:p>
    <w:p w14:paraId="5C52880F" w14:textId="76649001" w:rsidR="00FB34F9" w:rsidRDefault="00FB34F9" w:rsidP="00FB34F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2-1-3 Requirements for transition when UE moves between different R17 states</w:t>
      </w:r>
    </w:p>
    <w:p w14:paraId="653A7FCA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0454825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No need to introduce transition requirements for relaxed measurements for switching between IDLE/INACTIVE and CONNECTED states (Ericsson)</w:t>
      </w:r>
    </w:p>
    <w:p w14:paraId="4CED6C29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4B5B4DFD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postpone the discussion until conclusion on RRM relaxation for CONNECTED </w:t>
      </w:r>
      <w:r>
        <w:rPr>
          <w:rFonts w:eastAsia="宋体" w:hint="eastAsia"/>
          <w:color w:val="0070C0"/>
          <w:szCs w:val="24"/>
          <w:lang w:eastAsia="zh-CN"/>
        </w:rPr>
        <w:t>state</w:t>
      </w:r>
      <w:r>
        <w:rPr>
          <w:rFonts w:eastAsia="宋体"/>
          <w:color w:val="0070C0"/>
          <w:szCs w:val="24"/>
          <w:lang w:eastAsia="zh-CN"/>
        </w:rPr>
        <w:t xml:space="preserve"> are clear </w:t>
      </w:r>
    </w:p>
    <w:p w14:paraId="5D5A7EE7" w14:textId="6FD2BC6F" w:rsidR="00650B64" w:rsidRPr="009F59D8" w:rsidRDefault="00FB34F9" w:rsidP="00FB34F9">
      <w:pPr>
        <w:rPr>
          <w:i/>
          <w:color w:val="0070C0"/>
        </w:rPr>
      </w:pPr>
      <w:r>
        <w:rPr>
          <w:color w:val="0070C0"/>
          <w:lang w:eastAsia="zh-CN"/>
        </w:rPr>
        <w:t>Agreement: no more discussion at 2</w:t>
      </w:r>
      <w:r w:rsidRPr="00584455">
        <w:rPr>
          <w:color w:val="0070C0"/>
          <w:vertAlign w:val="superscript"/>
          <w:lang w:eastAsia="zh-CN"/>
        </w:rPr>
        <w:t>nd</w:t>
      </w:r>
      <w:r>
        <w:rPr>
          <w:color w:val="0070C0"/>
          <w:lang w:eastAsia="zh-CN"/>
        </w:rPr>
        <w:t xml:space="preserve"> round</w:t>
      </w:r>
    </w:p>
    <w:p w14:paraId="73C3528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2-2 RRM measurement relaxation for Redcap at Idle/Inactive state</w:t>
      </w:r>
    </w:p>
    <w:p w14:paraId="27414954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2-2-1: Scaling factor value when Rel-17 single criteria (stationary) is satisfied</w:t>
      </w:r>
    </w:p>
    <w:p w14:paraId="0EA6D7FC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1B8A86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8 (Apple)</w:t>
      </w:r>
    </w:p>
    <w:p w14:paraId="14223B3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4 (Ericsson Huawei CMCC)</w:t>
      </w:r>
    </w:p>
    <w:p w14:paraId="00454EE6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6 (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Nokia 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MTK Nokia QC)</w:t>
      </w:r>
    </w:p>
    <w:p w14:paraId="156F8656" w14:textId="44F4D984" w:rsidR="0036237D" w:rsidRPr="0036237D" w:rsidRDefault="0036237D" w:rsidP="0036237D">
      <w:pPr>
        <w:spacing w:before="240"/>
        <w:rPr>
          <w:color w:val="0070C0"/>
          <w:lang w:eastAsia="zh-CN"/>
        </w:rPr>
      </w:pPr>
      <w:r w:rsidRPr="0036237D">
        <w:rPr>
          <w:color w:val="0070C0"/>
          <w:lang w:eastAsia="zh-CN"/>
        </w:rPr>
        <w:t>Tentative agreement: option 3</w:t>
      </w:r>
    </w:p>
    <w:p w14:paraId="45FBBFF9" w14:textId="7281423E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2-2-2: The value of the one fixed long measurement period when both Rel-17 criteria are satisfied</w:t>
      </w:r>
    </w:p>
    <w:p w14:paraId="6600802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4264E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8 hours (Apple MTK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5A2636A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2 hours (Huawei CMCC Ericsson Nokia)</w:t>
      </w:r>
    </w:p>
    <w:p w14:paraId="070C8A9B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4 hours (vivo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072E042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3 hours (Nokia)</w:t>
      </w:r>
    </w:p>
    <w:p w14:paraId="2A8F49B5" w14:textId="413605A9" w:rsidR="004F1EC3" w:rsidRDefault="004F1EC3" w:rsidP="004F1EC3">
      <w:pPr>
        <w:spacing w:before="240"/>
        <w:rPr>
          <w:b/>
          <w:color w:val="0070C0"/>
          <w:u w:val="single"/>
          <w:lang w:eastAsia="ko-KR"/>
        </w:rPr>
      </w:pPr>
      <w:r w:rsidRPr="004F1EC3">
        <w:rPr>
          <w:color w:val="0070C0"/>
          <w:lang w:eastAsia="zh-CN"/>
        </w:rPr>
        <w:t xml:space="preserve">Tentative agreement: </w:t>
      </w:r>
      <w:r w:rsidR="009F7358">
        <w:rPr>
          <w:color w:val="0070C0"/>
          <w:lang w:eastAsia="zh-CN"/>
        </w:rPr>
        <w:t>No</w:t>
      </w:r>
      <w:r>
        <w:rPr>
          <w:color w:val="0070C0"/>
          <w:lang w:eastAsia="zh-CN"/>
        </w:rPr>
        <w:t xml:space="preserve"> consensus</w:t>
      </w:r>
    </w:p>
    <w:p w14:paraId="65DF0318" w14:textId="2F56A89D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2-2-3: Principle on RRM relaxation under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</w:p>
    <w:p w14:paraId="3786AA9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44BAB9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relaxed RRM measurement period for PHY filtering shall not cross different PTW windows. (Apple)</w:t>
      </w:r>
    </w:p>
    <w:p w14:paraId="26028AEF" w14:textId="421B063D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Rel-16/17 relaxed measurement requirements can be applied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up to 10.24 seconds, without any PTW; </w:t>
      </w:r>
      <w:r>
        <w:rPr>
          <w:rFonts w:eastAsia="宋体" w:hint="eastAsia"/>
          <w:color w:val="0070C0"/>
          <w:szCs w:val="24"/>
          <w:lang w:eastAsia="zh-CN"/>
        </w:rPr>
        <w:t>（</w:t>
      </w:r>
      <w:r>
        <w:rPr>
          <w:rFonts w:eastAsia="宋体"/>
          <w:color w:val="0070C0"/>
          <w:szCs w:val="24"/>
          <w:lang w:eastAsia="zh-CN"/>
        </w:rPr>
        <w:t>Huawei vivo Nokia</w:t>
      </w:r>
      <w:r>
        <w:rPr>
          <w:rFonts w:eastAsia="宋体" w:hint="eastAsia"/>
          <w:color w:val="0070C0"/>
          <w:szCs w:val="24"/>
          <w:lang w:eastAsia="zh-CN"/>
        </w:rPr>
        <w:t>）</w:t>
      </w:r>
    </w:p>
    <w:p w14:paraId="0C665687" w14:textId="77777777" w:rsidR="00623FF3" w:rsidRPr="00255819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</w:t>
      </w:r>
      <w:r w:rsidRPr="00255819">
        <w:rPr>
          <w:rFonts w:eastAsia="宋体"/>
          <w:color w:val="0070C0"/>
          <w:szCs w:val="24"/>
          <w:lang w:eastAsia="zh-CN"/>
        </w:rPr>
        <w:t xml:space="preserve">ption </w:t>
      </w:r>
      <w:r>
        <w:rPr>
          <w:rFonts w:eastAsia="宋体"/>
          <w:color w:val="0070C0"/>
          <w:szCs w:val="24"/>
          <w:lang w:eastAsia="zh-CN"/>
        </w:rPr>
        <w:t>2a-</w:t>
      </w:r>
      <w:r w:rsidRPr="00255819">
        <w:rPr>
          <w:rFonts w:eastAsia="宋体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>:</w:t>
      </w:r>
      <w:r w:rsidRPr="00255819">
        <w:rPr>
          <w:rFonts w:eastAsia="宋体"/>
          <w:color w:val="0070C0"/>
          <w:szCs w:val="24"/>
          <w:lang w:eastAsia="zh-CN"/>
        </w:rPr>
        <w:t xml:space="preserve"> UE shall meet the requirements </w:t>
      </w:r>
      <w:r>
        <w:rPr>
          <w:rFonts w:eastAsia="宋体"/>
          <w:color w:val="0070C0"/>
          <w:szCs w:val="24"/>
          <w:lang w:eastAsia="zh-CN"/>
        </w:rPr>
        <w:t xml:space="preserve">where corresponding scaling factor of RRM relaxation applies on top of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when particular RRM criteria is satisfied. </w:t>
      </w:r>
      <w:r w:rsidRPr="00255819">
        <w:rPr>
          <w:rFonts w:eastAsia="宋体"/>
          <w:color w:val="0070C0"/>
          <w:szCs w:val="24"/>
          <w:lang w:eastAsia="zh-CN"/>
        </w:rPr>
        <w:t xml:space="preserve">. </w:t>
      </w:r>
    </w:p>
    <w:p w14:paraId="21CB396A" w14:textId="0AE9FCFB" w:rsidR="00623FF3" w:rsidRPr="00623FF3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623FF3">
        <w:rPr>
          <w:rFonts w:eastAsia="宋体"/>
          <w:color w:val="0070C0"/>
          <w:szCs w:val="24"/>
          <w:lang w:eastAsia="zh-CN"/>
        </w:rPr>
        <w:t xml:space="preserve">Option 2a-2: Other options. </w:t>
      </w:r>
    </w:p>
    <w:p w14:paraId="4A98CCD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If relaxation is supported for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above 10.24 seconds, discuss the maximum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(X) with PTW up to which UE is allowed to apply Rel-16/17 relaxed measurement requirements is X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>, where value of X is FFS. (Ericsson)</w:t>
      </w:r>
    </w:p>
    <w:p w14:paraId="2776B1D6" w14:textId="77777777" w:rsidR="00FC39BE" w:rsidRDefault="00650B64" w:rsidP="00FC39BE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>Moderator Note: Option 1, option 2a and option 2b are not exclusive each other.</w:t>
      </w:r>
      <w:r>
        <w:rPr>
          <w:color w:val="0070C0"/>
          <w:szCs w:val="24"/>
          <w:lang w:eastAsia="zh-CN"/>
        </w:rPr>
        <w:t xml:space="preserve"> </w:t>
      </w:r>
    </w:p>
    <w:p w14:paraId="342CC7FD" w14:textId="07E510BF" w:rsidR="001C66EB" w:rsidRDefault="005673E9" w:rsidP="00FC39BE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>n 2a</w:t>
      </w:r>
      <w:r w:rsidR="00623FF3">
        <w:rPr>
          <w:color w:val="0070C0"/>
          <w:lang w:eastAsia="zh-CN"/>
        </w:rPr>
        <w:t xml:space="preserve"> and Option 2a-1</w:t>
      </w:r>
      <w:r>
        <w:rPr>
          <w:color w:val="0070C0"/>
          <w:lang w:eastAsia="zh-CN"/>
        </w:rPr>
        <w:t xml:space="preserve"> </w:t>
      </w:r>
      <w:r w:rsidR="001B03D2">
        <w:rPr>
          <w:color w:val="0070C0"/>
          <w:lang w:eastAsia="zh-CN"/>
        </w:rPr>
        <w:t>are</w:t>
      </w:r>
      <w:r>
        <w:rPr>
          <w:color w:val="0070C0"/>
          <w:lang w:eastAsia="zh-CN"/>
        </w:rPr>
        <w:t xml:space="preserve"> agreed.  FFS on option 1 at maintenance stage.</w:t>
      </w:r>
    </w:p>
    <w:p w14:paraId="14776796" w14:textId="7B603060" w:rsidR="001C66EB" w:rsidRDefault="001C66EB" w:rsidP="001C66E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</w:t>
      </w:r>
      <w:r>
        <w:rPr>
          <w:rFonts w:hint="eastAsia"/>
          <w:b/>
          <w:color w:val="0070C0"/>
          <w:u w:val="single"/>
          <w:lang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I</w:t>
      </w:r>
      <w:r>
        <w:rPr>
          <w:b/>
          <w:color w:val="0070C0"/>
          <w:u w:val="single"/>
          <w:lang w:eastAsia="ko-KR"/>
        </w:rPr>
        <w:t xml:space="preserve">nter-frequency measurement Relaxation when only Rel-17 stationarity criterion is met and </w:t>
      </w:r>
      <w:proofErr w:type="spellStart"/>
      <w:r>
        <w:rPr>
          <w:b/>
          <w:color w:val="0070C0"/>
          <w:u w:val="single"/>
          <w:lang w:eastAsia="ko-KR"/>
        </w:rPr>
        <w:t>Srxlev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SnonIntraSearchP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Squal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SnonIntraSearchQ</w:t>
      </w:r>
      <w:proofErr w:type="spellEnd"/>
    </w:p>
    <w:p w14:paraId="43CDB418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ab/>
        <w:t>Proposals:</w:t>
      </w:r>
    </w:p>
    <w:p w14:paraId="4582C4F3" w14:textId="77777777" w:rsidR="001C66EB" w:rsidRDefault="001C66EB" w:rsidP="001C66EB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left="1495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</w:t>
      </w:r>
      <w:r>
        <w:rPr>
          <w:rFonts w:eastAsia="宋体" w:hint="eastAsia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 xml:space="preserve">: wait for RAN2’s reply LS is (Ericsson Nokia) </w:t>
      </w:r>
    </w:p>
    <w:p w14:paraId="44CA7C03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  Recommended WF</w:t>
      </w:r>
    </w:p>
    <w:p w14:paraId="270461D9" w14:textId="77777777" w:rsidR="001C66EB" w:rsidRDefault="001C66EB" w:rsidP="001C66EB">
      <w:pPr>
        <w:pStyle w:val="aff8"/>
        <w:numPr>
          <w:ilvl w:val="0"/>
          <w:numId w:val="11"/>
        </w:numPr>
        <w:ind w:firstLineChars="0"/>
        <w:rPr>
          <w:rFonts w:eastAsiaTheme="minorEastAsia"/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Wait for RAN2 reply LS</w:t>
      </w:r>
    </w:p>
    <w:p w14:paraId="68ED7A39" w14:textId="3CA97B9E" w:rsidR="00650B64" w:rsidRPr="00D1479B" w:rsidRDefault="001C66EB" w:rsidP="001C66EB">
      <w:pPr>
        <w:rPr>
          <w:i/>
          <w:color w:val="0070C0"/>
        </w:rPr>
      </w:pPr>
      <w:r>
        <w:rPr>
          <w:color w:val="0070C0"/>
          <w:lang w:eastAsia="zh-CN"/>
        </w:rPr>
        <w:t>A</w:t>
      </w:r>
      <w:r w:rsidRPr="00AF70FA">
        <w:rPr>
          <w:color w:val="0070C0"/>
          <w:lang w:eastAsia="zh-CN"/>
        </w:rPr>
        <w:t>greement: wait for RAN2 LS and no more discussion at this meeting.</w:t>
      </w:r>
    </w:p>
    <w:p w14:paraId="7976CC3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2-3 RRM measurement relaxation for Redcap at CONNECTED state</w:t>
      </w:r>
    </w:p>
    <w:p w14:paraId="5D84A528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2-3-1: On RRM relaxation </w:t>
      </w:r>
      <w:r>
        <w:rPr>
          <w:rFonts w:hint="eastAsia"/>
          <w:b/>
          <w:color w:val="0070C0"/>
          <w:u w:val="single"/>
          <w:lang w:eastAsia="zh-CN"/>
        </w:rPr>
        <w:t>cr</w:t>
      </w:r>
      <w:r>
        <w:rPr>
          <w:b/>
          <w:color w:val="0070C0"/>
          <w:u w:val="single"/>
          <w:lang w:eastAsia="ko-KR"/>
        </w:rPr>
        <w:t>iteria for RRC_CONNECTED mode</w:t>
      </w:r>
    </w:p>
    <w:p w14:paraId="44C0C746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2A996C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only consider scenario 4 (Rel-17 stationary configured alone) of the idle state scenario list in Connected state.(Apple Nokia vivo)</w:t>
      </w:r>
    </w:p>
    <w:p w14:paraId="2F0B368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color w:val="0070C0"/>
          <w:lang w:val="en-US" w:eastAsia="zh-CN"/>
        </w:rPr>
        <w:t>no relaxation states in CONNECTED mode (Ericsson Huawei CMCC Apple)</w:t>
      </w:r>
    </w:p>
    <w:p w14:paraId="212ABE37" w14:textId="1AB98736" w:rsidR="0077422B" w:rsidRDefault="0077422B" w:rsidP="0077422B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 w:rsidR="0028783E">
        <w:rPr>
          <w:color w:val="0070C0"/>
          <w:lang w:eastAsia="zh-CN"/>
        </w:rPr>
        <w:t>Suggest to agree</w:t>
      </w:r>
      <w:r w:rsidR="001B03D2">
        <w:rPr>
          <w:color w:val="0070C0"/>
          <w:lang w:eastAsia="zh-CN"/>
        </w:rPr>
        <w:t xml:space="preserve">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 xml:space="preserve">n 3  </w:t>
      </w:r>
    </w:p>
    <w:p w14:paraId="7706FBE5" w14:textId="77777777" w:rsidR="0028783E" w:rsidRDefault="0028783E" w:rsidP="00650B64">
      <w:pPr>
        <w:rPr>
          <w:b/>
          <w:color w:val="0070C0"/>
          <w:u w:val="single"/>
          <w:lang w:eastAsia="ko-KR"/>
        </w:rPr>
      </w:pPr>
    </w:p>
    <w:p w14:paraId="6259DE32" w14:textId="28A903E4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2-3-2: On RRM relaxation principles for RRC_CONNECTED mode</w:t>
      </w:r>
    </w:p>
    <w:p w14:paraId="2CAE195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E0F6ED5" w14:textId="4374C05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relaxation method of stationary criterion for idle/inactive mode could be used as baseline for connected mode UE (Nokia vivo)</w:t>
      </w:r>
    </w:p>
    <w:p w14:paraId="211BB2C1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1a: the UE applies the same relaxation method as in Idle / Inactive state in case the stationary criterion only is satisfied, i.e. the scaling/relaxation factor-based NC measurement relaxation using the scaling/relaxation factor received via dedicated signalling. (Nokia)</w:t>
      </w:r>
    </w:p>
    <w:p w14:paraId="3EA553A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new UE behaviour of RRM measurement relaxation is needed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connected mode (Huawei CMCC Ericsson MTK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67862632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how to define new relaxation methods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up to RAN2 decision (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6D649655" w14:textId="2B37ED8E" w:rsidR="00AF307F" w:rsidRPr="00AF307F" w:rsidRDefault="00AF307F" w:rsidP="00AF307F">
      <w:pPr>
        <w:spacing w:after="120"/>
        <w:rPr>
          <w:b/>
          <w:color w:val="0070C0"/>
          <w:u w:val="single"/>
          <w:lang w:eastAsia="ko-KR"/>
        </w:rPr>
      </w:pPr>
      <w:r w:rsidRPr="00AF307F">
        <w:rPr>
          <w:color w:val="0070C0"/>
          <w:lang w:eastAsia="zh-CN"/>
        </w:rPr>
        <w:t xml:space="preserve">Tentative agreement: </w:t>
      </w:r>
      <w:r w:rsidRPr="00AF307F">
        <w:rPr>
          <w:rFonts w:hint="eastAsia"/>
          <w:color w:val="0070C0"/>
          <w:lang w:eastAsia="zh-CN"/>
        </w:rPr>
        <w:t>Optio</w:t>
      </w:r>
      <w:r w:rsidRPr="00AF307F">
        <w:rPr>
          <w:color w:val="0070C0"/>
          <w:lang w:eastAsia="zh-CN"/>
        </w:rPr>
        <w:t xml:space="preserve">n </w:t>
      </w:r>
      <w:r>
        <w:rPr>
          <w:color w:val="0070C0"/>
          <w:lang w:eastAsia="zh-CN"/>
        </w:rPr>
        <w:t>2</w:t>
      </w:r>
      <w:r w:rsidRPr="00AF307F">
        <w:rPr>
          <w:color w:val="0070C0"/>
          <w:lang w:eastAsia="zh-CN"/>
        </w:rPr>
        <w:t xml:space="preserve"> is agreed.  </w:t>
      </w:r>
    </w:p>
    <w:p w14:paraId="6471DF6B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2-3-3 On how to evaluate RRM relaxation criteria at RRC_CONNECTED mode</w:t>
      </w:r>
    </w:p>
    <w:p w14:paraId="7F94FF42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117CB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 xml:space="preserve">No new UE </w:t>
      </w:r>
      <w:r>
        <w:rPr>
          <w:rFonts w:eastAsia="宋体"/>
          <w:color w:val="0070C0"/>
          <w:szCs w:val="24"/>
          <w:lang w:eastAsia="zh-CN"/>
        </w:rPr>
        <w:t>behaviour/</w:t>
      </w:r>
      <w:r>
        <w:rPr>
          <w:rFonts w:eastAsia="宋体" w:hint="eastAsia"/>
          <w:color w:val="0070C0"/>
          <w:szCs w:val="24"/>
          <w:lang w:eastAsia="zh-CN"/>
        </w:rPr>
        <w:t>requirements are needed on how to evaluate RRM relaxation criteria at RRC_CONNECTED mode</w:t>
      </w:r>
      <w:r>
        <w:rPr>
          <w:rFonts w:eastAsia="宋体"/>
          <w:color w:val="0070C0"/>
          <w:szCs w:val="24"/>
          <w:lang w:eastAsia="zh-CN"/>
        </w:rPr>
        <w:t xml:space="preserve"> (Huawei CMCC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43E9539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Eva</w:t>
      </w:r>
      <w:r>
        <w:rPr>
          <w:rFonts w:eastAsia="宋体"/>
          <w:color w:val="0070C0"/>
          <w:szCs w:val="24"/>
          <w:lang w:eastAsia="zh-CN"/>
        </w:rPr>
        <w:t>luation period on the configured relaxation criteria is configured by NW at CONNECTED mode; (Nokia)</w:t>
      </w:r>
    </w:p>
    <w:p w14:paraId="69379D2B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The evaluation period covers scaling factors lower or equal to that for </w:t>
      </w:r>
      <w:proofErr w:type="spellStart"/>
      <w:r>
        <w:rPr>
          <w:rFonts w:eastAsia="宋体"/>
          <w:color w:val="0070C0"/>
          <w:szCs w:val="24"/>
          <w:lang w:eastAsia="zh-CN"/>
        </w:rPr>
        <w:t>RRC_Idle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/ </w:t>
      </w:r>
      <w:proofErr w:type="spellStart"/>
      <w:r>
        <w:rPr>
          <w:rFonts w:eastAsia="宋体"/>
          <w:color w:val="0070C0"/>
          <w:szCs w:val="24"/>
          <w:lang w:eastAsia="zh-CN"/>
        </w:rPr>
        <w:t>RRC_Inactive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state, i.e. 2 to 6 (Nokia)</w:t>
      </w:r>
    </w:p>
    <w:p w14:paraId="15955D0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Evaluation is every Nth DRX cycle, where N is TBD; The measurement used for evaluating the relaxation criteria in CONNECTED mode shall </w:t>
      </w:r>
      <w:proofErr w:type="spellStart"/>
      <w:r>
        <w:rPr>
          <w:rFonts w:eastAsia="宋体"/>
          <w:color w:val="0070C0"/>
          <w:szCs w:val="24"/>
          <w:lang w:eastAsia="zh-CN"/>
        </w:rPr>
        <w:t>fulfill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the corresponding measurement requirements (delay and accuracy).  (Ericsson)</w:t>
      </w:r>
    </w:p>
    <w:p w14:paraId="1E1DB5CC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following RAN2 agreement (MTK)</w:t>
      </w:r>
    </w:p>
    <w:p w14:paraId="6D83A4D4" w14:textId="60D41EA3" w:rsidR="003A5F9C" w:rsidRPr="003A5F9C" w:rsidRDefault="003A5F9C" w:rsidP="003A5F9C">
      <w:pPr>
        <w:spacing w:after="120"/>
        <w:rPr>
          <w:b/>
          <w:color w:val="0070C0"/>
          <w:u w:val="single"/>
          <w:lang w:eastAsia="ko-KR"/>
        </w:rPr>
      </w:pPr>
      <w:r w:rsidRPr="003A5F9C">
        <w:rPr>
          <w:color w:val="0070C0"/>
          <w:lang w:eastAsia="zh-CN"/>
        </w:rPr>
        <w:t xml:space="preserve">Tentative agreement: </w:t>
      </w:r>
      <w:r>
        <w:rPr>
          <w:color w:val="0070C0"/>
          <w:lang w:eastAsia="zh-CN"/>
        </w:rPr>
        <w:t>No consensus</w:t>
      </w:r>
      <w:r w:rsidRPr="003A5F9C">
        <w:rPr>
          <w:color w:val="0070C0"/>
          <w:lang w:eastAsia="zh-CN"/>
        </w:rPr>
        <w:t xml:space="preserve">  </w:t>
      </w:r>
    </w:p>
    <w:p w14:paraId="2199A540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p w14:paraId="1E655953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2-3-4 Whether UE shall report fulfilment of relaxation when performing CGI reading?</w:t>
      </w:r>
    </w:p>
    <w:p w14:paraId="31208D29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8D426B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1: The UE may evaluate the relaxation criteria, but shall not report </w:t>
      </w:r>
      <w:proofErr w:type="spellStart"/>
      <w:r>
        <w:rPr>
          <w:rFonts w:eastAsia="宋体"/>
          <w:color w:val="0070C0"/>
          <w:szCs w:val="24"/>
          <w:lang w:eastAsia="zh-CN"/>
        </w:rPr>
        <w:t>fulfillment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of the relaxation criteria if it is performing or configured to perform CGI reading measurements (Ericsson Nokia)</w:t>
      </w:r>
    </w:p>
    <w:p w14:paraId="0DDE7654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discuss the issue related to CGI reading requirement in RAN4 (Apple Huawei vivo MTK )</w:t>
      </w:r>
    </w:p>
    <w:p w14:paraId="362A1BFA" w14:textId="77777777" w:rsidR="0028783E" w:rsidRPr="0028783E" w:rsidRDefault="0028783E" w:rsidP="0028783E">
      <w:pPr>
        <w:spacing w:after="120"/>
        <w:rPr>
          <w:b/>
          <w:color w:val="0070C0"/>
          <w:u w:val="single"/>
          <w:lang w:eastAsia="ko-KR"/>
        </w:rPr>
      </w:pPr>
      <w:r w:rsidRPr="0028783E">
        <w:rPr>
          <w:color w:val="0070C0"/>
          <w:lang w:eastAsia="zh-CN"/>
        </w:rPr>
        <w:t xml:space="preserve">Tentative agreement: No consensus  </w:t>
      </w:r>
    </w:p>
    <w:p w14:paraId="1E099CF6" w14:textId="77777777" w:rsidR="00EC29DF" w:rsidRDefault="00EC29DF" w:rsidP="00EC29D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2-3-5: Granularity of RRM measurement relaxations</w:t>
      </w:r>
    </w:p>
    <w:p w14:paraId="71D75079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C371A41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Investigation on future </w:t>
      </w:r>
      <w:r>
        <w:rPr>
          <w:rFonts w:eastAsia="宋体" w:hint="eastAsia"/>
          <w:color w:val="0070C0"/>
          <w:szCs w:val="24"/>
          <w:lang w:eastAsia="zh-CN"/>
        </w:rPr>
        <w:t>or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R</w:t>
      </w:r>
      <w:r>
        <w:rPr>
          <w:rFonts w:eastAsia="宋体"/>
          <w:color w:val="0070C0"/>
          <w:szCs w:val="24"/>
          <w:lang w:eastAsia="zh-CN"/>
        </w:rPr>
        <w:t>el-18 on relaxations for specific bad beams, bad cells, bad frequencies and/or bad inter-RAT carriers (Nokia)</w:t>
      </w:r>
    </w:p>
    <w:p w14:paraId="18F729D3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RAN4 to only focus on UE level measurement relaxation for requirement design (Apple)</w:t>
      </w:r>
    </w:p>
    <w:p w14:paraId="5D0C4104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A272D97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Suggest do not consider granularity such as specific bad beams, bad cells, bad frequencies and/or bad inter-RAT carriers within Rel-17 time frame.</w:t>
      </w:r>
    </w:p>
    <w:p w14:paraId="62087202" w14:textId="15A74F02" w:rsidR="00EC29DF" w:rsidRDefault="00EC29DF" w:rsidP="00EC29DF">
      <w:pPr>
        <w:rPr>
          <w:color w:val="0070C0"/>
          <w:lang w:eastAsia="zh-CN"/>
        </w:rPr>
      </w:pPr>
      <w:r>
        <w:rPr>
          <w:color w:val="0070C0"/>
          <w:lang w:eastAsia="zh-CN"/>
        </w:rPr>
        <w:t>A</w:t>
      </w:r>
      <w:r w:rsidRPr="00D810F2">
        <w:rPr>
          <w:color w:val="0070C0"/>
          <w:lang w:eastAsia="zh-CN"/>
        </w:rPr>
        <w:t>greement: agree recommended WF</w:t>
      </w:r>
    </w:p>
    <w:p w14:paraId="5D9BB088" w14:textId="77777777" w:rsidR="00090E09" w:rsidRDefault="00090E09" w:rsidP="00090E0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2-3-6: RAN2 impact on RRM relaxation for RRC_CONNECTED mode</w:t>
      </w:r>
    </w:p>
    <w:p w14:paraId="38D03FDA" w14:textId="77777777" w:rsidR="00090E09" w:rsidRDefault="00090E09" w:rsidP="00090E0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82E5DFF" w14:textId="77777777" w:rsidR="00090E09" w:rsidRDefault="00090E09" w:rsidP="00090E0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Start RAN4’s work on </w:t>
      </w:r>
      <w:proofErr w:type="spellStart"/>
      <w:r>
        <w:rPr>
          <w:rFonts w:eastAsia="宋体"/>
          <w:color w:val="0070C0"/>
          <w:szCs w:val="24"/>
          <w:lang w:eastAsia="zh-CN"/>
        </w:rPr>
        <w:t>RRC_Connected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stage (Nokia)</w:t>
      </w:r>
    </w:p>
    <w:p w14:paraId="0CE37A6C" w14:textId="18B2EC6E" w:rsidR="00650B64" w:rsidRPr="008456DD" w:rsidRDefault="00090E09" w:rsidP="00090E09">
      <w:pPr>
        <w:rPr>
          <w:lang w:val="en-US" w:eastAsia="zh-CN"/>
        </w:rPr>
      </w:pPr>
      <w:r>
        <w:rPr>
          <w:color w:val="0070C0"/>
          <w:lang w:eastAsia="zh-CN"/>
        </w:rPr>
        <w:t>A</w:t>
      </w:r>
      <w:r w:rsidRPr="00D20BE8">
        <w:rPr>
          <w:color w:val="0070C0"/>
          <w:lang w:eastAsia="zh-CN"/>
        </w:rPr>
        <w:t>greement: no more discussion on 2</w:t>
      </w:r>
      <w:r w:rsidRPr="00D20BE8">
        <w:rPr>
          <w:color w:val="0070C0"/>
          <w:vertAlign w:val="superscript"/>
          <w:lang w:eastAsia="zh-CN"/>
        </w:rPr>
        <w:t>nd</w:t>
      </w:r>
      <w:r w:rsidRPr="00D20BE8">
        <w:rPr>
          <w:color w:val="0070C0"/>
          <w:lang w:eastAsia="zh-CN"/>
        </w:rPr>
        <w:t xml:space="preserve"> round</w:t>
      </w:r>
    </w:p>
    <w:p w14:paraId="0DDC4A4B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2-4 Rel-17 Redcap RRM relaxation requirements </w:t>
      </w:r>
    </w:p>
    <w:p w14:paraId="7D1D83D4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2-4-1: Idle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70574882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F85A407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MTK</w:t>
      </w:r>
    </w:p>
    <w:p w14:paraId="06B2433E" w14:textId="7967C69B" w:rsidR="00913E20" w:rsidRPr="002E796E" w:rsidRDefault="002C177D" w:rsidP="002E796E">
      <w:pPr>
        <w:spacing w:after="120" w:line="240" w:lineRule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Agreement</w:t>
      </w:r>
      <w:r w:rsidR="002E796E">
        <w:rPr>
          <w:rFonts w:eastAsia="宋体"/>
          <w:color w:val="0070C0"/>
          <w:szCs w:val="24"/>
          <w:lang w:eastAsia="zh-CN"/>
        </w:rPr>
        <w:t xml:space="preserve">: </w:t>
      </w:r>
      <w:r w:rsidR="00913E20" w:rsidRPr="002E796E">
        <w:rPr>
          <w:rFonts w:eastAsia="宋体"/>
          <w:color w:val="0070C0"/>
          <w:szCs w:val="24"/>
          <w:lang w:eastAsia="zh-CN"/>
        </w:rPr>
        <w:t>Discuss directly in the corresponding CR after scaling factor is fixed. Not necessary to discuss at this section.</w:t>
      </w:r>
    </w:p>
    <w:p w14:paraId="7FCA4842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2-4-2: Inactive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0E4308A9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AFF876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stationary evaluation of intra-frequency, inter-frequency and inter-RAT for NR cell in INACTIVE mode requirements shall apply the same requirements as that of the idle state, respectively (MTK)</w:t>
      </w:r>
    </w:p>
    <w:p w14:paraId="0BD538A1" w14:textId="60C25875" w:rsidR="00DD0732" w:rsidRPr="00650B64" w:rsidRDefault="00401F8E" w:rsidP="00913E20">
      <w:pPr>
        <w:spacing w:after="120"/>
        <w:rPr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</w:t>
      </w:r>
      <w:r w:rsidR="00913E20">
        <w:rPr>
          <w:rFonts w:eastAsia="宋体"/>
          <w:color w:val="0070C0"/>
          <w:szCs w:val="24"/>
          <w:lang w:eastAsia="zh-CN"/>
        </w:rPr>
        <w:t>Option 1 has already been agreed at WF R4-2202672, no more discussion any more.</w:t>
      </w:r>
    </w:p>
    <w:p w14:paraId="0DEA3110" w14:textId="78DDBAFC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#3 </w:t>
      </w:r>
      <w:r w:rsidR="00CD5310">
        <w:rPr>
          <w:lang w:eastAsia="ja-JP"/>
        </w:rPr>
        <w:t>Other</w:t>
      </w:r>
      <w:r w:rsidR="00913E20">
        <w:rPr>
          <w:lang w:eastAsia="ja-JP"/>
        </w:rPr>
        <w:t>s</w:t>
      </w:r>
      <w:r w:rsidR="00CD5310">
        <w:rPr>
          <w:lang w:eastAsia="ja-JP"/>
        </w:rPr>
        <w:t xml:space="preserve"> </w:t>
      </w:r>
    </w:p>
    <w:p w14:paraId="6EFBC433" w14:textId="0F546044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3-1 On Redcap UE capabilities  </w:t>
      </w:r>
    </w:p>
    <w:p w14:paraId="47322898" w14:textId="77777777" w:rsidR="00990477" w:rsidRDefault="00990477" w:rsidP="0099047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 Scope of features to be included in the reply LS</w:t>
      </w:r>
    </w:p>
    <w:p w14:paraId="6A4C3C89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09BB5480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(CMCC)</w:t>
      </w:r>
    </w:p>
    <w:p w14:paraId="72A56839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lastRenderedPageBreak/>
        <w:t xml:space="preserve">RAN4 should only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>. (Huawei Nokia)</w:t>
      </w:r>
    </w:p>
    <w:p w14:paraId="4E9C359D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t>Be default, all non-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features should be </w:t>
      </w:r>
      <w:r>
        <w:rPr>
          <w:rFonts w:eastAsia="宋体"/>
          <w:color w:val="0070C0"/>
          <w:szCs w:val="24"/>
          <w:lang w:eastAsia="zh-CN"/>
        </w:rPr>
        <w:t>applicable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 unless it requires more than single carrier operation, no matter whether RAN4 defines requirements or not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9C198E2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Pr="001F3F3A">
        <w:rPr>
          <w:rFonts w:eastAsia="宋体"/>
          <w:color w:val="0070C0"/>
          <w:szCs w:val="24"/>
          <w:lang w:eastAsia="zh-CN"/>
        </w:rPr>
        <w:t xml:space="preserve">Our view is that Rel-15 NR requirements are the baseline. Then which Rel-16 features to support for Rel-17 </w:t>
      </w:r>
      <w:proofErr w:type="spellStart"/>
      <w:r w:rsidRPr="001F3F3A">
        <w:rPr>
          <w:rFonts w:eastAsia="宋体"/>
          <w:color w:val="0070C0"/>
          <w:szCs w:val="24"/>
          <w:lang w:eastAsia="zh-CN"/>
        </w:rPr>
        <w:t>RedCap</w:t>
      </w:r>
      <w:proofErr w:type="spellEnd"/>
      <w:r w:rsidRPr="001F3F3A">
        <w:rPr>
          <w:rFonts w:eastAsia="宋体"/>
          <w:color w:val="0070C0"/>
          <w:szCs w:val="24"/>
          <w:lang w:eastAsia="zh-CN"/>
        </w:rPr>
        <w:t xml:space="preserve"> is discussed and agreed on case by case manner. This means, by default all rel-16 features are not supported unless explicitly agreed. (Ericsson</w:t>
      </w:r>
      <w:r>
        <w:rPr>
          <w:rFonts w:eastAsia="宋体"/>
          <w:color w:val="0070C0"/>
          <w:szCs w:val="24"/>
          <w:lang w:eastAsia="zh-CN"/>
        </w:rPr>
        <w:t xml:space="preserve"> Apple vivo MTK ZTE</w:t>
      </w:r>
      <w:r w:rsidRPr="001F3F3A">
        <w:rPr>
          <w:rFonts w:eastAsia="宋体"/>
          <w:color w:val="0070C0"/>
          <w:szCs w:val="24"/>
          <w:lang w:eastAsia="zh-CN"/>
        </w:rPr>
        <w:t>)</w:t>
      </w:r>
    </w:p>
    <w:p w14:paraId="7312EF90" w14:textId="61828158" w:rsidR="00990477" w:rsidRDefault="00C57354" w:rsidP="00990477">
      <w:pPr>
        <w:jc w:val="both"/>
        <w:rPr>
          <w:b/>
          <w:color w:val="0070C0"/>
          <w:u w:val="single"/>
          <w:lang w:eastAsia="ko-KR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  <w:r w:rsidR="006C66C1">
        <w:rPr>
          <w:color w:val="0070C0"/>
          <w:lang w:val="en-US" w:eastAsia="zh-CN"/>
        </w:rPr>
        <w:t>D</w:t>
      </w:r>
      <w:r w:rsidR="00A002D5">
        <w:rPr>
          <w:color w:val="0070C0"/>
          <w:lang w:val="en-US" w:eastAsia="zh-CN"/>
        </w:rPr>
        <w:t>irectly discuss all related issues in the LS and no more discussion in the email thread at 2</w:t>
      </w:r>
      <w:r w:rsidR="00A002D5" w:rsidRPr="00F04867">
        <w:rPr>
          <w:color w:val="0070C0"/>
          <w:vertAlign w:val="superscript"/>
          <w:lang w:val="en-US" w:eastAsia="zh-CN"/>
        </w:rPr>
        <w:t>nd</w:t>
      </w:r>
      <w:r w:rsidR="00A002D5">
        <w:rPr>
          <w:color w:val="0070C0"/>
          <w:lang w:val="en-US" w:eastAsia="zh-CN"/>
        </w:rPr>
        <w:t xml:space="preserve"> round</w:t>
      </w:r>
    </w:p>
    <w:p w14:paraId="1D5F6442" w14:textId="77777777" w:rsidR="00990477" w:rsidRDefault="00990477" w:rsidP="00990477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UE capabilities in Reply LS </w:t>
      </w:r>
    </w:p>
    <w:p w14:paraId="6F95FEA2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Proposals: Moderator</w:t>
      </w:r>
    </w:p>
    <w:p w14:paraId="685671B4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RAN4 to respond to RAN2 LS on UE capability as follows (Ericsson Apple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 vivo QC)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287"/>
      </w:tblGrid>
      <w:tr w:rsidR="00990477" w14:paraId="115966A6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54F31C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Rel-15/Rel-16 features in TS 38.133 </w:t>
            </w:r>
          </w:p>
        </w:tc>
        <w:tc>
          <w:tcPr>
            <w:tcW w:w="0" w:type="auto"/>
            <w:shd w:val="clear" w:color="auto" w:fill="auto"/>
          </w:tcPr>
          <w:p w14:paraId="70FF6883" w14:textId="77777777" w:rsidR="00990477" w:rsidRDefault="00990477" w:rsidP="002B194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RedCap</w:t>
            </w:r>
            <w:proofErr w:type="spellEnd"/>
            <w:r>
              <w:rPr>
                <w:b/>
                <w:bCs/>
                <w:u w:val="single"/>
              </w:rPr>
              <w:t xml:space="preserve"> RRM requirements applicability in R17</w:t>
            </w:r>
          </w:p>
        </w:tc>
      </w:tr>
      <w:tr w:rsidR="00990477" w14:paraId="21A525F1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DC3A7ED" w14:textId="77777777" w:rsidR="00990477" w:rsidRDefault="00990477" w:rsidP="002B1947">
            <w:r>
              <w:t>Dual connectivity and carrier aggregation</w:t>
            </w:r>
          </w:p>
        </w:tc>
        <w:tc>
          <w:tcPr>
            <w:tcW w:w="0" w:type="auto"/>
            <w:shd w:val="clear" w:color="auto" w:fill="auto"/>
          </w:tcPr>
          <w:p w14:paraId="460DFCB9" w14:textId="77777777" w:rsidR="00990477" w:rsidRDefault="00990477" w:rsidP="002B1947">
            <w:r>
              <w:t>Not applicable</w:t>
            </w:r>
          </w:p>
        </w:tc>
      </w:tr>
      <w:tr w:rsidR="00990477" w14:paraId="54F9097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AD5522" w14:textId="77777777" w:rsidR="00990477" w:rsidRDefault="00990477" w:rsidP="002B1947">
            <w:r>
              <w:t>2-step RA</w:t>
            </w:r>
          </w:p>
        </w:tc>
        <w:tc>
          <w:tcPr>
            <w:tcW w:w="0" w:type="auto"/>
            <w:shd w:val="clear" w:color="auto" w:fill="auto"/>
          </w:tcPr>
          <w:p w14:paraId="2FA7D73D" w14:textId="77777777" w:rsidR="00990477" w:rsidRDefault="00990477" w:rsidP="002B1947">
            <w:r>
              <w:t>Applicable</w:t>
            </w:r>
          </w:p>
        </w:tc>
      </w:tr>
      <w:tr w:rsidR="00990477" w14:paraId="0ADDDEC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0EDE171" w14:textId="77777777" w:rsidR="00990477" w:rsidRDefault="00990477" w:rsidP="002B1947">
            <w:r>
              <w:t>NR measurements with autonomous gaps</w:t>
            </w:r>
          </w:p>
        </w:tc>
        <w:tc>
          <w:tcPr>
            <w:tcW w:w="0" w:type="auto"/>
            <w:shd w:val="clear" w:color="auto" w:fill="auto"/>
          </w:tcPr>
          <w:p w14:paraId="70EE8E81" w14:textId="77777777" w:rsidR="00990477" w:rsidRDefault="00990477" w:rsidP="002B1947">
            <w:r>
              <w:t>Applicable</w:t>
            </w:r>
          </w:p>
        </w:tc>
      </w:tr>
      <w:tr w:rsidR="00990477" w14:paraId="488E23B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CB85221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features in TS 38.133</w:t>
            </w:r>
          </w:p>
        </w:tc>
        <w:tc>
          <w:tcPr>
            <w:tcW w:w="0" w:type="auto"/>
            <w:shd w:val="clear" w:color="auto" w:fill="auto"/>
          </w:tcPr>
          <w:p w14:paraId="4633B406" w14:textId="77777777" w:rsidR="00990477" w:rsidRDefault="00990477" w:rsidP="002B1947">
            <w:pPr>
              <w:keepNext/>
            </w:pPr>
          </w:p>
        </w:tc>
      </w:tr>
      <w:tr w:rsidR="00990477" w14:paraId="2C0596E3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FFD2602" w14:textId="77777777" w:rsidR="00990477" w:rsidRDefault="00990477" w:rsidP="002B1947">
            <w:r>
              <w:t>SDT</w:t>
            </w:r>
          </w:p>
        </w:tc>
        <w:tc>
          <w:tcPr>
            <w:tcW w:w="0" w:type="auto"/>
            <w:shd w:val="clear" w:color="auto" w:fill="auto"/>
          </w:tcPr>
          <w:p w14:paraId="7DA7DE3C" w14:textId="77777777" w:rsidR="00990477" w:rsidRDefault="00990477" w:rsidP="002B1947">
            <w:pPr>
              <w:keepNext/>
            </w:pPr>
            <w:r>
              <w:t>Applicable</w:t>
            </w:r>
          </w:p>
        </w:tc>
      </w:tr>
      <w:tr w:rsidR="00990477" w14:paraId="0A33EE03" w14:textId="77777777" w:rsidTr="002B1947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6D7A5C4D" w14:textId="77777777" w:rsidR="00990477" w:rsidRDefault="00990477" w:rsidP="002B1947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 xml:space="preserve">Note: RAN4 will not define any RRM requirements for </w:t>
            </w:r>
            <w:proofErr w:type="spellStart"/>
            <w:r>
              <w:rPr>
                <w:i/>
                <w:iCs/>
              </w:rPr>
              <w:t>RedCap</w:t>
            </w:r>
            <w:proofErr w:type="spellEnd"/>
            <w:r>
              <w:rPr>
                <w:i/>
                <w:iCs/>
              </w:rPr>
              <w:t xml:space="preserve"> UE for other release 16 features which are not listed above in release 17.</w:t>
            </w:r>
          </w:p>
        </w:tc>
      </w:tr>
    </w:tbl>
    <w:p w14:paraId="053E9C45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Reply to the RAN2 LS [1] using our previous conclusions captured in the WF [R4-2115358</w:t>
      </w:r>
      <w:r>
        <w:rPr>
          <w:rFonts w:eastAsia="宋体"/>
          <w:color w:val="0070C0"/>
          <w:szCs w:val="24"/>
          <w:lang w:eastAsia="zh-CN"/>
        </w:rPr>
        <w:t xml:space="preserve">  </w:t>
      </w:r>
      <w:r>
        <w:rPr>
          <w:rFonts w:eastAsia="宋体" w:hint="eastAsia"/>
          <w:color w:val="0070C0"/>
          <w:szCs w:val="24"/>
          <w:lang w:eastAsia="zh-CN"/>
        </w:rPr>
        <w:t>2] and WF [R4-2120410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3]</w:t>
      </w:r>
      <w:r>
        <w:rPr>
          <w:rFonts w:eastAsia="宋体"/>
          <w:color w:val="0070C0"/>
          <w:szCs w:val="24"/>
          <w:lang w:eastAsia="zh-CN"/>
        </w:rPr>
        <w:t xml:space="preserve"> (ZTE)</w:t>
      </w:r>
    </w:p>
    <w:p w14:paraId="4DFDB8DD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 Support that RAN4 to capture the high speed measurements requirements in the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rel-17 specification (MTK)</w:t>
      </w:r>
    </w:p>
    <w:p w14:paraId="19A9E029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4: </w:t>
      </w:r>
      <w:r>
        <w:rPr>
          <w:rFonts w:eastAsia="宋体" w:hint="eastAsia"/>
          <w:color w:val="0070C0"/>
          <w:szCs w:val="24"/>
          <w:lang w:eastAsia="zh-CN"/>
        </w:rPr>
        <w:t xml:space="preserve">RAN4 should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 xml:space="preserve"> (Huawei Nokia)</w:t>
      </w:r>
    </w:p>
    <w:p w14:paraId="32FDD198" w14:textId="2646F092" w:rsidR="002010E3" w:rsidRPr="00990477" w:rsidRDefault="00640C37" w:rsidP="00990477">
      <w:pPr>
        <w:rPr>
          <w:lang w:eastAsia="zh-CN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  <w:r w:rsidR="00572DDE">
        <w:rPr>
          <w:color w:val="0070C0"/>
          <w:lang w:val="en-US" w:eastAsia="zh-CN"/>
        </w:rPr>
        <w:t xml:space="preserve">Reply LS </w:t>
      </w:r>
      <w:r w:rsidR="000D7570" w:rsidRPr="00572DDE">
        <w:rPr>
          <w:color w:val="0070C0"/>
          <w:lang w:val="en-US" w:eastAsia="zh-CN"/>
        </w:rPr>
        <w:t>R4-2206977</w:t>
      </w:r>
      <w:r w:rsidR="00572DDE" w:rsidRPr="00572DDE">
        <w:rPr>
          <w:color w:val="0070C0"/>
          <w:lang w:val="en-US" w:eastAsia="zh-CN"/>
        </w:rPr>
        <w:t xml:space="preserve"> </w:t>
      </w:r>
      <w:r w:rsidR="00572DDE">
        <w:rPr>
          <w:color w:val="0070C0"/>
          <w:lang w:val="en-US" w:eastAsia="zh-CN"/>
        </w:rPr>
        <w:t>is agreed</w:t>
      </w:r>
      <w:bookmarkStart w:id="0" w:name="_GoBack"/>
      <w:bookmarkEnd w:id="0"/>
    </w:p>
    <w:p w14:paraId="2A00F23C" w14:textId="21A1E359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 w:rsidRPr="002010E3">
        <w:rPr>
          <w:sz w:val="24"/>
          <w:szCs w:val="16"/>
          <w:lang w:val="en-US"/>
        </w:rPr>
        <w:t xml:space="preserve">Sub-topic 3-2 Reply LS for R2- 2201760     </w:t>
      </w:r>
    </w:p>
    <w:p w14:paraId="1A8F780A" w14:textId="77777777" w:rsidR="0078227D" w:rsidRDefault="0078227D" w:rsidP="0078227D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3-2-1: Whether there are impacts on RAN4 specs when performing new RSRP measurement in a DL BWP associated with CD-SSB before Msg1/A retransmission based on UE implementation</w:t>
      </w:r>
    </w:p>
    <w:p w14:paraId="0CFCC963" w14:textId="77777777" w:rsidR="0078227D" w:rsidRDefault="0078227D" w:rsidP="0078227D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8C6A5D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No </w:t>
      </w:r>
      <w:r>
        <w:rPr>
          <w:rFonts w:eastAsia="宋体" w:hint="eastAsia"/>
          <w:color w:val="0070C0"/>
          <w:szCs w:val="24"/>
          <w:lang w:eastAsia="zh-CN"/>
        </w:rPr>
        <w:t>impact</w:t>
      </w:r>
      <w:r>
        <w:rPr>
          <w:rFonts w:eastAsia="宋体"/>
          <w:color w:val="0070C0"/>
          <w:szCs w:val="24"/>
          <w:lang w:eastAsia="zh-CN"/>
        </w:rPr>
        <w:t xml:space="preserve"> (vivo)</w:t>
      </w:r>
    </w:p>
    <w:p w14:paraId="57D42E5F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Yes (Huawei Apple)</w:t>
      </w:r>
    </w:p>
    <w:p w14:paraId="0203DE7D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If a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idle/inactive mode is configured with a separate initial BWP associated with no SSB (CD or NCD) for RACH</w:t>
      </w:r>
      <w:r>
        <w:rPr>
          <w:rFonts w:eastAsia="宋体" w:hint="eastAsia"/>
          <w:color w:val="0070C0"/>
          <w:szCs w:val="24"/>
          <w:lang w:eastAsia="zh-CN"/>
        </w:rPr>
        <w:t>,</w:t>
      </w:r>
      <w:r>
        <w:rPr>
          <w:rFonts w:eastAsia="宋体"/>
          <w:color w:val="0070C0"/>
          <w:szCs w:val="24"/>
          <w:lang w:eastAsia="zh-CN"/>
        </w:rPr>
        <w:t xml:space="preserve"> UE is not required to meet </w:t>
      </w:r>
      <w:proofErr w:type="spellStart"/>
      <w:r>
        <w:rPr>
          <w:rFonts w:eastAsia="宋体"/>
          <w:color w:val="0070C0"/>
          <w:szCs w:val="24"/>
          <w:lang w:eastAsia="zh-CN"/>
        </w:rPr>
        <w:t>Te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before Msg1/A retransmission.” (Huawei)</w:t>
      </w:r>
    </w:p>
    <w:p w14:paraId="697B0B1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rFonts w:eastAsia="宋体" w:hint="eastAsia"/>
          <w:color w:val="0070C0"/>
          <w:szCs w:val="24"/>
          <w:lang w:eastAsia="zh-CN"/>
        </w:rPr>
        <w:t>S</w:t>
      </w:r>
      <w:r>
        <w:rPr>
          <w:rFonts w:eastAsia="宋体"/>
          <w:color w:val="0070C0"/>
          <w:szCs w:val="24"/>
          <w:lang w:eastAsia="zh-CN"/>
        </w:rPr>
        <w:t>pecify the condition UE is expected to perform new RSRP measurement in a DL BWP associated with CD-SSB before Msg1/</w:t>
      </w:r>
      <w:proofErr w:type="spellStart"/>
      <w:r>
        <w:rPr>
          <w:rFonts w:eastAsia="宋体"/>
          <w:color w:val="0070C0"/>
          <w:szCs w:val="24"/>
          <w:lang w:eastAsia="zh-CN"/>
        </w:rPr>
        <w:t>MsgA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retransmission when the PRACH configuration period is X [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] or more, and/or frequency distance between CD-SSB and separate initial DL BWP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Y [MHz] or more. FFS for X and Y. (Ericsson)</w:t>
      </w:r>
    </w:p>
    <w:p w14:paraId="30648B15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X: 80ms for fading case; no need new RSRP measurement for stationary UEs.</w:t>
      </w:r>
    </w:p>
    <w:p w14:paraId="1C38716F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Y: 20MHz for FR1, 100MHz for FR2.</w:t>
      </w:r>
    </w:p>
    <w:p w14:paraId="3C6469C5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Option 4</w:t>
      </w:r>
      <w:r>
        <w:rPr>
          <w:rFonts w:eastAsia="宋体" w:hint="eastAsia"/>
          <w:color w:val="0070C0"/>
          <w:szCs w:val="24"/>
          <w:lang w:eastAsia="zh-CN"/>
        </w:rPr>
        <w:t>：</w:t>
      </w:r>
      <w:r>
        <w:rPr>
          <w:rFonts w:eastAsia="宋体" w:hint="eastAsia"/>
          <w:color w:val="0070C0"/>
          <w:szCs w:val="24"/>
          <w:lang w:eastAsia="zh-CN"/>
        </w:rPr>
        <w:t xml:space="preserve"> </w:t>
      </w:r>
      <w:r>
        <w:rPr>
          <w:rFonts w:eastAsia="宋体"/>
          <w:color w:val="0070C0"/>
          <w:szCs w:val="24"/>
          <w:lang w:eastAsia="zh-CN"/>
        </w:rPr>
        <w:t>Regarding RAN2 LS on RSRP measurement, RAN4 wait for potential new agreement in RAN1 to proceed. (ZTE)</w:t>
      </w:r>
    </w:p>
    <w:p w14:paraId="733A781D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5: conclusion for issue 3-1-1 can be reused here (Nokia)</w:t>
      </w:r>
    </w:p>
    <w:p w14:paraId="251EF0AA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6: up to UE implementation (MTK)</w:t>
      </w:r>
    </w:p>
    <w:p w14:paraId="5A9B8022" w14:textId="5DAFC716" w:rsidR="0078227D" w:rsidRPr="0078227D" w:rsidRDefault="0067516E" w:rsidP="0078227D">
      <w:pPr>
        <w:rPr>
          <w:lang w:val="en-US" w:eastAsia="zh-CN"/>
        </w:rPr>
      </w:pPr>
      <w:r>
        <w:rPr>
          <w:color w:val="0070C0"/>
          <w:lang w:eastAsia="zh-CN"/>
        </w:rPr>
        <w:t xml:space="preserve">Tentative </w:t>
      </w:r>
      <w:r w:rsidRPr="0067516E">
        <w:rPr>
          <w:color w:val="0070C0"/>
          <w:lang w:eastAsia="zh-CN"/>
        </w:rPr>
        <w:t xml:space="preserve">Agreement: </w:t>
      </w:r>
      <w:r w:rsidR="00E36C3A">
        <w:rPr>
          <w:color w:val="0070C0"/>
          <w:lang w:eastAsia="zh-CN"/>
        </w:rPr>
        <w:t>No consensus and FFS</w:t>
      </w:r>
    </w:p>
    <w:p w14:paraId="130C30A3" w14:textId="77777777" w:rsidR="00DD0732" w:rsidRDefault="002A1674">
      <w:pPr>
        <w:pStyle w:val="10"/>
        <w:rPr>
          <w:lang w:val="en-US" w:eastAsia="ja-JP"/>
        </w:rPr>
      </w:pPr>
      <w:r>
        <w:rPr>
          <w:lang w:val="en-US" w:eastAsia="ja-JP"/>
        </w:rPr>
        <w:t>Reference</w:t>
      </w:r>
    </w:p>
    <w:p w14:paraId="55B28A2C" w14:textId="6CB5770F" w:rsidR="00DD0732" w:rsidRDefault="002A1674">
      <w:pPr>
        <w:rPr>
          <w:lang w:val="en-US" w:eastAsia="ja-JP"/>
        </w:rPr>
      </w:pPr>
      <w:r>
        <w:rPr>
          <w:lang w:val="en-US" w:eastAsia="ja-JP"/>
        </w:rPr>
        <w:t xml:space="preserve">[1] </w:t>
      </w:r>
      <w:r w:rsidR="008A276F" w:rsidRPr="008A276F">
        <w:rPr>
          <w:lang w:val="en-US" w:eastAsia="ja-JP"/>
        </w:rPr>
        <w:t>R4-2207070</w:t>
      </w:r>
      <w:r w:rsidR="008A276F" w:rsidRPr="008A276F">
        <w:rPr>
          <w:lang w:val="en-US" w:eastAsia="ja-JP"/>
        </w:rPr>
        <w:tab/>
        <w:t>Email discussion summary: [102-e][229] NR_redcap_RRM_2</w:t>
      </w:r>
      <w:r>
        <w:rPr>
          <w:lang w:val="en-US" w:eastAsia="ja-JP"/>
        </w:rPr>
        <w:t>, vivo, RAN4 10</w:t>
      </w:r>
      <w:r w:rsidR="00387F55">
        <w:rPr>
          <w:lang w:val="en-US" w:eastAsia="ja-JP"/>
        </w:rPr>
        <w:t>2</w:t>
      </w:r>
      <w:r>
        <w:rPr>
          <w:lang w:val="en-US" w:eastAsia="ja-JP"/>
        </w:rPr>
        <w:t>-e</w:t>
      </w:r>
    </w:p>
    <w:sectPr w:rsidR="00DD07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69A4" w14:textId="77777777" w:rsidR="00AA7DF0" w:rsidRDefault="00AA7DF0" w:rsidP="006B62FB">
      <w:pPr>
        <w:spacing w:after="0" w:line="240" w:lineRule="auto"/>
      </w:pPr>
      <w:r>
        <w:separator/>
      </w:r>
    </w:p>
  </w:endnote>
  <w:endnote w:type="continuationSeparator" w:id="0">
    <w:p w14:paraId="6D7661F4" w14:textId="77777777" w:rsidR="00AA7DF0" w:rsidRDefault="00AA7DF0" w:rsidP="006B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28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mbusRomNo9L-Regu">
    <w:altName w:val="Times New Roman"/>
    <w:charset w:val="00"/>
    <w:family w:val="roman"/>
    <w:pitch w:val="default"/>
  </w:font>
  <w:font w:name="rtxr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3D23" w14:textId="77777777" w:rsidR="00AA7DF0" w:rsidRDefault="00AA7DF0" w:rsidP="006B62FB">
      <w:pPr>
        <w:spacing w:after="0" w:line="240" w:lineRule="auto"/>
      </w:pPr>
      <w:r>
        <w:separator/>
      </w:r>
    </w:p>
  </w:footnote>
  <w:footnote w:type="continuationSeparator" w:id="0">
    <w:p w14:paraId="2F17BC77" w14:textId="77777777" w:rsidR="00AA7DF0" w:rsidRDefault="00AA7DF0" w:rsidP="006B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D11"/>
    <w:multiLevelType w:val="multilevel"/>
    <w:tmpl w:val="0EA46D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2204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9D418BB"/>
    <w:multiLevelType w:val="multilevel"/>
    <w:tmpl w:val="49D418BB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9433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153" w:hanging="360"/>
      </w:pPr>
    </w:lvl>
    <w:lvl w:ilvl="2">
      <w:start w:val="1"/>
      <w:numFmt w:val="lowerRoman"/>
      <w:lvlText w:val="%3."/>
      <w:lvlJc w:val="right"/>
      <w:pPr>
        <w:ind w:left="10873" w:hanging="180"/>
      </w:pPr>
    </w:lvl>
    <w:lvl w:ilvl="3">
      <w:start w:val="1"/>
      <w:numFmt w:val="decimal"/>
      <w:lvlText w:val="%4."/>
      <w:lvlJc w:val="left"/>
      <w:pPr>
        <w:ind w:left="11593" w:hanging="360"/>
      </w:pPr>
    </w:lvl>
    <w:lvl w:ilvl="4">
      <w:start w:val="1"/>
      <w:numFmt w:val="lowerLetter"/>
      <w:lvlText w:val="%5."/>
      <w:lvlJc w:val="left"/>
      <w:pPr>
        <w:ind w:left="12313" w:hanging="360"/>
      </w:pPr>
    </w:lvl>
    <w:lvl w:ilvl="5">
      <w:start w:val="1"/>
      <w:numFmt w:val="lowerRoman"/>
      <w:lvlText w:val="%6."/>
      <w:lvlJc w:val="right"/>
      <w:pPr>
        <w:ind w:left="13033" w:hanging="180"/>
      </w:pPr>
    </w:lvl>
    <w:lvl w:ilvl="6">
      <w:start w:val="1"/>
      <w:numFmt w:val="decimal"/>
      <w:lvlText w:val="%7."/>
      <w:lvlJc w:val="left"/>
      <w:pPr>
        <w:ind w:left="13753" w:hanging="360"/>
      </w:pPr>
    </w:lvl>
    <w:lvl w:ilvl="7">
      <w:start w:val="1"/>
      <w:numFmt w:val="lowerLetter"/>
      <w:lvlText w:val="%8."/>
      <w:lvlJc w:val="left"/>
      <w:pPr>
        <w:ind w:left="14473" w:hanging="360"/>
      </w:pPr>
    </w:lvl>
    <w:lvl w:ilvl="8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4E246E2D"/>
    <w:multiLevelType w:val="multilevel"/>
    <w:tmpl w:val="4E246E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0D4"/>
    <w:multiLevelType w:val="multilevel"/>
    <w:tmpl w:val="4E4B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F226321"/>
    <w:multiLevelType w:val="multilevel"/>
    <w:tmpl w:val="5F2263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E46A45"/>
    <w:multiLevelType w:val="multilevel"/>
    <w:tmpl w:val="6EE46A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3E6"/>
    <w:multiLevelType w:val="multilevel"/>
    <w:tmpl w:val="6F184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15"/>
    <w:lvlOverride w:ilvl="0">
      <w:startOverride w:val="1"/>
    </w:lvlOverride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604"/>
    <w:rsid w:val="0000223C"/>
    <w:rsid w:val="000039D0"/>
    <w:rsid w:val="00003AA7"/>
    <w:rsid w:val="00003DE2"/>
    <w:rsid w:val="00004165"/>
    <w:rsid w:val="00004674"/>
    <w:rsid w:val="000068D9"/>
    <w:rsid w:val="00006A1B"/>
    <w:rsid w:val="000071CE"/>
    <w:rsid w:val="00007B25"/>
    <w:rsid w:val="0001009D"/>
    <w:rsid w:val="00010A73"/>
    <w:rsid w:val="0001182C"/>
    <w:rsid w:val="00013624"/>
    <w:rsid w:val="00013F63"/>
    <w:rsid w:val="00015CD5"/>
    <w:rsid w:val="00016F44"/>
    <w:rsid w:val="00017837"/>
    <w:rsid w:val="00020432"/>
    <w:rsid w:val="00020B71"/>
    <w:rsid w:val="00020C56"/>
    <w:rsid w:val="00020F21"/>
    <w:rsid w:val="00022719"/>
    <w:rsid w:val="00022769"/>
    <w:rsid w:val="00024BC0"/>
    <w:rsid w:val="00024DFF"/>
    <w:rsid w:val="00026479"/>
    <w:rsid w:val="0002678C"/>
    <w:rsid w:val="00026ACC"/>
    <w:rsid w:val="00027665"/>
    <w:rsid w:val="000310F0"/>
    <w:rsid w:val="000314D1"/>
    <w:rsid w:val="0003171D"/>
    <w:rsid w:val="00031C1D"/>
    <w:rsid w:val="00032FA8"/>
    <w:rsid w:val="00033020"/>
    <w:rsid w:val="0003382B"/>
    <w:rsid w:val="00035C50"/>
    <w:rsid w:val="00036C62"/>
    <w:rsid w:val="000375A3"/>
    <w:rsid w:val="00040B06"/>
    <w:rsid w:val="000440A9"/>
    <w:rsid w:val="00044BCB"/>
    <w:rsid w:val="00044D5F"/>
    <w:rsid w:val="000450DF"/>
    <w:rsid w:val="000457A1"/>
    <w:rsid w:val="00046779"/>
    <w:rsid w:val="00046D34"/>
    <w:rsid w:val="00050001"/>
    <w:rsid w:val="00052041"/>
    <w:rsid w:val="00052883"/>
    <w:rsid w:val="0005326A"/>
    <w:rsid w:val="000557ED"/>
    <w:rsid w:val="0005671F"/>
    <w:rsid w:val="00061A75"/>
    <w:rsid w:val="0006266D"/>
    <w:rsid w:val="00062854"/>
    <w:rsid w:val="00062883"/>
    <w:rsid w:val="0006288A"/>
    <w:rsid w:val="0006358D"/>
    <w:rsid w:val="00064CAA"/>
    <w:rsid w:val="00065506"/>
    <w:rsid w:val="00065857"/>
    <w:rsid w:val="00070F1D"/>
    <w:rsid w:val="00071D24"/>
    <w:rsid w:val="00072660"/>
    <w:rsid w:val="00072AE5"/>
    <w:rsid w:val="0007382E"/>
    <w:rsid w:val="000766E1"/>
    <w:rsid w:val="00076828"/>
    <w:rsid w:val="00077FF6"/>
    <w:rsid w:val="00080D82"/>
    <w:rsid w:val="00081692"/>
    <w:rsid w:val="000829F6"/>
    <w:rsid w:val="00082C46"/>
    <w:rsid w:val="0008405F"/>
    <w:rsid w:val="00085A0E"/>
    <w:rsid w:val="00085C4F"/>
    <w:rsid w:val="00086758"/>
    <w:rsid w:val="000870E6"/>
    <w:rsid w:val="00087548"/>
    <w:rsid w:val="00090A5C"/>
    <w:rsid w:val="00090E09"/>
    <w:rsid w:val="0009115A"/>
    <w:rsid w:val="00091C5F"/>
    <w:rsid w:val="00093A21"/>
    <w:rsid w:val="00093E7E"/>
    <w:rsid w:val="00096D32"/>
    <w:rsid w:val="00097FCF"/>
    <w:rsid w:val="000A1830"/>
    <w:rsid w:val="000A2D76"/>
    <w:rsid w:val="000A328D"/>
    <w:rsid w:val="000A4121"/>
    <w:rsid w:val="000A4AA3"/>
    <w:rsid w:val="000A550E"/>
    <w:rsid w:val="000A5E01"/>
    <w:rsid w:val="000A6C8A"/>
    <w:rsid w:val="000B0595"/>
    <w:rsid w:val="000B0960"/>
    <w:rsid w:val="000B0BD5"/>
    <w:rsid w:val="000B1A55"/>
    <w:rsid w:val="000B20BB"/>
    <w:rsid w:val="000B224E"/>
    <w:rsid w:val="000B2DF5"/>
    <w:rsid w:val="000B2EF6"/>
    <w:rsid w:val="000B2FA6"/>
    <w:rsid w:val="000B3252"/>
    <w:rsid w:val="000B3986"/>
    <w:rsid w:val="000B4AA0"/>
    <w:rsid w:val="000B5364"/>
    <w:rsid w:val="000B6840"/>
    <w:rsid w:val="000B7EB8"/>
    <w:rsid w:val="000C0204"/>
    <w:rsid w:val="000C0AE9"/>
    <w:rsid w:val="000C2553"/>
    <w:rsid w:val="000C38C3"/>
    <w:rsid w:val="000C5B13"/>
    <w:rsid w:val="000C655F"/>
    <w:rsid w:val="000C7947"/>
    <w:rsid w:val="000C7A3C"/>
    <w:rsid w:val="000C7DAB"/>
    <w:rsid w:val="000D09FD"/>
    <w:rsid w:val="000D44FB"/>
    <w:rsid w:val="000D53F9"/>
    <w:rsid w:val="000D574B"/>
    <w:rsid w:val="000D5A88"/>
    <w:rsid w:val="000D6CFC"/>
    <w:rsid w:val="000D7570"/>
    <w:rsid w:val="000D7F02"/>
    <w:rsid w:val="000E181F"/>
    <w:rsid w:val="000E537B"/>
    <w:rsid w:val="000E573F"/>
    <w:rsid w:val="000E57D0"/>
    <w:rsid w:val="000E7858"/>
    <w:rsid w:val="000E78E0"/>
    <w:rsid w:val="000E7A3C"/>
    <w:rsid w:val="000F05AD"/>
    <w:rsid w:val="000F0C0E"/>
    <w:rsid w:val="000F16B5"/>
    <w:rsid w:val="000F286E"/>
    <w:rsid w:val="000F39CA"/>
    <w:rsid w:val="000F4C54"/>
    <w:rsid w:val="000F549A"/>
    <w:rsid w:val="000F68B9"/>
    <w:rsid w:val="000F79BC"/>
    <w:rsid w:val="001005C8"/>
    <w:rsid w:val="00100A1F"/>
    <w:rsid w:val="00100E63"/>
    <w:rsid w:val="00101C25"/>
    <w:rsid w:val="001020A3"/>
    <w:rsid w:val="00103479"/>
    <w:rsid w:val="00103A77"/>
    <w:rsid w:val="0010538A"/>
    <w:rsid w:val="0010545F"/>
    <w:rsid w:val="00106A32"/>
    <w:rsid w:val="001078DE"/>
    <w:rsid w:val="00107927"/>
    <w:rsid w:val="00110736"/>
    <w:rsid w:val="0011073A"/>
    <w:rsid w:val="00110E26"/>
    <w:rsid w:val="00111321"/>
    <w:rsid w:val="00113FB7"/>
    <w:rsid w:val="00115854"/>
    <w:rsid w:val="00115C7B"/>
    <w:rsid w:val="001178C5"/>
    <w:rsid w:val="00117BD6"/>
    <w:rsid w:val="001206C2"/>
    <w:rsid w:val="00121978"/>
    <w:rsid w:val="0012266A"/>
    <w:rsid w:val="00123422"/>
    <w:rsid w:val="00123503"/>
    <w:rsid w:val="00124B6A"/>
    <w:rsid w:val="00124CC3"/>
    <w:rsid w:val="00124CC8"/>
    <w:rsid w:val="00124EC0"/>
    <w:rsid w:val="00125CA4"/>
    <w:rsid w:val="00125DE4"/>
    <w:rsid w:val="00126F23"/>
    <w:rsid w:val="001272F1"/>
    <w:rsid w:val="001327B3"/>
    <w:rsid w:val="0013303F"/>
    <w:rsid w:val="001333F9"/>
    <w:rsid w:val="00133793"/>
    <w:rsid w:val="00136979"/>
    <w:rsid w:val="00136D4C"/>
    <w:rsid w:val="00140D8D"/>
    <w:rsid w:val="00142538"/>
    <w:rsid w:val="00142BB9"/>
    <w:rsid w:val="00144F96"/>
    <w:rsid w:val="001515AF"/>
    <w:rsid w:val="00151EAC"/>
    <w:rsid w:val="00153528"/>
    <w:rsid w:val="00154E68"/>
    <w:rsid w:val="00155912"/>
    <w:rsid w:val="00156E89"/>
    <w:rsid w:val="0015785E"/>
    <w:rsid w:val="0016128A"/>
    <w:rsid w:val="001613F7"/>
    <w:rsid w:val="00162548"/>
    <w:rsid w:val="00164C32"/>
    <w:rsid w:val="001666AE"/>
    <w:rsid w:val="00171125"/>
    <w:rsid w:val="00172183"/>
    <w:rsid w:val="001751AB"/>
    <w:rsid w:val="00175A3F"/>
    <w:rsid w:val="001768C7"/>
    <w:rsid w:val="001769BB"/>
    <w:rsid w:val="00180E09"/>
    <w:rsid w:val="00183D4C"/>
    <w:rsid w:val="00183F6D"/>
    <w:rsid w:val="00184408"/>
    <w:rsid w:val="001863A2"/>
    <w:rsid w:val="0018670E"/>
    <w:rsid w:val="0018760E"/>
    <w:rsid w:val="00187E60"/>
    <w:rsid w:val="00190214"/>
    <w:rsid w:val="001908B7"/>
    <w:rsid w:val="00190BE5"/>
    <w:rsid w:val="0019219A"/>
    <w:rsid w:val="00195077"/>
    <w:rsid w:val="001976B2"/>
    <w:rsid w:val="001A033F"/>
    <w:rsid w:val="001A08AA"/>
    <w:rsid w:val="001A59CB"/>
    <w:rsid w:val="001A79F3"/>
    <w:rsid w:val="001B03D2"/>
    <w:rsid w:val="001B0B18"/>
    <w:rsid w:val="001B23BC"/>
    <w:rsid w:val="001B2ABC"/>
    <w:rsid w:val="001B4DD3"/>
    <w:rsid w:val="001B557A"/>
    <w:rsid w:val="001B7991"/>
    <w:rsid w:val="001C0CF1"/>
    <w:rsid w:val="001C1409"/>
    <w:rsid w:val="001C2AE6"/>
    <w:rsid w:val="001C3CBE"/>
    <w:rsid w:val="001C4A44"/>
    <w:rsid w:val="001C4A89"/>
    <w:rsid w:val="001C5DAA"/>
    <w:rsid w:val="001C6177"/>
    <w:rsid w:val="001C66EB"/>
    <w:rsid w:val="001C7F7C"/>
    <w:rsid w:val="001D0363"/>
    <w:rsid w:val="001D0410"/>
    <w:rsid w:val="001D12B4"/>
    <w:rsid w:val="001D16A3"/>
    <w:rsid w:val="001D2E32"/>
    <w:rsid w:val="001D5F32"/>
    <w:rsid w:val="001D6A1A"/>
    <w:rsid w:val="001D7D94"/>
    <w:rsid w:val="001E06BD"/>
    <w:rsid w:val="001E09A7"/>
    <w:rsid w:val="001E0A28"/>
    <w:rsid w:val="001E299F"/>
    <w:rsid w:val="001E3B75"/>
    <w:rsid w:val="001E3FC1"/>
    <w:rsid w:val="001E4031"/>
    <w:rsid w:val="001E4218"/>
    <w:rsid w:val="001E6E49"/>
    <w:rsid w:val="001E75E4"/>
    <w:rsid w:val="001F0B20"/>
    <w:rsid w:val="001F14A9"/>
    <w:rsid w:val="001F379D"/>
    <w:rsid w:val="001F3B47"/>
    <w:rsid w:val="001F5C10"/>
    <w:rsid w:val="001F5E49"/>
    <w:rsid w:val="001F7D4C"/>
    <w:rsid w:val="002004CD"/>
    <w:rsid w:val="00200A62"/>
    <w:rsid w:val="00200D7A"/>
    <w:rsid w:val="002010E3"/>
    <w:rsid w:val="00203491"/>
    <w:rsid w:val="00203740"/>
    <w:rsid w:val="002058C9"/>
    <w:rsid w:val="00205A02"/>
    <w:rsid w:val="00206AEA"/>
    <w:rsid w:val="00207508"/>
    <w:rsid w:val="0021185B"/>
    <w:rsid w:val="002138EA"/>
    <w:rsid w:val="002139EA"/>
    <w:rsid w:val="00213F84"/>
    <w:rsid w:val="00214AEE"/>
    <w:rsid w:val="00214FBD"/>
    <w:rsid w:val="002150A7"/>
    <w:rsid w:val="002176F7"/>
    <w:rsid w:val="00220586"/>
    <w:rsid w:val="00221313"/>
    <w:rsid w:val="00221E08"/>
    <w:rsid w:val="00222897"/>
    <w:rsid w:val="00222B0C"/>
    <w:rsid w:val="00225E33"/>
    <w:rsid w:val="00231548"/>
    <w:rsid w:val="0023320B"/>
    <w:rsid w:val="00235394"/>
    <w:rsid w:val="00235577"/>
    <w:rsid w:val="00236327"/>
    <w:rsid w:val="002369A0"/>
    <w:rsid w:val="002371B2"/>
    <w:rsid w:val="00241169"/>
    <w:rsid w:val="002415D8"/>
    <w:rsid w:val="00242DDD"/>
    <w:rsid w:val="002435CA"/>
    <w:rsid w:val="00243935"/>
    <w:rsid w:val="0024396B"/>
    <w:rsid w:val="00244543"/>
    <w:rsid w:val="00244619"/>
    <w:rsid w:val="00244662"/>
    <w:rsid w:val="0024469F"/>
    <w:rsid w:val="00244759"/>
    <w:rsid w:val="00245477"/>
    <w:rsid w:val="002478C9"/>
    <w:rsid w:val="00250B5B"/>
    <w:rsid w:val="002513DC"/>
    <w:rsid w:val="0025242F"/>
    <w:rsid w:val="00252DB8"/>
    <w:rsid w:val="002537BC"/>
    <w:rsid w:val="00255C58"/>
    <w:rsid w:val="00257104"/>
    <w:rsid w:val="002579C1"/>
    <w:rsid w:val="00257AC8"/>
    <w:rsid w:val="00260EC7"/>
    <w:rsid w:val="00261539"/>
    <w:rsid w:val="0026179F"/>
    <w:rsid w:val="00262CF3"/>
    <w:rsid w:val="0026320E"/>
    <w:rsid w:val="002666AE"/>
    <w:rsid w:val="00266A05"/>
    <w:rsid w:val="00271213"/>
    <w:rsid w:val="0027186E"/>
    <w:rsid w:val="002747DA"/>
    <w:rsid w:val="00274E1A"/>
    <w:rsid w:val="00275D21"/>
    <w:rsid w:val="00276F88"/>
    <w:rsid w:val="002775B1"/>
    <w:rsid w:val="002775B9"/>
    <w:rsid w:val="002811C4"/>
    <w:rsid w:val="00282213"/>
    <w:rsid w:val="00284016"/>
    <w:rsid w:val="002858BF"/>
    <w:rsid w:val="0028783E"/>
    <w:rsid w:val="0029038E"/>
    <w:rsid w:val="002931E4"/>
    <w:rsid w:val="002939AF"/>
    <w:rsid w:val="00294064"/>
    <w:rsid w:val="0029435D"/>
    <w:rsid w:val="00294491"/>
    <w:rsid w:val="00294BDE"/>
    <w:rsid w:val="002A0CED"/>
    <w:rsid w:val="002A1674"/>
    <w:rsid w:val="002A3DDD"/>
    <w:rsid w:val="002A4C31"/>
    <w:rsid w:val="002A4CD0"/>
    <w:rsid w:val="002A7DA6"/>
    <w:rsid w:val="002B1947"/>
    <w:rsid w:val="002B1C45"/>
    <w:rsid w:val="002B516C"/>
    <w:rsid w:val="002B5E1D"/>
    <w:rsid w:val="002B60C1"/>
    <w:rsid w:val="002B70D2"/>
    <w:rsid w:val="002B7359"/>
    <w:rsid w:val="002C0736"/>
    <w:rsid w:val="002C0C00"/>
    <w:rsid w:val="002C177D"/>
    <w:rsid w:val="002C3C4F"/>
    <w:rsid w:val="002C49E3"/>
    <w:rsid w:val="002C4B52"/>
    <w:rsid w:val="002C5047"/>
    <w:rsid w:val="002C55EE"/>
    <w:rsid w:val="002C61A9"/>
    <w:rsid w:val="002C61BD"/>
    <w:rsid w:val="002C666B"/>
    <w:rsid w:val="002C66DE"/>
    <w:rsid w:val="002D03E5"/>
    <w:rsid w:val="002D05F0"/>
    <w:rsid w:val="002D189E"/>
    <w:rsid w:val="002D1E7C"/>
    <w:rsid w:val="002D33A7"/>
    <w:rsid w:val="002D36EB"/>
    <w:rsid w:val="002D4241"/>
    <w:rsid w:val="002D5047"/>
    <w:rsid w:val="002D6BDF"/>
    <w:rsid w:val="002D7438"/>
    <w:rsid w:val="002D75AF"/>
    <w:rsid w:val="002E20E2"/>
    <w:rsid w:val="002E24D7"/>
    <w:rsid w:val="002E2BF7"/>
    <w:rsid w:val="002E2CE9"/>
    <w:rsid w:val="002E3AE1"/>
    <w:rsid w:val="002E3BF7"/>
    <w:rsid w:val="002E403E"/>
    <w:rsid w:val="002E4040"/>
    <w:rsid w:val="002E418C"/>
    <w:rsid w:val="002E4C74"/>
    <w:rsid w:val="002E5A02"/>
    <w:rsid w:val="002E5CD8"/>
    <w:rsid w:val="002E796E"/>
    <w:rsid w:val="002E7DB8"/>
    <w:rsid w:val="002F0F49"/>
    <w:rsid w:val="002F158C"/>
    <w:rsid w:val="002F4093"/>
    <w:rsid w:val="002F4814"/>
    <w:rsid w:val="002F4936"/>
    <w:rsid w:val="002F5201"/>
    <w:rsid w:val="002F5636"/>
    <w:rsid w:val="003022A5"/>
    <w:rsid w:val="003037EB"/>
    <w:rsid w:val="00306ADF"/>
    <w:rsid w:val="0030742D"/>
    <w:rsid w:val="00307E51"/>
    <w:rsid w:val="00311363"/>
    <w:rsid w:val="00315867"/>
    <w:rsid w:val="00315BCA"/>
    <w:rsid w:val="00321150"/>
    <w:rsid w:val="00322A47"/>
    <w:rsid w:val="003257C9"/>
    <w:rsid w:val="003260D7"/>
    <w:rsid w:val="00326F4C"/>
    <w:rsid w:val="00330C3A"/>
    <w:rsid w:val="00332108"/>
    <w:rsid w:val="00333CF2"/>
    <w:rsid w:val="00336697"/>
    <w:rsid w:val="00337323"/>
    <w:rsid w:val="003418CB"/>
    <w:rsid w:val="003418EA"/>
    <w:rsid w:val="003423E1"/>
    <w:rsid w:val="00342747"/>
    <w:rsid w:val="00342A1A"/>
    <w:rsid w:val="00344715"/>
    <w:rsid w:val="0034486D"/>
    <w:rsid w:val="00344A0F"/>
    <w:rsid w:val="003468D2"/>
    <w:rsid w:val="00346B25"/>
    <w:rsid w:val="00347089"/>
    <w:rsid w:val="00347C24"/>
    <w:rsid w:val="0035197A"/>
    <w:rsid w:val="00351C43"/>
    <w:rsid w:val="00353B97"/>
    <w:rsid w:val="00355873"/>
    <w:rsid w:val="0035660F"/>
    <w:rsid w:val="0036127E"/>
    <w:rsid w:val="003622EC"/>
    <w:rsid w:val="0036237D"/>
    <w:rsid w:val="003628B9"/>
    <w:rsid w:val="00362D8F"/>
    <w:rsid w:val="00363E9F"/>
    <w:rsid w:val="00367724"/>
    <w:rsid w:val="003679A9"/>
    <w:rsid w:val="003710BA"/>
    <w:rsid w:val="0037614A"/>
    <w:rsid w:val="003770F6"/>
    <w:rsid w:val="003825F8"/>
    <w:rsid w:val="00382E82"/>
    <w:rsid w:val="00383E37"/>
    <w:rsid w:val="00383E69"/>
    <w:rsid w:val="003841B2"/>
    <w:rsid w:val="00384365"/>
    <w:rsid w:val="00384825"/>
    <w:rsid w:val="003849B6"/>
    <w:rsid w:val="0038724F"/>
    <w:rsid w:val="00387722"/>
    <w:rsid w:val="00387F55"/>
    <w:rsid w:val="003919FA"/>
    <w:rsid w:val="00393042"/>
    <w:rsid w:val="003932FB"/>
    <w:rsid w:val="00393DC0"/>
    <w:rsid w:val="00394AD5"/>
    <w:rsid w:val="003952A0"/>
    <w:rsid w:val="0039642D"/>
    <w:rsid w:val="003965FD"/>
    <w:rsid w:val="00396E78"/>
    <w:rsid w:val="003978D3"/>
    <w:rsid w:val="003979B7"/>
    <w:rsid w:val="00397E1D"/>
    <w:rsid w:val="003A03F2"/>
    <w:rsid w:val="003A088B"/>
    <w:rsid w:val="003A2E40"/>
    <w:rsid w:val="003A3771"/>
    <w:rsid w:val="003A5E1F"/>
    <w:rsid w:val="003A5F9C"/>
    <w:rsid w:val="003A5FF9"/>
    <w:rsid w:val="003B0158"/>
    <w:rsid w:val="003B1771"/>
    <w:rsid w:val="003B1C05"/>
    <w:rsid w:val="003B248B"/>
    <w:rsid w:val="003B3A6C"/>
    <w:rsid w:val="003B3BF2"/>
    <w:rsid w:val="003B40B6"/>
    <w:rsid w:val="003B4927"/>
    <w:rsid w:val="003B4946"/>
    <w:rsid w:val="003B56DB"/>
    <w:rsid w:val="003B755E"/>
    <w:rsid w:val="003C15C9"/>
    <w:rsid w:val="003C1959"/>
    <w:rsid w:val="003C228E"/>
    <w:rsid w:val="003C325C"/>
    <w:rsid w:val="003C51E7"/>
    <w:rsid w:val="003C524F"/>
    <w:rsid w:val="003C61C1"/>
    <w:rsid w:val="003C62AB"/>
    <w:rsid w:val="003C6893"/>
    <w:rsid w:val="003C6DE2"/>
    <w:rsid w:val="003C7E06"/>
    <w:rsid w:val="003D1EFD"/>
    <w:rsid w:val="003D2821"/>
    <w:rsid w:val="003D28BF"/>
    <w:rsid w:val="003D2F71"/>
    <w:rsid w:val="003D367D"/>
    <w:rsid w:val="003D4215"/>
    <w:rsid w:val="003D444B"/>
    <w:rsid w:val="003D4C47"/>
    <w:rsid w:val="003D53D6"/>
    <w:rsid w:val="003D699F"/>
    <w:rsid w:val="003D7719"/>
    <w:rsid w:val="003D7E2F"/>
    <w:rsid w:val="003E249D"/>
    <w:rsid w:val="003E2CCE"/>
    <w:rsid w:val="003E400A"/>
    <w:rsid w:val="003E40EE"/>
    <w:rsid w:val="003E6291"/>
    <w:rsid w:val="003E640C"/>
    <w:rsid w:val="003E7675"/>
    <w:rsid w:val="003E7741"/>
    <w:rsid w:val="003E7D5B"/>
    <w:rsid w:val="003F1C1B"/>
    <w:rsid w:val="003F26F3"/>
    <w:rsid w:val="003F39DB"/>
    <w:rsid w:val="003F3A2F"/>
    <w:rsid w:val="003F3BD3"/>
    <w:rsid w:val="003F3DF0"/>
    <w:rsid w:val="003F5B81"/>
    <w:rsid w:val="00401144"/>
    <w:rsid w:val="00401F8E"/>
    <w:rsid w:val="00402366"/>
    <w:rsid w:val="00403888"/>
    <w:rsid w:val="00404831"/>
    <w:rsid w:val="0040556F"/>
    <w:rsid w:val="00406D02"/>
    <w:rsid w:val="004074DA"/>
    <w:rsid w:val="00407661"/>
    <w:rsid w:val="00407BD8"/>
    <w:rsid w:val="00410314"/>
    <w:rsid w:val="004109C0"/>
    <w:rsid w:val="00412063"/>
    <w:rsid w:val="00412B46"/>
    <w:rsid w:val="00412EB1"/>
    <w:rsid w:val="0041359A"/>
    <w:rsid w:val="00413DDE"/>
    <w:rsid w:val="00414118"/>
    <w:rsid w:val="00414862"/>
    <w:rsid w:val="00416084"/>
    <w:rsid w:val="00424F8C"/>
    <w:rsid w:val="00425C2F"/>
    <w:rsid w:val="00426742"/>
    <w:rsid w:val="004271BA"/>
    <w:rsid w:val="00430497"/>
    <w:rsid w:val="00430EA5"/>
    <w:rsid w:val="00431484"/>
    <w:rsid w:val="00433CF7"/>
    <w:rsid w:val="00434A35"/>
    <w:rsid w:val="00434DC1"/>
    <w:rsid w:val="004350F4"/>
    <w:rsid w:val="004412A0"/>
    <w:rsid w:val="00441A20"/>
    <w:rsid w:val="00442337"/>
    <w:rsid w:val="004448F7"/>
    <w:rsid w:val="0044518F"/>
    <w:rsid w:val="00445F80"/>
    <w:rsid w:val="00446408"/>
    <w:rsid w:val="00447245"/>
    <w:rsid w:val="00450A79"/>
    <w:rsid w:val="00450F27"/>
    <w:rsid w:val="004510E5"/>
    <w:rsid w:val="004512D2"/>
    <w:rsid w:val="00452E01"/>
    <w:rsid w:val="0045536D"/>
    <w:rsid w:val="00456A75"/>
    <w:rsid w:val="00456F4E"/>
    <w:rsid w:val="00461E39"/>
    <w:rsid w:val="00462032"/>
    <w:rsid w:val="00462697"/>
    <w:rsid w:val="00462B29"/>
    <w:rsid w:val="00462D3A"/>
    <w:rsid w:val="00463521"/>
    <w:rsid w:val="00463D49"/>
    <w:rsid w:val="00465150"/>
    <w:rsid w:val="0046641A"/>
    <w:rsid w:val="00466820"/>
    <w:rsid w:val="00471125"/>
    <w:rsid w:val="0047126E"/>
    <w:rsid w:val="0047289D"/>
    <w:rsid w:val="00472B16"/>
    <w:rsid w:val="00472FEB"/>
    <w:rsid w:val="004733AA"/>
    <w:rsid w:val="004734E3"/>
    <w:rsid w:val="004735D0"/>
    <w:rsid w:val="00473A88"/>
    <w:rsid w:val="00473C82"/>
    <w:rsid w:val="0047437A"/>
    <w:rsid w:val="004744F7"/>
    <w:rsid w:val="00477C9A"/>
    <w:rsid w:val="004800E1"/>
    <w:rsid w:val="00480E42"/>
    <w:rsid w:val="00484C5D"/>
    <w:rsid w:val="00485365"/>
    <w:rsid w:val="0048543E"/>
    <w:rsid w:val="00485E12"/>
    <w:rsid w:val="004868C1"/>
    <w:rsid w:val="0048750F"/>
    <w:rsid w:val="0049152A"/>
    <w:rsid w:val="00494468"/>
    <w:rsid w:val="00495B50"/>
    <w:rsid w:val="0049740B"/>
    <w:rsid w:val="004A0AE8"/>
    <w:rsid w:val="004A0B30"/>
    <w:rsid w:val="004A26CB"/>
    <w:rsid w:val="004A3F21"/>
    <w:rsid w:val="004A495F"/>
    <w:rsid w:val="004A58BA"/>
    <w:rsid w:val="004A5904"/>
    <w:rsid w:val="004A64C7"/>
    <w:rsid w:val="004A7544"/>
    <w:rsid w:val="004A7E84"/>
    <w:rsid w:val="004B1D3B"/>
    <w:rsid w:val="004B31F5"/>
    <w:rsid w:val="004B3AF6"/>
    <w:rsid w:val="004B605E"/>
    <w:rsid w:val="004B6B0F"/>
    <w:rsid w:val="004C42A7"/>
    <w:rsid w:val="004C54E5"/>
    <w:rsid w:val="004C6297"/>
    <w:rsid w:val="004C6DEC"/>
    <w:rsid w:val="004C78DC"/>
    <w:rsid w:val="004C7DC8"/>
    <w:rsid w:val="004D0AD4"/>
    <w:rsid w:val="004D1AAB"/>
    <w:rsid w:val="004D1C4E"/>
    <w:rsid w:val="004D2160"/>
    <w:rsid w:val="004D21B0"/>
    <w:rsid w:val="004D5454"/>
    <w:rsid w:val="004D6669"/>
    <w:rsid w:val="004D68C7"/>
    <w:rsid w:val="004D737D"/>
    <w:rsid w:val="004D7ADE"/>
    <w:rsid w:val="004D7B29"/>
    <w:rsid w:val="004E2659"/>
    <w:rsid w:val="004E2C0C"/>
    <w:rsid w:val="004E39EE"/>
    <w:rsid w:val="004E475C"/>
    <w:rsid w:val="004E56E0"/>
    <w:rsid w:val="004E7329"/>
    <w:rsid w:val="004E7614"/>
    <w:rsid w:val="004F1EC3"/>
    <w:rsid w:val="004F29E7"/>
    <w:rsid w:val="004F2CB0"/>
    <w:rsid w:val="004F38E5"/>
    <w:rsid w:val="004F457E"/>
    <w:rsid w:val="004F4EED"/>
    <w:rsid w:val="004F5EB8"/>
    <w:rsid w:val="004F641D"/>
    <w:rsid w:val="004F7DF9"/>
    <w:rsid w:val="005017F7"/>
    <w:rsid w:val="00501DAC"/>
    <w:rsid w:val="00501FA7"/>
    <w:rsid w:val="005032F7"/>
    <w:rsid w:val="005034DC"/>
    <w:rsid w:val="00504454"/>
    <w:rsid w:val="005056E1"/>
    <w:rsid w:val="00505BFA"/>
    <w:rsid w:val="005071B4"/>
    <w:rsid w:val="005071D8"/>
    <w:rsid w:val="00507687"/>
    <w:rsid w:val="00511474"/>
    <w:rsid w:val="005117A9"/>
    <w:rsid w:val="00511915"/>
    <w:rsid w:val="00511D63"/>
    <w:rsid w:val="00511F57"/>
    <w:rsid w:val="00512093"/>
    <w:rsid w:val="005128F4"/>
    <w:rsid w:val="00512F8C"/>
    <w:rsid w:val="0051315F"/>
    <w:rsid w:val="00513C60"/>
    <w:rsid w:val="00515CBE"/>
    <w:rsid w:val="00515E2B"/>
    <w:rsid w:val="005219A8"/>
    <w:rsid w:val="00521BAE"/>
    <w:rsid w:val="005220EA"/>
    <w:rsid w:val="00522A7E"/>
    <w:rsid w:val="00522F20"/>
    <w:rsid w:val="00523608"/>
    <w:rsid w:val="0052739D"/>
    <w:rsid w:val="005308DB"/>
    <w:rsid w:val="00530A2E"/>
    <w:rsid w:val="00530FBE"/>
    <w:rsid w:val="005315F6"/>
    <w:rsid w:val="00533159"/>
    <w:rsid w:val="005339DB"/>
    <w:rsid w:val="00534C89"/>
    <w:rsid w:val="005409B9"/>
    <w:rsid w:val="00541553"/>
    <w:rsid w:val="00541573"/>
    <w:rsid w:val="00542C5E"/>
    <w:rsid w:val="0054348A"/>
    <w:rsid w:val="00552392"/>
    <w:rsid w:val="00552F59"/>
    <w:rsid w:val="00553396"/>
    <w:rsid w:val="0055650D"/>
    <w:rsid w:val="00557C59"/>
    <w:rsid w:val="00561E99"/>
    <w:rsid w:val="00565D40"/>
    <w:rsid w:val="00566A15"/>
    <w:rsid w:val="005673E9"/>
    <w:rsid w:val="005708BD"/>
    <w:rsid w:val="00571777"/>
    <w:rsid w:val="00571A80"/>
    <w:rsid w:val="00572DDE"/>
    <w:rsid w:val="00572F10"/>
    <w:rsid w:val="00575E83"/>
    <w:rsid w:val="00576A09"/>
    <w:rsid w:val="00576FB4"/>
    <w:rsid w:val="00580FF5"/>
    <w:rsid w:val="00581426"/>
    <w:rsid w:val="00583069"/>
    <w:rsid w:val="00583227"/>
    <w:rsid w:val="0058394A"/>
    <w:rsid w:val="00583BA2"/>
    <w:rsid w:val="00584F46"/>
    <w:rsid w:val="00584FAC"/>
    <w:rsid w:val="0058519C"/>
    <w:rsid w:val="00587D45"/>
    <w:rsid w:val="00590D07"/>
    <w:rsid w:val="0059149A"/>
    <w:rsid w:val="00593BD1"/>
    <w:rsid w:val="00593E8E"/>
    <w:rsid w:val="005956EE"/>
    <w:rsid w:val="00596704"/>
    <w:rsid w:val="00597440"/>
    <w:rsid w:val="005A05E2"/>
    <w:rsid w:val="005A07DE"/>
    <w:rsid w:val="005A083E"/>
    <w:rsid w:val="005A0F17"/>
    <w:rsid w:val="005A212D"/>
    <w:rsid w:val="005A5517"/>
    <w:rsid w:val="005A6FA5"/>
    <w:rsid w:val="005A7761"/>
    <w:rsid w:val="005B21CD"/>
    <w:rsid w:val="005B21F6"/>
    <w:rsid w:val="005B3475"/>
    <w:rsid w:val="005B397E"/>
    <w:rsid w:val="005B44BB"/>
    <w:rsid w:val="005B4802"/>
    <w:rsid w:val="005B4DD8"/>
    <w:rsid w:val="005B74A5"/>
    <w:rsid w:val="005B7811"/>
    <w:rsid w:val="005B7BB1"/>
    <w:rsid w:val="005C1CA3"/>
    <w:rsid w:val="005C1EA6"/>
    <w:rsid w:val="005C22AA"/>
    <w:rsid w:val="005C39FE"/>
    <w:rsid w:val="005C3A48"/>
    <w:rsid w:val="005C45C5"/>
    <w:rsid w:val="005D05B3"/>
    <w:rsid w:val="005D0B99"/>
    <w:rsid w:val="005D308E"/>
    <w:rsid w:val="005D30EB"/>
    <w:rsid w:val="005D364F"/>
    <w:rsid w:val="005D3A48"/>
    <w:rsid w:val="005D3B03"/>
    <w:rsid w:val="005D42CB"/>
    <w:rsid w:val="005D7416"/>
    <w:rsid w:val="005D76EB"/>
    <w:rsid w:val="005D7AF8"/>
    <w:rsid w:val="005E0561"/>
    <w:rsid w:val="005E17BF"/>
    <w:rsid w:val="005E2A71"/>
    <w:rsid w:val="005E366A"/>
    <w:rsid w:val="005F0228"/>
    <w:rsid w:val="005F2145"/>
    <w:rsid w:val="005F55F2"/>
    <w:rsid w:val="005F7CCE"/>
    <w:rsid w:val="00600CD5"/>
    <w:rsid w:val="00600FBC"/>
    <w:rsid w:val="006016E1"/>
    <w:rsid w:val="00602D27"/>
    <w:rsid w:val="00604B64"/>
    <w:rsid w:val="006061AF"/>
    <w:rsid w:val="006144A1"/>
    <w:rsid w:val="006156A7"/>
    <w:rsid w:val="00615A3B"/>
    <w:rsid w:val="00615EBB"/>
    <w:rsid w:val="00616096"/>
    <w:rsid w:val="006160A2"/>
    <w:rsid w:val="00623FF3"/>
    <w:rsid w:val="0062409B"/>
    <w:rsid w:val="00624762"/>
    <w:rsid w:val="0062514E"/>
    <w:rsid w:val="0062579C"/>
    <w:rsid w:val="00625C1F"/>
    <w:rsid w:val="006302AA"/>
    <w:rsid w:val="00631205"/>
    <w:rsid w:val="00631603"/>
    <w:rsid w:val="00633841"/>
    <w:rsid w:val="00634635"/>
    <w:rsid w:val="006363BD"/>
    <w:rsid w:val="00640C37"/>
    <w:rsid w:val="006412DC"/>
    <w:rsid w:val="00641E5F"/>
    <w:rsid w:val="00642BC6"/>
    <w:rsid w:val="00644790"/>
    <w:rsid w:val="006477F2"/>
    <w:rsid w:val="006501AF"/>
    <w:rsid w:val="00650B64"/>
    <w:rsid w:val="00650DDE"/>
    <w:rsid w:val="006512FB"/>
    <w:rsid w:val="00652698"/>
    <w:rsid w:val="0065297D"/>
    <w:rsid w:val="0065505B"/>
    <w:rsid w:val="00656547"/>
    <w:rsid w:val="006566B6"/>
    <w:rsid w:val="00657798"/>
    <w:rsid w:val="00661787"/>
    <w:rsid w:val="00662457"/>
    <w:rsid w:val="006641DE"/>
    <w:rsid w:val="006645D0"/>
    <w:rsid w:val="0066658A"/>
    <w:rsid w:val="00666BB6"/>
    <w:rsid w:val="00666D15"/>
    <w:rsid w:val="006670AC"/>
    <w:rsid w:val="00667DC2"/>
    <w:rsid w:val="0067023E"/>
    <w:rsid w:val="00670471"/>
    <w:rsid w:val="0067158D"/>
    <w:rsid w:val="0067180D"/>
    <w:rsid w:val="006718E5"/>
    <w:rsid w:val="006721AF"/>
    <w:rsid w:val="00672307"/>
    <w:rsid w:val="00673A5A"/>
    <w:rsid w:val="00674FAD"/>
    <w:rsid w:val="0067516E"/>
    <w:rsid w:val="00676D46"/>
    <w:rsid w:val="006808C6"/>
    <w:rsid w:val="00680D7D"/>
    <w:rsid w:val="00681412"/>
    <w:rsid w:val="00681CC3"/>
    <w:rsid w:val="00682668"/>
    <w:rsid w:val="00682BE3"/>
    <w:rsid w:val="0068650F"/>
    <w:rsid w:val="00691299"/>
    <w:rsid w:val="00692956"/>
    <w:rsid w:val="00692A68"/>
    <w:rsid w:val="0069420F"/>
    <w:rsid w:val="00695A9C"/>
    <w:rsid w:val="00695D85"/>
    <w:rsid w:val="00696768"/>
    <w:rsid w:val="00697154"/>
    <w:rsid w:val="00697D9E"/>
    <w:rsid w:val="006A2252"/>
    <w:rsid w:val="006A30A2"/>
    <w:rsid w:val="006A6A24"/>
    <w:rsid w:val="006A6D23"/>
    <w:rsid w:val="006B1470"/>
    <w:rsid w:val="006B25DE"/>
    <w:rsid w:val="006B2AD9"/>
    <w:rsid w:val="006B2DFC"/>
    <w:rsid w:val="006B494D"/>
    <w:rsid w:val="006B53A9"/>
    <w:rsid w:val="006B5C13"/>
    <w:rsid w:val="006B62FB"/>
    <w:rsid w:val="006B7286"/>
    <w:rsid w:val="006B7A08"/>
    <w:rsid w:val="006C004A"/>
    <w:rsid w:val="006C1C3B"/>
    <w:rsid w:val="006C21AB"/>
    <w:rsid w:val="006C22E7"/>
    <w:rsid w:val="006C29A6"/>
    <w:rsid w:val="006C2DEB"/>
    <w:rsid w:val="006C2E55"/>
    <w:rsid w:val="006C3EC1"/>
    <w:rsid w:val="006C4E43"/>
    <w:rsid w:val="006C4E48"/>
    <w:rsid w:val="006C643E"/>
    <w:rsid w:val="006C66C1"/>
    <w:rsid w:val="006C6872"/>
    <w:rsid w:val="006C7C93"/>
    <w:rsid w:val="006D2397"/>
    <w:rsid w:val="006D2932"/>
    <w:rsid w:val="006D3671"/>
    <w:rsid w:val="006D4176"/>
    <w:rsid w:val="006D5240"/>
    <w:rsid w:val="006D7D0F"/>
    <w:rsid w:val="006E03E9"/>
    <w:rsid w:val="006E0658"/>
    <w:rsid w:val="006E072D"/>
    <w:rsid w:val="006E0A73"/>
    <w:rsid w:val="006E0FEE"/>
    <w:rsid w:val="006E1391"/>
    <w:rsid w:val="006E3593"/>
    <w:rsid w:val="006E51F3"/>
    <w:rsid w:val="006E5792"/>
    <w:rsid w:val="006E606A"/>
    <w:rsid w:val="006E6C11"/>
    <w:rsid w:val="006E7D75"/>
    <w:rsid w:val="006F3837"/>
    <w:rsid w:val="006F3E1F"/>
    <w:rsid w:val="006F4E80"/>
    <w:rsid w:val="006F5675"/>
    <w:rsid w:val="006F5BC1"/>
    <w:rsid w:val="006F680A"/>
    <w:rsid w:val="006F6868"/>
    <w:rsid w:val="006F7659"/>
    <w:rsid w:val="006F7C0C"/>
    <w:rsid w:val="00700755"/>
    <w:rsid w:val="00706205"/>
    <w:rsid w:val="0070646B"/>
    <w:rsid w:val="007069E7"/>
    <w:rsid w:val="007130A2"/>
    <w:rsid w:val="0071417C"/>
    <w:rsid w:val="00714B0A"/>
    <w:rsid w:val="007151A1"/>
    <w:rsid w:val="0071544C"/>
    <w:rsid w:val="00715463"/>
    <w:rsid w:val="00715AF9"/>
    <w:rsid w:val="00716101"/>
    <w:rsid w:val="00716184"/>
    <w:rsid w:val="00717778"/>
    <w:rsid w:val="00721F3A"/>
    <w:rsid w:val="00722DC5"/>
    <w:rsid w:val="00723B6A"/>
    <w:rsid w:val="00723D74"/>
    <w:rsid w:val="00723FBA"/>
    <w:rsid w:val="00725B20"/>
    <w:rsid w:val="00726E7B"/>
    <w:rsid w:val="00727BDD"/>
    <w:rsid w:val="00730655"/>
    <w:rsid w:val="007319DD"/>
    <w:rsid w:val="00731D77"/>
    <w:rsid w:val="00732360"/>
    <w:rsid w:val="0073390A"/>
    <w:rsid w:val="00734DAF"/>
    <w:rsid w:val="00734E64"/>
    <w:rsid w:val="00736B37"/>
    <w:rsid w:val="00736D5A"/>
    <w:rsid w:val="00740A35"/>
    <w:rsid w:val="00740E03"/>
    <w:rsid w:val="00745944"/>
    <w:rsid w:val="00746868"/>
    <w:rsid w:val="007478C1"/>
    <w:rsid w:val="0075038E"/>
    <w:rsid w:val="007515EB"/>
    <w:rsid w:val="00751CFE"/>
    <w:rsid w:val="007520B4"/>
    <w:rsid w:val="00752FA2"/>
    <w:rsid w:val="00754D12"/>
    <w:rsid w:val="00755ED6"/>
    <w:rsid w:val="0075627F"/>
    <w:rsid w:val="00756E14"/>
    <w:rsid w:val="00757669"/>
    <w:rsid w:val="007603AE"/>
    <w:rsid w:val="007604F4"/>
    <w:rsid w:val="00762434"/>
    <w:rsid w:val="00762F6F"/>
    <w:rsid w:val="00763AD0"/>
    <w:rsid w:val="007655D5"/>
    <w:rsid w:val="00766E55"/>
    <w:rsid w:val="00767059"/>
    <w:rsid w:val="007707FE"/>
    <w:rsid w:val="00772357"/>
    <w:rsid w:val="007727C9"/>
    <w:rsid w:val="0077422B"/>
    <w:rsid w:val="007748E8"/>
    <w:rsid w:val="007763C1"/>
    <w:rsid w:val="00777E82"/>
    <w:rsid w:val="00781359"/>
    <w:rsid w:val="0078227D"/>
    <w:rsid w:val="007823AB"/>
    <w:rsid w:val="00783085"/>
    <w:rsid w:val="007840A6"/>
    <w:rsid w:val="00785668"/>
    <w:rsid w:val="00786222"/>
    <w:rsid w:val="00786921"/>
    <w:rsid w:val="00787614"/>
    <w:rsid w:val="0079014F"/>
    <w:rsid w:val="007924B5"/>
    <w:rsid w:val="00793AA2"/>
    <w:rsid w:val="0079655A"/>
    <w:rsid w:val="007979F5"/>
    <w:rsid w:val="007A0B12"/>
    <w:rsid w:val="007A10A5"/>
    <w:rsid w:val="007A1D0F"/>
    <w:rsid w:val="007A1EAA"/>
    <w:rsid w:val="007A47BB"/>
    <w:rsid w:val="007A6F02"/>
    <w:rsid w:val="007A79FD"/>
    <w:rsid w:val="007A7DD1"/>
    <w:rsid w:val="007B0B9D"/>
    <w:rsid w:val="007B26E3"/>
    <w:rsid w:val="007B2FF4"/>
    <w:rsid w:val="007B49F5"/>
    <w:rsid w:val="007B52B6"/>
    <w:rsid w:val="007B5A43"/>
    <w:rsid w:val="007B5C45"/>
    <w:rsid w:val="007B6525"/>
    <w:rsid w:val="007B709B"/>
    <w:rsid w:val="007B7122"/>
    <w:rsid w:val="007C1343"/>
    <w:rsid w:val="007C1E08"/>
    <w:rsid w:val="007C3BB1"/>
    <w:rsid w:val="007C4713"/>
    <w:rsid w:val="007C5EF1"/>
    <w:rsid w:val="007C63AA"/>
    <w:rsid w:val="007C67A0"/>
    <w:rsid w:val="007C7BF5"/>
    <w:rsid w:val="007D0021"/>
    <w:rsid w:val="007D08F6"/>
    <w:rsid w:val="007D124C"/>
    <w:rsid w:val="007D19B7"/>
    <w:rsid w:val="007D2380"/>
    <w:rsid w:val="007D35C9"/>
    <w:rsid w:val="007D3977"/>
    <w:rsid w:val="007D3DDF"/>
    <w:rsid w:val="007D4FC1"/>
    <w:rsid w:val="007D5475"/>
    <w:rsid w:val="007D75E5"/>
    <w:rsid w:val="007D773E"/>
    <w:rsid w:val="007D7BFC"/>
    <w:rsid w:val="007E066E"/>
    <w:rsid w:val="007E0BAA"/>
    <w:rsid w:val="007E1356"/>
    <w:rsid w:val="007E20FC"/>
    <w:rsid w:val="007E3902"/>
    <w:rsid w:val="007E4BB7"/>
    <w:rsid w:val="007E501E"/>
    <w:rsid w:val="007E6E22"/>
    <w:rsid w:val="007E7062"/>
    <w:rsid w:val="007E713D"/>
    <w:rsid w:val="007E741A"/>
    <w:rsid w:val="007F0E1E"/>
    <w:rsid w:val="007F0F77"/>
    <w:rsid w:val="007F12E4"/>
    <w:rsid w:val="007F29A7"/>
    <w:rsid w:val="007F545B"/>
    <w:rsid w:val="007F5DA1"/>
    <w:rsid w:val="008004B4"/>
    <w:rsid w:val="008012A6"/>
    <w:rsid w:val="008018DF"/>
    <w:rsid w:val="00802669"/>
    <w:rsid w:val="00803D35"/>
    <w:rsid w:val="00804A53"/>
    <w:rsid w:val="00805BE8"/>
    <w:rsid w:val="00806D0E"/>
    <w:rsid w:val="008079AC"/>
    <w:rsid w:val="008103E2"/>
    <w:rsid w:val="008111D4"/>
    <w:rsid w:val="00811376"/>
    <w:rsid w:val="00811C99"/>
    <w:rsid w:val="00812E40"/>
    <w:rsid w:val="00816078"/>
    <w:rsid w:val="008177E3"/>
    <w:rsid w:val="00820004"/>
    <w:rsid w:val="00821824"/>
    <w:rsid w:val="00823AA9"/>
    <w:rsid w:val="008255B9"/>
    <w:rsid w:val="00825CD8"/>
    <w:rsid w:val="00826653"/>
    <w:rsid w:val="00827324"/>
    <w:rsid w:val="00827501"/>
    <w:rsid w:val="00827DEF"/>
    <w:rsid w:val="008303E5"/>
    <w:rsid w:val="00830DCA"/>
    <w:rsid w:val="00832FAF"/>
    <w:rsid w:val="00833C9D"/>
    <w:rsid w:val="00834135"/>
    <w:rsid w:val="00834CAA"/>
    <w:rsid w:val="008352BF"/>
    <w:rsid w:val="008355EA"/>
    <w:rsid w:val="008373B3"/>
    <w:rsid w:val="00837458"/>
    <w:rsid w:val="00837AAE"/>
    <w:rsid w:val="00842846"/>
    <w:rsid w:val="008429AD"/>
    <w:rsid w:val="008429DB"/>
    <w:rsid w:val="00843C18"/>
    <w:rsid w:val="00844A2C"/>
    <w:rsid w:val="00845E40"/>
    <w:rsid w:val="00850C75"/>
    <w:rsid w:val="00850DCE"/>
    <w:rsid w:val="00850E39"/>
    <w:rsid w:val="00851C8B"/>
    <w:rsid w:val="0085477A"/>
    <w:rsid w:val="00855107"/>
    <w:rsid w:val="00855173"/>
    <w:rsid w:val="008553BD"/>
    <w:rsid w:val="008557D9"/>
    <w:rsid w:val="00855BF7"/>
    <w:rsid w:val="00856214"/>
    <w:rsid w:val="00862089"/>
    <w:rsid w:val="00863494"/>
    <w:rsid w:val="008657A8"/>
    <w:rsid w:val="00866499"/>
    <w:rsid w:val="00866D5B"/>
    <w:rsid w:val="00866F0E"/>
    <w:rsid w:val="00866FF5"/>
    <w:rsid w:val="00867802"/>
    <w:rsid w:val="00872591"/>
    <w:rsid w:val="0087332D"/>
    <w:rsid w:val="0087366D"/>
    <w:rsid w:val="00873E1F"/>
    <w:rsid w:val="00874C16"/>
    <w:rsid w:val="00875FD0"/>
    <w:rsid w:val="00876A82"/>
    <w:rsid w:val="0087716C"/>
    <w:rsid w:val="008771C6"/>
    <w:rsid w:val="00880C89"/>
    <w:rsid w:val="00881D40"/>
    <w:rsid w:val="0088460D"/>
    <w:rsid w:val="00886D1F"/>
    <w:rsid w:val="00887DF4"/>
    <w:rsid w:val="00890BAD"/>
    <w:rsid w:val="00891133"/>
    <w:rsid w:val="00891EE1"/>
    <w:rsid w:val="0089286C"/>
    <w:rsid w:val="00893987"/>
    <w:rsid w:val="00894301"/>
    <w:rsid w:val="00895C90"/>
    <w:rsid w:val="008960A3"/>
    <w:rsid w:val="008963EF"/>
    <w:rsid w:val="0089688E"/>
    <w:rsid w:val="008A0EF4"/>
    <w:rsid w:val="008A114F"/>
    <w:rsid w:val="008A1FBE"/>
    <w:rsid w:val="008A276F"/>
    <w:rsid w:val="008A4575"/>
    <w:rsid w:val="008A57C5"/>
    <w:rsid w:val="008A63AF"/>
    <w:rsid w:val="008A71C6"/>
    <w:rsid w:val="008B0686"/>
    <w:rsid w:val="008B2750"/>
    <w:rsid w:val="008B3194"/>
    <w:rsid w:val="008B4AD2"/>
    <w:rsid w:val="008B5AE7"/>
    <w:rsid w:val="008B70E4"/>
    <w:rsid w:val="008B7C58"/>
    <w:rsid w:val="008C26B4"/>
    <w:rsid w:val="008C2D3E"/>
    <w:rsid w:val="008C35D1"/>
    <w:rsid w:val="008C44D0"/>
    <w:rsid w:val="008C5601"/>
    <w:rsid w:val="008C60E9"/>
    <w:rsid w:val="008C6834"/>
    <w:rsid w:val="008D1B7C"/>
    <w:rsid w:val="008D3682"/>
    <w:rsid w:val="008D4488"/>
    <w:rsid w:val="008D6657"/>
    <w:rsid w:val="008E1CFD"/>
    <w:rsid w:val="008E1D2A"/>
    <w:rsid w:val="008E1F60"/>
    <w:rsid w:val="008E22DC"/>
    <w:rsid w:val="008E2B9D"/>
    <w:rsid w:val="008E307E"/>
    <w:rsid w:val="008E3AAA"/>
    <w:rsid w:val="008E43A9"/>
    <w:rsid w:val="008E55BB"/>
    <w:rsid w:val="008E5751"/>
    <w:rsid w:val="008E7604"/>
    <w:rsid w:val="008F2157"/>
    <w:rsid w:val="008F46EF"/>
    <w:rsid w:val="008F4DD1"/>
    <w:rsid w:val="008F4EA4"/>
    <w:rsid w:val="008F6056"/>
    <w:rsid w:val="008F685B"/>
    <w:rsid w:val="009014E3"/>
    <w:rsid w:val="009014FB"/>
    <w:rsid w:val="00902C07"/>
    <w:rsid w:val="00903B30"/>
    <w:rsid w:val="00905296"/>
    <w:rsid w:val="00905804"/>
    <w:rsid w:val="0090590C"/>
    <w:rsid w:val="00906BB8"/>
    <w:rsid w:val="00906D76"/>
    <w:rsid w:val="009101E2"/>
    <w:rsid w:val="00913E20"/>
    <w:rsid w:val="00913F99"/>
    <w:rsid w:val="0091558D"/>
    <w:rsid w:val="00915D73"/>
    <w:rsid w:val="00916077"/>
    <w:rsid w:val="0091643D"/>
    <w:rsid w:val="009168C1"/>
    <w:rsid w:val="00916BAD"/>
    <w:rsid w:val="009170A2"/>
    <w:rsid w:val="009208A6"/>
    <w:rsid w:val="009232BE"/>
    <w:rsid w:val="00924514"/>
    <w:rsid w:val="00927316"/>
    <w:rsid w:val="00930432"/>
    <w:rsid w:val="00930E91"/>
    <w:rsid w:val="0093133D"/>
    <w:rsid w:val="0093276D"/>
    <w:rsid w:val="00933A5B"/>
    <w:rsid w:val="00933D12"/>
    <w:rsid w:val="00934C03"/>
    <w:rsid w:val="00936C81"/>
    <w:rsid w:val="00937065"/>
    <w:rsid w:val="00940285"/>
    <w:rsid w:val="009415B0"/>
    <w:rsid w:val="00942EFA"/>
    <w:rsid w:val="0094358C"/>
    <w:rsid w:val="00943CB3"/>
    <w:rsid w:val="00943E16"/>
    <w:rsid w:val="00947E7E"/>
    <w:rsid w:val="00947EEA"/>
    <w:rsid w:val="00950994"/>
    <w:rsid w:val="00950995"/>
    <w:rsid w:val="00950CDD"/>
    <w:rsid w:val="0095139A"/>
    <w:rsid w:val="009536ED"/>
    <w:rsid w:val="0095393C"/>
    <w:rsid w:val="00953B9E"/>
    <w:rsid w:val="00953E16"/>
    <w:rsid w:val="009540D6"/>
    <w:rsid w:val="009542AC"/>
    <w:rsid w:val="00955B37"/>
    <w:rsid w:val="00955C1F"/>
    <w:rsid w:val="00956C88"/>
    <w:rsid w:val="0096070F"/>
    <w:rsid w:val="00961BB2"/>
    <w:rsid w:val="00962108"/>
    <w:rsid w:val="009624E9"/>
    <w:rsid w:val="009632B2"/>
    <w:rsid w:val="009638D6"/>
    <w:rsid w:val="00966160"/>
    <w:rsid w:val="00966F10"/>
    <w:rsid w:val="009675FB"/>
    <w:rsid w:val="00971573"/>
    <w:rsid w:val="0097301E"/>
    <w:rsid w:val="00973B33"/>
    <w:rsid w:val="0097408E"/>
    <w:rsid w:val="00974A68"/>
    <w:rsid w:val="00974BB2"/>
    <w:rsid w:val="00974FA7"/>
    <w:rsid w:val="00975116"/>
    <w:rsid w:val="009756E5"/>
    <w:rsid w:val="0097696F"/>
    <w:rsid w:val="00977242"/>
    <w:rsid w:val="009779CA"/>
    <w:rsid w:val="00977A8C"/>
    <w:rsid w:val="00980F54"/>
    <w:rsid w:val="009815D5"/>
    <w:rsid w:val="00983071"/>
    <w:rsid w:val="00983162"/>
    <w:rsid w:val="00983910"/>
    <w:rsid w:val="0098486C"/>
    <w:rsid w:val="00984DEE"/>
    <w:rsid w:val="00990203"/>
    <w:rsid w:val="00990477"/>
    <w:rsid w:val="0099070E"/>
    <w:rsid w:val="00991D5E"/>
    <w:rsid w:val="00991DDD"/>
    <w:rsid w:val="009932AC"/>
    <w:rsid w:val="00994351"/>
    <w:rsid w:val="00996198"/>
    <w:rsid w:val="00996A8F"/>
    <w:rsid w:val="009A017D"/>
    <w:rsid w:val="009A0FBC"/>
    <w:rsid w:val="009A1DBF"/>
    <w:rsid w:val="009A57A6"/>
    <w:rsid w:val="009A5D06"/>
    <w:rsid w:val="009A68E6"/>
    <w:rsid w:val="009A7598"/>
    <w:rsid w:val="009A7C22"/>
    <w:rsid w:val="009B0BB2"/>
    <w:rsid w:val="009B1A22"/>
    <w:rsid w:val="009B1DF8"/>
    <w:rsid w:val="009B2D9F"/>
    <w:rsid w:val="009B3D20"/>
    <w:rsid w:val="009B41C9"/>
    <w:rsid w:val="009B4A3C"/>
    <w:rsid w:val="009B5418"/>
    <w:rsid w:val="009C042C"/>
    <w:rsid w:val="009C0727"/>
    <w:rsid w:val="009C247F"/>
    <w:rsid w:val="009C3240"/>
    <w:rsid w:val="009C3C80"/>
    <w:rsid w:val="009C3EA1"/>
    <w:rsid w:val="009C492F"/>
    <w:rsid w:val="009C4B33"/>
    <w:rsid w:val="009C5449"/>
    <w:rsid w:val="009C66B7"/>
    <w:rsid w:val="009C77DD"/>
    <w:rsid w:val="009D1D7E"/>
    <w:rsid w:val="009D2FF2"/>
    <w:rsid w:val="009D3226"/>
    <w:rsid w:val="009D3302"/>
    <w:rsid w:val="009D3385"/>
    <w:rsid w:val="009D343E"/>
    <w:rsid w:val="009D793C"/>
    <w:rsid w:val="009D7D1A"/>
    <w:rsid w:val="009E16A9"/>
    <w:rsid w:val="009E28EE"/>
    <w:rsid w:val="009E375F"/>
    <w:rsid w:val="009E39D4"/>
    <w:rsid w:val="009E40C7"/>
    <w:rsid w:val="009E433B"/>
    <w:rsid w:val="009E5401"/>
    <w:rsid w:val="009E651B"/>
    <w:rsid w:val="009E6832"/>
    <w:rsid w:val="009E691C"/>
    <w:rsid w:val="009F4CB2"/>
    <w:rsid w:val="009F4D73"/>
    <w:rsid w:val="009F5A77"/>
    <w:rsid w:val="009F64CA"/>
    <w:rsid w:val="009F7358"/>
    <w:rsid w:val="009F7540"/>
    <w:rsid w:val="009F7EBC"/>
    <w:rsid w:val="009F7F68"/>
    <w:rsid w:val="00A002D5"/>
    <w:rsid w:val="00A0222A"/>
    <w:rsid w:val="00A054EF"/>
    <w:rsid w:val="00A05B39"/>
    <w:rsid w:val="00A0600E"/>
    <w:rsid w:val="00A06EE4"/>
    <w:rsid w:val="00A0758F"/>
    <w:rsid w:val="00A078F2"/>
    <w:rsid w:val="00A10376"/>
    <w:rsid w:val="00A10991"/>
    <w:rsid w:val="00A154C1"/>
    <w:rsid w:val="00A1570A"/>
    <w:rsid w:val="00A20563"/>
    <w:rsid w:val="00A20893"/>
    <w:rsid w:val="00A20DF1"/>
    <w:rsid w:val="00A21119"/>
    <w:rsid w:val="00A211B4"/>
    <w:rsid w:val="00A253D6"/>
    <w:rsid w:val="00A25483"/>
    <w:rsid w:val="00A31095"/>
    <w:rsid w:val="00A311BE"/>
    <w:rsid w:val="00A31D42"/>
    <w:rsid w:val="00A32BAF"/>
    <w:rsid w:val="00A3302B"/>
    <w:rsid w:val="00A33DDF"/>
    <w:rsid w:val="00A34547"/>
    <w:rsid w:val="00A376B7"/>
    <w:rsid w:val="00A40DD0"/>
    <w:rsid w:val="00A40F4B"/>
    <w:rsid w:val="00A41BF5"/>
    <w:rsid w:val="00A42ACD"/>
    <w:rsid w:val="00A43537"/>
    <w:rsid w:val="00A43645"/>
    <w:rsid w:val="00A43DCD"/>
    <w:rsid w:val="00A446B2"/>
    <w:rsid w:val="00A44778"/>
    <w:rsid w:val="00A46796"/>
    <w:rsid w:val="00A469E7"/>
    <w:rsid w:val="00A47B83"/>
    <w:rsid w:val="00A51F04"/>
    <w:rsid w:val="00A5480C"/>
    <w:rsid w:val="00A552E0"/>
    <w:rsid w:val="00A604A4"/>
    <w:rsid w:val="00A61B7D"/>
    <w:rsid w:val="00A6216B"/>
    <w:rsid w:val="00A6500E"/>
    <w:rsid w:val="00A6605B"/>
    <w:rsid w:val="00A666FD"/>
    <w:rsid w:val="00A66ADC"/>
    <w:rsid w:val="00A670DE"/>
    <w:rsid w:val="00A678B5"/>
    <w:rsid w:val="00A7147D"/>
    <w:rsid w:val="00A73195"/>
    <w:rsid w:val="00A74562"/>
    <w:rsid w:val="00A75DDE"/>
    <w:rsid w:val="00A76936"/>
    <w:rsid w:val="00A76F86"/>
    <w:rsid w:val="00A77032"/>
    <w:rsid w:val="00A81B15"/>
    <w:rsid w:val="00A8201B"/>
    <w:rsid w:val="00A83009"/>
    <w:rsid w:val="00A837FF"/>
    <w:rsid w:val="00A84052"/>
    <w:rsid w:val="00A84DC8"/>
    <w:rsid w:val="00A8568F"/>
    <w:rsid w:val="00A85DBC"/>
    <w:rsid w:val="00A87FEB"/>
    <w:rsid w:val="00A91060"/>
    <w:rsid w:val="00A914DD"/>
    <w:rsid w:val="00A92A7F"/>
    <w:rsid w:val="00A93F9F"/>
    <w:rsid w:val="00A9420E"/>
    <w:rsid w:val="00A9511A"/>
    <w:rsid w:val="00A9539E"/>
    <w:rsid w:val="00A9688C"/>
    <w:rsid w:val="00A974C1"/>
    <w:rsid w:val="00A97648"/>
    <w:rsid w:val="00AA12A0"/>
    <w:rsid w:val="00AA1CFD"/>
    <w:rsid w:val="00AA2239"/>
    <w:rsid w:val="00AA2F39"/>
    <w:rsid w:val="00AA33D2"/>
    <w:rsid w:val="00AA43A7"/>
    <w:rsid w:val="00AA54D5"/>
    <w:rsid w:val="00AA60AC"/>
    <w:rsid w:val="00AA68A9"/>
    <w:rsid w:val="00AA6DF7"/>
    <w:rsid w:val="00AA7DF0"/>
    <w:rsid w:val="00AB0C57"/>
    <w:rsid w:val="00AB1195"/>
    <w:rsid w:val="00AB4182"/>
    <w:rsid w:val="00AB506D"/>
    <w:rsid w:val="00AB63A6"/>
    <w:rsid w:val="00AC0B89"/>
    <w:rsid w:val="00AC2367"/>
    <w:rsid w:val="00AC27DB"/>
    <w:rsid w:val="00AC2DA5"/>
    <w:rsid w:val="00AC307A"/>
    <w:rsid w:val="00AC6985"/>
    <w:rsid w:val="00AC6D6B"/>
    <w:rsid w:val="00AD1193"/>
    <w:rsid w:val="00AD11EB"/>
    <w:rsid w:val="00AD3452"/>
    <w:rsid w:val="00AD3FF6"/>
    <w:rsid w:val="00AD46BE"/>
    <w:rsid w:val="00AD63AD"/>
    <w:rsid w:val="00AD67C2"/>
    <w:rsid w:val="00AD7736"/>
    <w:rsid w:val="00AE10CE"/>
    <w:rsid w:val="00AE6D8E"/>
    <w:rsid w:val="00AE70D4"/>
    <w:rsid w:val="00AE7868"/>
    <w:rsid w:val="00AF00B3"/>
    <w:rsid w:val="00AF03BE"/>
    <w:rsid w:val="00AF0407"/>
    <w:rsid w:val="00AF049B"/>
    <w:rsid w:val="00AF095E"/>
    <w:rsid w:val="00AF2EB5"/>
    <w:rsid w:val="00AF307F"/>
    <w:rsid w:val="00AF4AD0"/>
    <w:rsid w:val="00AF4D8B"/>
    <w:rsid w:val="00B00A31"/>
    <w:rsid w:val="00B067CA"/>
    <w:rsid w:val="00B1077C"/>
    <w:rsid w:val="00B11EB8"/>
    <w:rsid w:val="00B1210F"/>
    <w:rsid w:val="00B12B26"/>
    <w:rsid w:val="00B139A8"/>
    <w:rsid w:val="00B147CE"/>
    <w:rsid w:val="00B15691"/>
    <w:rsid w:val="00B163F8"/>
    <w:rsid w:val="00B17454"/>
    <w:rsid w:val="00B20C6A"/>
    <w:rsid w:val="00B22FFA"/>
    <w:rsid w:val="00B24184"/>
    <w:rsid w:val="00B2472D"/>
    <w:rsid w:val="00B24CA0"/>
    <w:rsid w:val="00B2549F"/>
    <w:rsid w:val="00B255D6"/>
    <w:rsid w:val="00B26BF8"/>
    <w:rsid w:val="00B27BF2"/>
    <w:rsid w:val="00B30009"/>
    <w:rsid w:val="00B31E07"/>
    <w:rsid w:val="00B33D44"/>
    <w:rsid w:val="00B35080"/>
    <w:rsid w:val="00B35707"/>
    <w:rsid w:val="00B35DD6"/>
    <w:rsid w:val="00B360F9"/>
    <w:rsid w:val="00B4006F"/>
    <w:rsid w:val="00B4108D"/>
    <w:rsid w:val="00B41208"/>
    <w:rsid w:val="00B434B2"/>
    <w:rsid w:val="00B45121"/>
    <w:rsid w:val="00B45362"/>
    <w:rsid w:val="00B4624D"/>
    <w:rsid w:val="00B4736F"/>
    <w:rsid w:val="00B474BC"/>
    <w:rsid w:val="00B51273"/>
    <w:rsid w:val="00B51FB8"/>
    <w:rsid w:val="00B5204A"/>
    <w:rsid w:val="00B5383E"/>
    <w:rsid w:val="00B57265"/>
    <w:rsid w:val="00B604F0"/>
    <w:rsid w:val="00B60FFE"/>
    <w:rsid w:val="00B61D49"/>
    <w:rsid w:val="00B629AC"/>
    <w:rsid w:val="00B62C88"/>
    <w:rsid w:val="00B633AE"/>
    <w:rsid w:val="00B63F7C"/>
    <w:rsid w:val="00B66057"/>
    <w:rsid w:val="00B665D2"/>
    <w:rsid w:val="00B6737C"/>
    <w:rsid w:val="00B67E77"/>
    <w:rsid w:val="00B7068C"/>
    <w:rsid w:val="00B7214D"/>
    <w:rsid w:val="00B729CE"/>
    <w:rsid w:val="00B73A71"/>
    <w:rsid w:val="00B73ECB"/>
    <w:rsid w:val="00B74372"/>
    <w:rsid w:val="00B75525"/>
    <w:rsid w:val="00B80283"/>
    <w:rsid w:val="00B80517"/>
    <w:rsid w:val="00B8095F"/>
    <w:rsid w:val="00B80B0C"/>
    <w:rsid w:val="00B80B11"/>
    <w:rsid w:val="00B822FC"/>
    <w:rsid w:val="00B82381"/>
    <w:rsid w:val="00B82618"/>
    <w:rsid w:val="00B831AE"/>
    <w:rsid w:val="00B843CA"/>
    <w:rsid w:val="00B8446C"/>
    <w:rsid w:val="00B847BB"/>
    <w:rsid w:val="00B8523F"/>
    <w:rsid w:val="00B855AC"/>
    <w:rsid w:val="00B86D96"/>
    <w:rsid w:val="00B87725"/>
    <w:rsid w:val="00B92384"/>
    <w:rsid w:val="00B923CD"/>
    <w:rsid w:val="00B94885"/>
    <w:rsid w:val="00B95011"/>
    <w:rsid w:val="00B95EF7"/>
    <w:rsid w:val="00B975A5"/>
    <w:rsid w:val="00BA13D6"/>
    <w:rsid w:val="00BA259A"/>
    <w:rsid w:val="00BA259C"/>
    <w:rsid w:val="00BA29D3"/>
    <w:rsid w:val="00BA307F"/>
    <w:rsid w:val="00BA30B5"/>
    <w:rsid w:val="00BA3157"/>
    <w:rsid w:val="00BA3D06"/>
    <w:rsid w:val="00BA4BE2"/>
    <w:rsid w:val="00BA5280"/>
    <w:rsid w:val="00BA5BE8"/>
    <w:rsid w:val="00BB14F1"/>
    <w:rsid w:val="00BB276C"/>
    <w:rsid w:val="00BB2889"/>
    <w:rsid w:val="00BB3B0E"/>
    <w:rsid w:val="00BB478D"/>
    <w:rsid w:val="00BB572E"/>
    <w:rsid w:val="00BB61B0"/>
    <w:rsid w:val="00BB663E"/>
    <w:rsid w:val="00BB74FD"/>
    <w:rsid w:val="00BC0298"/>
    <w:rsid w:val="00BC02ED"/>
    <w:rsid w:val="00BC1951"/>
    <w:rsid w:val="00BC32AA"/>
    <w:rsid w:val="00BC437E"/>
    <w:rsid w:val="00BC5339"/>
    <w:rsid w:val="00BC5982"/>
    <w:rsid w:val="00BC60BF"/>
    <w:rsid w:val="00BC76BE"/>
    <w:rsid w:val="00BC7B35"/>
    <w:rsid w:val="00BD28BF"/>
    <w:rsid w:val="00BD4B8D"/>
    <w:rsid w:val="00BD581A"/>
    <w:rsid w:val="00BD5E1E"/>
    <w:rsid w:val="00BD632C"/>
    <w:rsid w:val="00BD6404"/>
    <w:rsid w:val="00BD718D"/>
    <w:rsid w:val="00BE3132"/>
    <w:rsid w:val="00BE33AE"/>
    <w:rsid w:val="00BE6665"/>
    <w:rsid w:val="00BF046F"/>
    <w:rsid w:val="00BF150C"/>
    <w:rsid w:val="00BF1BB2"/>
    <w:rsid w:val="00BF383B"/>
    <w:rsid w:val="00BF4032"/>
    <w:rsid w:val="00BF44EC"/>
    <w:rsid w:val="00BF48C4"/>
    <w:rsid w:val="00C00048"/>
    <w:rsid w:val="00C01859"/>
    <w:rsid w:val="00C01D50"/>
    <w:rsid w:val="00C03B74"/>
    <w:rsid w:val="00C03D6A"/>
    <w:rsid w:val="00C03D7E"/>
    <w:rsid w:val="00C04A89"/>
    <w:rsid w:val="00C056DC"/>
    <w:rsid w:val="00C05F84"/>
    <w:rsid w:val="00C062C7"/>
    <w:rsid w:val="00C0666A"/>
    <w:rsid w:val="00C10F59"/>
    <w:rsid w:val="00C1329B"/>
    <w:rsid w:val="00C1572F"/>
    <w:rsid w:val="00C17CE7"/>
    <w:rsid w:val="00C2150F"/>
    <w:rsid w:val="00C21DC1"/>
    <w:rsid w:val="00C231DF"/>
    <w:rsid w:val="00C24772"/>
    <w:rsid w:val="00C249DF"/>
    <w:rsid w:val="00C24C05"/>
    <w:rsid w:val="00C24D2F"/>
    <w:rsid w:val="00C24DB9"/>
    <w:rsid w:val="00C25D4A"/>
    <w:rsid w:val="00C26222"/>
    <w:rsid w:val="00C2637B"/>
    <w:rsid w:val="00C26D5F"/>
    <w:rsid w:val="00C27EA3"/>
    <w:rsid w:val="00C31283"/>
    <w:rsid w:val="00C32B35"/>
    <w:rsid w:val="00C33807"/>
    <w:rsid w:val="00C33C48"/>
    <w:rsid w:val="00C33EB6"/>
    <w:rsid w:val="00C340E5"/>
    <w:rsid w:val="00C354B1"/>
    <w:rsid w:val="00C35AA7"/>
    <w:rsid w:val="00C37A56"/>
    <w:rsid w:val="00C4062E"/>
    <w:rsid w:val="00C4158B"/>
    <w:rsid w:val="00C43BA1"/>
    <w:rsid w:val="00C43DAB"/>
    <w:rsid w:val="00C453B9"/>
    <w:rsid w:val="00C46F16"/>
    <w:rsid w:val="00C47165"/>
    <w:rsid w:val="00C47E4D"/>
    <w:rsid w:val="00C47E94"/>
    <w:rsid w:val="00C47F08"/>
    <w:rsid w:val="00C5045A"/>
    <w:rsid w:val="00C512AE"/>
    <w:rsid w:val="00C514A6"/>
    <w:rsid w:val="00C51D19"/>
    <w:rsid w:val="00C53962"/>
    <w:rsid w:val="00C55AD9"/>
    <w:rsid w:val="00C57354"/>
    <w:rsid w:val="00C5739F"/>
    <w:rsid w:val="00C57CF0"/>
    <w:rsid w:val="00C62E7A"/>
    <w:rsid w:val="00C62EBD"/>
    <w:rsid w:val="00C63557"/>
    <w:rsid w:val="00C642AC"/>
    <w:rsid w:val="00C649BD"/>
    <w:rsid w:val="00C6544C"/>
    <w:rsid w:val="00C65891"/>
    <w:rsid w:val="00C65929"/>
    <w:rsid w:val="00C661FC"/>
    <w:rsid w:val="00C66AC9"/>
    <w:rsid w:val="00C6789B"/>
    <w:rsid w:val="00C67E4C"/>
    <w:rsid w:val="00C71853"/>
    <w:rsid w:val="00C71B54"/>
    <w:rsid w:val="00C71FC3"/>
    <w:rsid w:val="00C724D3"/>
    <w:rsid w:val="00C72C8F"/>
    <w:rsid w:val="00C72D46"/>
    <w:rsid w:val="00C743DC"/>
    <w:rsid w:val="00C748B1"/>
    <w:rsid w:val="00C74F79"/>
    <w:rsid w:val="00C753A8"/>
    <w:rsid w:val="00C766BA"/>
    <w:rsid w:val="00C76FFF"/>
    <w:rsid w:val="00C77DD9"/>
    <w:rsid w:val="00C802D6"/>
    <w:rsid w:val="00C81A12"/>
    <w:rsid w:val="00C81D51"/>
    <w:rsid w:val="00C82C8D"/>
    <w:rsid w:val="00C83414"/>
    <w:rsid w:val="00C83BE6"/>
    <w:rsid w:val="00C84032"/>
    <w:rsid w:val="00C85354"/>
    <w:rsid w:val="00C86ABA"/>
    <w:rsid w:val="00C86D7A"/>
    <w:rsid w:val="00C92485"/>
    <w:rsid w:val="00C943F3"/>
    <w:rsid w:val="00C96ABF"/>
    <w:rsid w:val="00CA08C6"/>
    <w:rsid w:val="00CA0A77"/>
    <w:rsid w:val="00CA2729"/>
    <w:rsid w:val="00CA3057"/>
    <w:rsid w:val="00CA37FC"/>
    <w:rsid w:val="00CA45F8"/>
    <w:rsid w:val="00CA4D16"/>
    <w:rsid w:val="00CA503B"/>
    <w:rsid w:val="00CB0305"/>
    <w:rsid w:val="00CB0669"/>
    <w:rsid w:val="00CB33C7"/>
    <w:rsid w:val="00CB49C3"/>
    <w:rsid w:val="00CB61AA"/>
    <w:rsid w:val="00CB68B9"/>
    <w:rsid w:val="00CB6B73"/>
    <w:rsid w:val="00CB6DA7"/>
    <w:rsid w:val="00CB71A5"/>
    <w:rsid w:val="00CB7E4C"/>
    <w:rsid w:val="00CB7E51"/>
    <w:rsid w:val="00CC25B4"/>
    <w:rsid w:val="00CC2A59"/>
    <w:rsid w:val="00CC3CC1"/>
    <w:rsid w:val="00CC4E65"/>
    <w:rsid w:val="00CC5228"/>
    <w:rsid w:val="00CC55E5"/>
    <w:rsid w:val="00CC5F88"/>
    <w:rsid w:val="00CC610D"/>
    <w:rsid w:val="00CC69C8"/>
    <w:rsid w:val="00CC77A2"/>
    <w:rsid w:val="00CC7DB3"/>
    <w:rsid w:val="00CD02C0"/>
    <w:rsid w:val="00CD0E5E"/>
    <w:rsid w:val="00CD21C7"/>
    <w:rsid w:val="00CD22C7"/>
    <w:rsid w:val="00CD2443"/>
    <w:rsid w:val="00CD307E"/>
    <w:rsid w:val="00CD4FA9"/>
    <w:rsid w:val="00CD5310"/>
    <w:rsid w:val="00CD629F"/>
    <w:rsid w:val="00CD6A1B"/>
    <w:rsid w:val="00CE0599"/>
    <w:rsid w:val="00CE0A7F"/>
    <w:rsid w:val="00CE1147"/>
    <w:rsid w:val="00CE1718"/>
    <w:rsid w:val="00CE2954"/>
    <w:rsid w:val="00CE2FD8"/>
    <w:rsid w:val="00CE3C49"/>
    <w:rsid w:val="00CE58FE"/>
    <w:rsid w:val="00CE65F1"/>
    <w:rsid w:val="00CE6AA5"/>
    <w:rsid w:val="00CF0AEB"/>
    <w:rsid w:val="00CF3B4F"/>
    <w:rsid w:val="00CF4156"/>
    <w:rsid w:val="00CF4367"/>
    <w:rsid w:val="00CF4E8A"/>
    <w:rsid w:val="00D0036C"/>
    <w:rsid w:val="00D01542"/>
    <w:rsid w:val="00D03D00"/>
    <w:rsid w:val="00D05C30"/>
    <w:rsid w:val="00D069F0"/>
    <w:rsid w:val="00D06B75"/>
    <w:rsid w:val="00D07671"/>
    <w:rsid w:val="00D10052"/>
    <w:rsid w:val="00D11359"/>
    <w:rsid w:val="00D123D3"/>
    <w:rsid w:val="00D148C5"/>
    <w:rsid w:val="00D15571"/>
    <w:rsid w:val="00D16F86"/>
    <w:rsid w:val="00D30360"/>
    <w:rsid w:val="00D30DC2"/>
    <w:rsid w:val="00D3188C"/>
    <w:rsid w:val="00D32C14"/>
    <w:rsid w:val="00D33255"/>
    <w:rsid w:val="00D337AA"/>
    <w:rsid w:val="00D33DE3"/>
    <w:rsid w:val="00D3440F"/>
    <w:rsid w:val="00D35F9B"/>
    <w:rsid w:val="00D36B69"/>
    <w:rsid w:val="00D408DD"/>
    <w:rsid w:val="00D41911"/>
    <w:rsid w:val="00D4477D"/>
    <w:rsid w:val="00D44F66"/>
    <w:rsid w:val="00D451CA"/>
    <w:rsid w:val="00D45A8F"/>
    <w:rsid w:val="00D45D72"/>
    <w:rsid w:val="00D479AC"/>
    <w:rsid w:val="00D47C81"/>
    <w:rsid w:val="00D51232"/>
    <w:rsid w:val="00D520E4"/>
    <w:rsid w:val="00D5348C"/>
    <w:rsid w:val="00D53A38"/>
    <w:rsid w:val="00D548BA"/>
    <w:rsid w:val="00D558CB"/>
    <w:rsid w:val="00D57498"/>
    <w:rsid w:val="00D575DD"/>
    <w:rsid w:val="00D57DFA"/>
    <w:rsid w:val="00D611E7"/>
    <w:rsid w:val="00D632FB"/>
    <w:rsid w:val="00D67FCF"/>
    <w:rsid w:val="00D709CE"/>
    <w:rsid w:val="00D71D1F"/>
    <w:rsid w:val="00D71EF6"/>
    <w:rsid w:val="00D71F73"/>
    <w:rsid w:val="00D73CFB"/>
    <w:rsid w:val="00D74997"/>
    <w:rsid w:val="00D75E7D"/>
    <w:rsid w:val="00D80786"/>
    <w:rsid w:val="00D81CAB"/>
    <w:rsid w:val="00D83D1E"/>
    <w:rsid w:val="00D8497D"/>
    <w:rsid w:val="00D84C3B"/>
    <w:rsid w:val="00D8576F"/>
    <w:rsid w:val="00D85D04"/>
    <w:rsid w:val="00D8677F"/>
    <w:rsid w:val="00D90C9B"/>
    <w:rsid w:val="00D93704"/>
    <w:rsid w:val="00D93C94"/>
    <w:rsid w:val="00D97F0C"/>
    <w:rsid w:val="00DA295D"/>
    <w:rsid w:val="00DA3A86"/>
    <w:rsid w:val="00DA3E93"/>
    <w:rsid w:val="00DA454F"/>
    <w:rsid w:val="00DA6CAE"/>
    <w:rsid w:val="00DB1AC2"/>
    <w:rsid w:val="00DB2B4A"/>
    <w:rsid w:val="00DB3E73"/>
    <w:rsid w:val="00DB50ED"/>
    <w:rsid w:val="00DB7B51"/>
    <w:rsid w:val="00DC2500"/>
    <w:rsid w:val="00DC4F72"/>
    <w:rsid w:val="00DC5130"/>
    <w:rsid w:val="00DC53A5"/>
    <w:rsid w:val="00DC60C4"/>
    <w:rsid w:val="00DC77DC"/>
    <w:rsid w:val="00DD02AF"/>
    <w:rsid w:val="00DD0453"/>
    <w:rsid w:val="00DD0732"/>
    <w:rsid w:val="00DD08ED"/>
    <w:rsid w:val="00DD0C2C"/>
    <w:rsid w:val="00DD19DE"/>
    <w:rsid w:val="00DD28BC"/>
    <w:rsid w:val="00DD4B28"/>
    <w:rsid w:val="00DD4BAD"/>
    <w:rsid w:val="00DD4E12"/>
    <w:rsid w:val="00DD5DDD"/>
    <w:rsid w:val="00DD7D5B"/>
    <w:rsid w:val="00DE06D6"/>
    <w:rsid w:val="00DE269B"/>
    <w:rsid w:val="00DE31F0"/>
    <w:rsid w:val="00DE3D1C"/>
    <w:rsid w:val="00DE4CD5"/>
    <w:rsid w:val="00DE5AB9"/>
    <w:rsid w:val="00DE70B0"/>
    <w:rsid w:val="00DF4913"/>
    <w:rsid w:val="00DF52F6"/>
    <w:rsid w:val="00DF5759"/>
    <w:rsid w:val="00E0227D"/>
    <w:rsid w:val="00E04B84"/>
    <w:rsid w:val="00E04BF5"/>
    <w:rsid w:val="00E04E24"/>
    <w:rsid w:val="00E06466"/>
    <w:rsid w:val="00E06835"/>
    <w:rsid w:val="00E06FDA"/>
    <w:rsid w:val="00E07A58"/>
    <w:rsid w:val="00E1051D"/>
    <w:rsid w:val="00E107CA"/>
    <w:rsid w:val="00E11E05"/>
    <w:rsid w:val="00E12176"/>
    <w:rsid w:val="00E12BEB"/>
    <w:rsid w:val="00E13FF5"/>
    <w:rsid w:val="00E160A5"/>
    <w:rsid w:val="00E16442"/>
    <w:rsid w:val="00E16478"/>
    <w:rsid w:val="00E1713D"/>
    <w:rsid w:val="00E178BE"/>
    <w:rsid w:val="00E20A43"/>
    <w:rsid w:val="00E20A4E"/>
    <w:rsid w:val="00E220BA"/>
    <w:rsid w:val="00E23898"/>
    <w:rsid w:val="00E23CB3"/>
    <w:rsid w:val="00E24ADA"/>
    <w:rsid w:val="00E25C7D"/>
    <w:rsid w:val="00E2767F"/>
    <w:rsid w:val="00E30086"/>
    <w:rsid w:val="00E30135"/>
    <w:rsid w:val="00E30AEF"/>
    <w:rsid w:val="00E3168E"/>
    <w:rsid w:val="00E319F1"/>
    <w:rsid w:val="00E3315F"/>
    <w:rsid w:val="00E33CD2"/>
    <w:rsid w:val="00E3424C"/>
    <w:rsid w:val="00E3516B"/>
    <w:rsid w:val="00E35891"/>
    <w:rsid w:val="00E36065"/>
    <w:rsid w:val="00E36C3A"/>
    <w:rsid w:val="00E40E8F"/>
    <w:rsid w:val="00E40E90"/>
    <w:rsid w:val="00E42FB9"/>
    <w:rsid w:val="00E4409F"/>
    <w:rsid w:val="00E45C7E"/>
    <w:rsid w:val="00E476A6"/>
    <w:rsid w:val="00E47A8E"/>
    <w:rsid w:val="00E5117D"/>
    <w:rsid w:val="00E531EB"/>
    <w:rsid w:val="00E54874"/>
    <w:rsid w:val="00E54B6F"/>
    <w:rsid w:val="00E55ACA"/>
    <w:rsid w:val="00E57B74"/>
    <w:rsid w:val="00E65BC6"/>
    <w:rsid w:val="00E661FF"/>
    <w:rsid w:val="00E6639E"/>
    <w:rsid w:val="00E7059A"/>
    <w:rsid w:val="00E70CBF"/>
    <w:rsid w:val="00E71266"/>
    <w:rsid w:val="00E726EB"/>
    <w:rsid w:val="00E72CF1"/>
    <w:rsid w:val="00E7544A"/>
    <w:rsid w:val="00E756CC"/>
    <w:rsid w:val="00E7669A"/>
    <w:rsid w:val="00E803BA"/>
    <w:rsid w:val="00E80995"/>
    <w:rsid w:val="00E80B52"/>
    <w:rsid w:val="00E824C3"/>
    <w:rsid w:val="00E840B3"/>
    <w:rsid w:val="00E844B5"/>
    <w:rsid w:val="00E8493E"/>
    <w:rsid w:val="00E84D10"/>
    <w:rsid w:val="00E850BD"/>
    <w:rsid w:val="00E85E2A"/>
    <w:rsid w:val="00E86286"/>
    <w:rsid w:val="00E8629F"/>
    <w:rsid w:val="00E903E8"/>
    <w:rsid w:val="00E91008"/>
    <w:rsid w:val="00E9374E"/>
    <w:rsid w:val="00E94871"/>
    <w:rsid w:val="00E9496E"/>
    <w:rsid w:val="00E94F54"/>
    <w:rsid w:val="00E951DA"/>
    <w:rsid w:val="00E96585"/>
    <w:rsid w:val="00E97AD5"/>
    <w:rsid w:val="00EA045D"/>
    <w:rsid w:val="00EA06A4"/>
    <w:rsid w:val="00EA1111"/>
    <w:rsid w:val="00EA1333"/>
    <w:rsid w:val="00EA1640"/>
    <w:rsid w:val="00EA23E7"/>
    <w:rsid w:val="00EA3445"/>
    <w:rsid w:val="00EA3B4F"/>
    <w:rsid w:val="00EA3C24"/>
    <w:rsid w:val="00EA401B"/>
    <w:rsid w:val="00EA4CAC"/>
    <w:rsid w:val="00EA5883"/>
    <w:rsid w:val="00EA73DF"/>
    <w:rsid w:val="00EB61AE"/>
    <w:rsid w:val="00EB65D9"/>
    <w:rsid w:val="00EC29DF"/>
    <w:rsid w:val="00EC322D"/>
    <w:rsid w:val="00EC67DF"/>
    <w:rsid w:val="00EC6DA1"/>
    <w:rsid w:val="00ED0368"/>
    <w:rsid w:val="00ED0E36"/>
    <w:rsid w:val="00ED37B0"/>
    <w:rsid w:val="00ED383A"/>
    <w:rsid w:val="00ED4FED"/>
    <w:rsid w:val="00ED5F39"/>
    <w:rsid w:val="00EE062B"/>
    <w:rsid w:val="00EE0748"/>
    <w:rsid w:val="00EE1080"/>
    <w:rsid w:val="00EE3904"/>
    <w:rsid w:val="00EE420A"/>
    <w:rsid w:val="00EF13C0"/>
    <w:rsid w:val="00EF179F"/>
    <w:rsid w:val="00EF1C52"/>
    <w:rsid w:val="00EF1E30"/>
    <w:rsid w:val="00EF1EC5"/>
    <w:rsid w:val="00EF29FE"/>
    <w:rsid w:val="00EF340E"/>
    <w:rsid w:val="00EF3E2C"/>
    <w:rsid w:val="00EF4615"/>
    <w:rsid w:val="00EF4C88"/>
    <w:rsid w:val="00EF55EB"/>
    <w:rsid w:val="00EF5E51"/>
    <w:rsid w:val="00F00644"/>
    <w:rsid w:val="00F00DCC"/>
    <w:rsid w:val="00F011AF"/>
    <w:rsid w:val="00F014B0"/>
    <w:rsid w:val="00F0156F"/>
    <w:rsid w:val="00F03B90"/>
    <w:rsid w:val="00F05120"/>
    <w:rsid w:val="00F05AC8"/>
    <w:rsid w:val="00F05D92"/>
    <w:rsid w:val="00F06D60"/>
    <w:rsid w:val="00F07167"/>
    <w:rsid w:val="00F072D8"/>
    <w:rsid w:val="00F07CE0"/>
    <w:rsid w:val="00F115F5"/>
    <w:rsid w:val="00F11F0C"/>
    <w:rsid w:val="00F126C9"/>
    <w:rsid w:val="00F13D05"/>
    <w:rsid w:val="00F13E07"/>
    <w:rsid w:val="00F1679D"/>
    <w:rsid w:val="00F1682C"/>
    <w:rsid w:val="00F20B91"/>
    <w:rsid w:val="00F20CA7"/>
    <w:rsid w:val="00F21139"/>
    <w:rsid w:val="00F2124F"/>
    <w:rsid w:val="00F21430"/>
    <w:rsid w:val="00F22D71"/>
    <w:rsid w:val="00F23764"/>
    <w:rsid w:val="00F24914"/>
    <w:rsid w:val="00F24B8B"/>
    <w:rsid w:val="00F24E49"/>
    <w:rsid w:val="00F258C7"/>
    <w:rsid w:val="00F303FF"/>
    <w:rsid w:val="00F30D2E"/>
    <w:rsid w:val="00F30E68"/>
    <w:rsid w:val="00F31743"/>
    <w:rsid w:val="00F31C44"/>
    <w:rsid w:val="00F33E02"/>
    <w:rsid w:val="00F35516"/>
    <w:rsid w:val="00F35790"/>
    <w:rsid w:val="00F3604E"/>
    <w:rsid w:val="00F36420"/>
    <w:rsid w:val="00F37845"/>
    <w:rsid w:val="00F379A6"/>
    <w:rsid w:val="00F40214"/>
    <w:rsid w:val="00F41141"/>
    <w:rsid w:val="00F4136D"/>
    <w:rsid w:val="00F4212E"/>
    <w:rsid w:val="00F42C20"/>
    <w:rsid w:val="00F43AC8"/>
    <w:rsid w:val="00F43E34"/>
    <w:rsid w:val="00F50CFB"/>
    <w:rsid w:val="00F5165E"/>
    <w:rsid w:val="00F53053"/>
    <w:rsid w:val="00F53168"/>
    <w:rsid w:val="00F53FE2"/>
    <w:rsid w:val="00F575FF"/>
    <w:rsid w:val="00F60913"/>
    <w:rsid w:val="00F60A11"/>
    <w:rsid w:val="00F60F21"/>
    <w:rsid w:val="00F618EF"/>
    <w:rsid w:val="00F63144"/>
    <w:rsid w:val="00F65582"/>
    <w:rsid w:val="00F65CD0"/>
    <w:rsid w:val="00F66854"/>
    <w:rsid w:val="00F66E75"/>
    <w:rsid w:val="00F71B48"/>
    <w:rsid w:val="00F73096"/>
    <w:rsid w:val="00F739F7"/>
    <w:rsid w:val="00F74406"/>
    <w:rsid w:val="00F7500A"/>
    <w:rsid w:val="00F77855"/>
    <w:rsid w:val="00F77912"/>
    <w:rsid w:val="00F77EB0"/>
    <w:rsid w:val="00F83E24"/>
    <w:rsid w:val="00F849F7"/>
    <w:rsid w:val="00F854F6"/>
    <w:rsid w:val="00F8744C"/>
    <w:rsid w:val="00F87964"/>
    <w:rsid w:val="00F87CDD"/>
    <w:rsid w:val="00F87CF6"/>
    <w:rsid w:val="00F9003A"/>
    <w:rsid w:val="00F92D8C"/>
    <w:rsid w:val="00F933F0"/>
    <w:rsid w:val="00F937A3"/>
    <w:rsid w:val="00F94715"/>
    <w:rsid w:val="00F95244"/>
    <w:rsid w:val="00F95778"/>
    <w:rsid w:val="00F95CA6"/>
    <w:rsid w:val="00F96225"/>
    <w:rsid w:val="00F96A3D"/>
    <w:rsid w:val="00F96D63"/>
    <w:rsid w:val="00F97928"/>
    <w:rsid w:val="00F97B2C"/>
    <w:rsid w:val="00F97CA8"/>
    <w:rsid w:val="00FA18DD"/>
    <w:rsid w:val="00FA1DBA"/>
    <w:rsid w:val="00FA39EC"/>
    <w:rsid w:val="00FA4718"/>
    <w:rsid w:val="00FA5848"/>
    <w:rsid w:val="00FA6899"/>
    <w:rsid w:val="00FA7F3D"/>
    <w:rsid w:val="00FB1B42"/>
    <w:rsid w:val="00FB1CC6"/>
    <w:rsid w:val="00FB2B3E"/>
    <w:rsid w:val="00FB3017"/>
    <w:rsid w:val="00FB34F9"/>
    <w:rsid w:val="00FB38D8"/>
    <w:rsid w:val="00FB3C46"/>
    <w:rsid w:val="00FB4458"/>
    <w:rsid w:val="00FB5886"/>
    <w:rsid w:val="00FB58C9"/>
    <w:rsid w:val="00FB60EB"/>
    <w:rsid w:val="00FB6592"/>
    <w:rsid w:val="00FC051F"/>
    <w:rsid w:val="00FC06FF"/>
    <w:rsid w:val="00FC1EEF"/>
    <w:rsid w:val="00FC336F"/>
    <w:rsid w:val="00FC39BE"/>
    <w:rsid w:val="00FC3EC3"/>
    <w:rsid w:val="00FC5C73"/>
    <w:rsid w:val="00FC69B4"/>
    <w:rsid w:val="00FC7A27"/>
    <w:rsid w:val="00FD00B0"/>
    <w:rsid w:val="00FD0694"/>
    <w:rsid w:val="00FD25BE"/>
    <w:rsid w:val="00FD2B27"/>
    <w:rsid w:val="00FD2E70"/>
    <w:rsid w:val="00FD3CD4"/>
    <w:rsid w:val="00FD4E1A"/>
    <w:rsid w:val="00FD7AA7"/>
    <w:rsid w:val="00FD7F45"/>
    <w:rsid w:val="00FE00CC"/>
    <w:rsid w:val="00FE0C52"/>
    <w:rsid w:val="00FE0E7F"/>
    <w:rsid w:val="00FE2770"/>
    <w:rsid w:val="00FE7135"/>
    <w:rsid w:val="00FF1FCB"/>
    <w:rsid w:val="00FF52D4"/>
    <w:rsid w:val="00FF6AA4"/>
    <w:rsid w:val="00FF6B09"/>
    <w:rsid w:val="00FF75A8"/>
    <w:rsid w:val="287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F9CB9"/>
  <w15:docId w15:val="{F52D92F3-7123-4A62-B42D-58B7C87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qFormat="1"/>
    <w:lsdException w:name="toc 7" w:qFormat="1"/>
    <w:lsdException w:name="Normal Indent" w:semiHidden="1" w:unhideWhenUsed="1"/>
    <w:lsdException w:name="footnote text" w:semiHidden="1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0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0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</w:style>
  <w:style w:type="paragraph" w:styleId="ab">
    <w:name w:val="Body Text"/>
    <w:basedOn w:val="a"/>
    <w:link w:val="ac"/>
  </w:style>
  <w:style w:type="paragraph" w:styleId="3">
    <w:name w:val="List Number 3"/>
    <w:basedOn w:val="a"/>
    <w:unhideWhenUsed/>
    <w:pPr>
      <w:numPr>
        <w:numId w:val="2"/>
      </w:numPr>
      <w:tabs>
        <w:tab w:val="left" w:pos="926"/>
      </w:tabs>
      <w:overflowPunct w:val="0"/>
      <w:autoSpaceDE w:val="0"/>
      <w:autoSpaceDN w:val="0"/>
      <w:adjustRightInd w:val="0"/>
      <w:spacing w:before="100" w:beforeAutospacing="1"/>
      <w:ind w:left="926"/>
    </w:pPr>
    <w:rPr>
      <w:rFonts w:eastAsia="Times New Roman"/>
      <w:sz w:val="24"/>
      <w:szCs w:val="24"/>
      <w:lang w:val="en-US" w:eastAsia="en-GB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pPr>
      <w:widowControl w:val="0"/>
    </w:pPr>
    <w:rPr>
      <w:rFonts w:ascii="Arial" w:hAnsi="Arial"/>
      <w:b/>
      <w:sz w:val="18"/>
      <w:lang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pPr>
      <w:ind w:left="1418" w:hanging="1418"/>
    </w:pPr>
  </w:style>
  <w:style w:type="paragraph" w:styleId="26">
    <w:name w:val="Body Text 2"/>
    <w:basedOn w:val="a"/>
    <w:link w:val="27"/>
    <w:pPr>
      <w:widowControl w:val="0"/>
      <w:spacing w:after="0"/>
      <w:jc w:val="both"/>
    </w:pPr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8">
    <w:name w:val="index 2"/>
    <w:basedOn w:val="12"/>
    <w:next w:val="a"/>
    <w:semiHidden/>
    <w:pPr>
      <w:ind w:left="284"/>
    </w:pPr>
  </w:style>
  <w:style w:type="paragraph" w:styleId="afb">
    <w:name w:val="Title"/>
    <w:basedOn w:val="a"/>
    <w:next w:val="a"/>
    <w:link w:val="afc"/>
    <w:uiPriority w:val="10"/>
    <w:qFormat/>
    <w:pPr>
      <w:widowControl w:val="0"/>
      <w:spacing w:after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d">
    <w:name w:val="annotation subject"/>
    <w:basedOn w:val="a9"/>
    <w:next w:val="a9"/>
    <w:link w:val="afe"/>
    <w:rPr>
      <w:b/>
      <w:bCs/>
    </w:rPr>
  </w:style>
  <w:style w:type="table" w:styleId="aff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semiHidden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11">
    <w:name w:val="标题 1 字符"/>
    <w:link w:val="10"/>
    <w:uiPriority w:val="9"/>
    <w:qFormat/>
    <w:rPr>
      <w:rFonts w:ascii="Arial" w:hAnsi="Arial"/>
      <w:sz w:val="36"/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31">
    <w:name w:val="标题 3 字符"/>
    <w:link w:val="30"/>
    <w:rPr>
      <w:rFonts w:ascii="Arial" w:hAnsi="Arial"/>
      <w:sz w:val="28"/>
      <w:szCs w:val="18"/>
      <w:lang w:eastAsia="zh-CN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80">
    <w:name w:val="标题 8 字符"/>
    <w:link w:val="8"/>
    <w:rPr>
      <w:rFonts w:ascii="Arial" w:hAnsi="Arial"/>
      <w:sz w:val="36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ZGSM">
    <w:name w:val="ZGSM"/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0"/>
    <w:next w:val="a"/>
    <w:pPr>
      <w:outlineLvl w:val="9"/>
    </w:p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character" w:customStyle="1" w:styleId="B1Char">
    <w:name w:val="B1 Char"/>
    <w:link w:val="B1"/>
    <w:qFormat/>
    <w:rPr>
      <w:lang w:val="en-GB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color w:val="FF0000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lang w:val="en-GB" w:eastAsia="en-US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customStyle="1" w:styleId="TAJ">
    <w:name w:val="TAJ"/>
    <w:basedOn w:val="TH"/>
  </w:style>
  <w:style w:type="character" w:customStyle="1" w:styleId="ac">
    <w:name w:val="正文文本 字符"/>
    <w:link w:val="ab"/>
    <w:rPr>
      <w:lang w:val="en-GB"/>
    </w:rPr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afe">
    <w:name w:val="批注主题 字符"/>
    <w:link w:val="afd"/>
    <w:uiPriority w:val="99"/>
    <w:rPr>
      <w:b/>
      <w:bCs/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3">
    <w:name w:val="修订1"/>
    <w:hidden/>
    <w:uiPriority w:val="99"/>
    <w:semiHidden/>
    <w:rPr>
      <w:lang w:eastAsia="en-US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paragraph" w:styleId="aff6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7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7"/>
    <w:rPr>
      <w:rFonts w:ascii="Arial" w:eastAsia="Arial" w:hAnsi="Arial"/>
      <w:b/>
      <w:bCs/>
      <w:sz w:val="22"/>
      <w:lang w:val="en-GB" w:eastAsia="en-US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styleId="aff8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列表段落11,清單段落1,列,列出段落"/>
    <w:basedOn w:val="a"/>
    <w:link w:val="aff9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f9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,列 字符"/>
    <w:link w:val="aff8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en-GB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RAN4Observation">
    <w:name w:val="RAN4 Observation"/>
    <w:basedOn w:val="aff8"/>
    <w:next w:val="a"/>
    <w:link w:val="RAN4ObservationChar"/>
    <w:pPr>
      <w:numPr>
        <w:numId w:val="4"/>
      </w:numPr>
      <w:overflowPunct/>
      <w:autoSpaceDE/>
      <w:autoSpaceDN/>
      <w:adjustRightInd/>
      <w:spacing w:after="160"/>
      <w:ind w:left="2062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Pr>
      <w:rFonts w:eastAsia="Calibri"/>
      <w:lang w:val="en-GB" w:eastAsia="en-US"/>
    </w:rPr>
  </w:style>
  <w:style w:type="paragraph" w:customStyle="1" w:styleId="RAN4Proposal0">
    <w:name w:val="RAN4 Proposal"/>
    <w:basedOn w:val="aff8"/>
    <w:next w:val="a"/>
    <w:link w:val="RAN4ProposalChar"/>
    <w:pPr>
      <w:numPr>
        <w:numId w:val="5"/>
      </w:numPr>
      <w:overflowPunct/>
      <w:autoSpaceDE/>
      <w:autoSpaceDN/>
      <w:adjustRightInd/>
      <w:spacing w:after="160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">
    <w:name w:val="RAN4 Proposal Char"/>
    <w:basedOn w:val="a0"/>
    <w:link w:val="RAN4Proposal0"/>
    <w:rPr>
      <w:rFonts w:eastAsia="Calibri"/>
      <w:b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0"/>
    <w:qFormat/>
    <w:pPr>
      <w:numPr>
        <w:numId w:val="6"/>
      </w:numPr>
      <w:spacing w:before="0" w:after="200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0">
    <w:name w:val="RAN4 proposal Char"/>
    <w:basedOn w:val="a7"/>
    <w:link w:val="RAN4proposal"/>
    <w:qFormat/>
    <w:rPr>
      <w:rFonts w:eastAsiaTheme="minorHAnsi" w:cstheme="minorBidi"/>
      <w:b/>
      <w:iCs/>
      <w:sz w:val="22"/>
      <w:szCs w:val="18"/>
      <w:lang w:val="en-US" w:eastAsia="en-US"/>
    </w:rPr>
  </w:style>
  <w:style w:type="paragraph" w:customStyle="1" w:styleId="RAN4H2">
    <w:name w:val="RAN4 H2"/>
    <w:basedOn w:val="2"/>
    <w:next w:val="a"/>
    <w:qFormat/>
    <w:pPr>
      <w:numPr>
        <w:numId w:val="7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link w:val="RAN4H3Char"/>
    <w:qFormat/>
    <w:pPr>
      <w:numPr>
        <w:ilvl w:val="2"/>
        <w:numId w:val="7"/>
      </w:numPr>
      <w:spacing w:after="160"/>
      <w:ind w:left="505" w:hanging="505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27">
    <w:name w:val="正文文本 2 字符"/>
    <w:basedOn w:val="a0"/>
    <w:link w:val="26"/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customStyle="1" w:styleId="00BodyText">
    <w:name w:val="00 BodyText"/>
    <w:basedOn w:val="a"/>
    <w:pPr>
      <w:widowControl w:val="0"/>
      <w:spacing w:after="220"/>
      <w:jc w:val="both"/>
    </w:pPr>
    <w:rPr>
      <w:rFonts w:ascii="Arial" w:hAnsi="Arial" w:cstheme="minorBidi"/>
      <w:kern w:val="2"/>
      <w:sz w:val="21"/>
      <w:szCs w:val="22"/>
      <w:lang w:val="en-US" w:eastAsia="zh-CN"/>
    </w:rPr>
  </w:style>
  <w:style w:type="paragraph" w:customStyle="1" w:styleId="11BodyText">
    <w:name w:val="11 BodyText"/>
    <w:basedOn w:val="a"/>
    <w:link w:val="11BodyTextChar"/>
    <w:pPr>
      <w:widowControl w:val="0"/>
      <w:spacing w:after="220"/>
      <w:ind w:left="1298"/>
      <w:jc w:val="both"/>
    </w:pPr>
    <w:rPr>
      <w:rFonts w:ascii="Arial" w:hAnsi="Arial" w:cstheme="minorBidi"/>
      <w:kern w:val="2"/>
      <w:sz w:val="21"/>
      <w:lang w:val="en-US" w:eastAsia="zh-CN"/>
    </w:rPr>
  </w:style>
  <w:style w:type="character" w:customStyle="1" w:styleId="11BodyTextChar">
    <w:name w:val="11 BodyText Char"/>
    <w:link w:val="11BodyText"/>
    <w:rPr>
      <w:rFonts w:ascii="Arial" w:eastAsiaTheme="minorEastAsia" w:hAnsi="Arial" w:cstheme="minorBidi"/>
      <w:kern w:val="2"/>
      <w:sz w:val="21"/>
      <w:lang w:val="en-US" w:eastAsia="zh-CN"/>
    </w:rPr>
  </w:style>
  <w:style w:type="paragraph" w:customStyle="1" w:styleId="B6">
    <w:name w:val="B6"/>
    <w:basedOn w:val="B5"/>
    <w:pPr>
      <w:widowControl w:val="0"/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widowControl w:val="0"/>
      <w:tabs>
        <w:tab w:val="left" w:pos="1622"/>
      </w:tabs>
      <w:spacing w:after="0"/>
      <w:ind w:left="1622" w:hanging="363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apple-style-span">
    <w:name w:val="apple-style-span"/>
    <w:basedOn w:val="a0"/>
  </w:style>
  <w:style w:type="character" w:customStyle="1" w:styleId="B1Char1">
    <w:name w:val="B1 Char1"/>
    <w:rPr>
      <w:lang w:val="en-GB" w:eastAsia="ja-JP" w:bidi="ar-SA"/>
    </w:rPr>
  </w:style>
  <w:style w:type="paragraph" w:customStyle="1" w:styleId="References">
    <w:name w:val="References"/>
    <w:basedOn w:val="a"/>
    <w:next w:val="a"/>
    <w:pPr>
      <w:widowControl w:val="0"/>
      <w:numPr>
        <w:numId w:val="8"/>
      </w:numPr>
      <w:tabs>
        <w:tab w:val="clear" w:pos="360"/>
      </w:tabs>
      <w:autoSpaceDE w:val="0"/>
      <w:autoSpaceDN w:val="0"/>
      <w:snapToGrid w:val="0"/>
      <w:spacing w:after="60"/>
      <w:ind w:left="432" w:hanging="432"/>
      <w:jc w:val="both"/>
    </w:pPr>
    <w:rPr>
      <w:rFonts w:asciiTheme="minorHAnsi" w:hAnsiTheme="minorHAnsi" w:cstheme="minorBidi"/>
      <w:kern w:val="2"/>
      <w:szCs w:val="16"/>
      <w:lang w:val="en-US" w:eastAsia="zh-CN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B10">
    <w:name w:val="B1 (文字)"/>
    <w:uiPriority w:val="99"/>
    <w:locked/>
    <w:rPr>
      <w:lang w:eastAsia="en-US"/>
    </w:rPr>
  </w:style>
  <w:style w:type="paragraph" w:customStyle="1" w:styleId="IvDbodytext">
    <w:name w:val="IvD bodytext"/>
    <w:basedOn w:val="ab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both"/>
    </w:pPr>
    <w:rPr>
      <w:rFonts w:ascii="Arial" w:hAnsi="Arial" w:cstheme="minorBidi"/>
      <w:spacing w:val="2"/>
      <w:kern w:val="2"/>
      <w:lang w:val="en-US" w:eastAsia="zh-CN"/>
    </w:rPr>
  </w:style>
  <w:style w:type="character" w:customStyle="1" w:styleId="IvDbodytextChar">
    <w:name w:val="IvD bodytext Char"/>
    <w:link w:val="IvDbodytext"/>
    <w:rPr>
      <w:rFonts w:ascii="Arial" w:eastAsiaTheme="minorEastAsia" w:hAnsi="Arial" w:cstheme="minorBidi"/>
      <w:spacing w:val="2"/>
      <w:kern w:val="2"/>
      <w:lang w:val="en-US" w:eastAsia="zh-CN"/>
    </w:rPr>
  </w:style>
  <w:style w:type="character" w:customStyle="1" w:styleId="15">
    <w:name w:val="明显参考1"/>
    <w:qFormat/>
    <w:rPr>
      <w:b/>
      <w:smallCaps/>
      <w:color w:val="C0504D"/>
      <w:spacing w:val="5"/>
      <w:u w:val="single"/>
    </w:rPr>
  </w:style>
  <w:style w:type="character" w:customStyle="1" w:styleId="apple-converted-space">
    <w:name w:val="apple-converted-space"/>
  </w:style>
  <w:style w:type="paragraph" w:customStyle="1" w:styleId="Doc-title">
    <w:name w:val="Doc-title"/>
    <w:basedOn w:val="a"/>
    <w:next w:val="Doc-text2"/>
    <w:link w:val="Doc-titleChar"/>
    <w:qFormat/>
    <w:pPr>
      <w:widowControl w:val="0"/>
      <w:spacing w:before="60" w:after="0"/>
      <w:ind w:left="1259" w:hanging="1259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itleChar">
    <w:name w:val="Doc-title Char"/>
    <w:link w:val="Doc-title"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fontstyle01">
    <w:name w:val="fontstyle01"/>
    <w:rPr>
      <w:rFonts w:ascii="NimbusRomNo9L-Regu" w:hAnsi="NimbusRomNo9L-Regu" w:hint="default"/>
      <w:color w:val="231F20"/>
      <w:sz w:val="20"/>
      <w:szCs w:val="20"/>
    </w:rPr>
  </w:style>
  <w:style w:type="character" w:customStyle="1" w:styleId="fontstyle21">
    <w:name w:val="fontstyle21"/>
    <w:rPr>
      <w:rFonts w:ascii="rtxr" w:hAnsi="rtxr" w:hint="default"/>
      <w:color w:val="231F20"/>
      <w:sz w:val="20"/>
      <w:szCs w:val="20"/>
    </w:rPr>
  </w:style>
  <w:style w:type="character" w:customStyle="1" w:styleId="afc">
    <w:name w:val="标题 字符"/>
    <w:basedOn w:val="a0"/>
    <w:link w:val="af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Figure">
    <w:name w:val="Figure"/>
    <w:basedOn w:val="a"/>
    <w:pPr>
      <w:numPr>
        <w:numId w:val="9"/>
      </w:numPr>
      <w:spacing w:before="180" w:beforeAutospacing="1" w:after="240" w:line="280" w:lineRule="atLeast"/>
      <w:jc w:val="center"/>
    </w:pPr>
    <w:rPr>
      <w:rFonts w:ascii="Arial" w:eastAsia="Times New Roman" w:hAnsi="Arial"/>
      <w:b/>
      <w:sz w:val="24"/>
      <w:szCs w:val="24"/>
      <w:lang w:val="en-US" w:eastAsia="ja-JP"/>
    </w:rPr>
  </w:style>
  <w:style w:type="paragraph" w:customStyle="1" w:styleId="1">
    <w:name w:val="样式1"/>
    <w:basedOn w:val="TAN"/>
    <w:qFormat/>
    <w:pPr>
      <w:numPr>
        <w:numId w:val="10"/>
      </w:num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szCs w:val="24"/>
      <w:lang w:val="en-US"/>
    </w:rPr>
  </w:style>
  <w:style w:type="character" w:customStyle="1" w:styleId="RAN4H3Char">
    <w:name w:val="RAN4 H3 Char"/>
    <w:basedOn w:val="a0"/>
    <w:link w:val="RAN4H3"/>
    <w:rPr>
      <w:rFonts w:ascii="Arial" w:eastAsiaTheme="minorHAnsi" w:hAnsi="Arial" w:cs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C508-8924-4B4C-A8D6-523DC2AEC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B81DDA3-F4F8-4322-9995-61E370BEE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E0FCEA5C-78F6-48CD-8AAD-0CFDB122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9E753C-4A93-47FB-AC32-A1E65823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256</TotalTime>
  <Pages>13</Pages>
  <Words>3895</Words>
  <Characters>22205</Characters>
  <Application>Microsoft Office Word</Application>
  <DocSecurity>0</DocSecurity>
  <Lines>185</Lines>
  <Paragraphs>52</Paragraphs>
  <ScaleCrop>false</ScaleCrop>
  <Company>Tom</Company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양윤오/책임연구원/미래기술센터 C&amp;M표준(연)5G무선통신표준Task(yoonoh.yang@lge.com)</dc:creator>
  <cp:keywords/>
  <dc:description/>
  <cp:lastModifiedBy>xusheng wei</cp:lastModifiedBy>
  <cp:revision>123</cp:revision>
  <cp:lastPrinted>2019-04-25T01:09:00Z</cp:lastPrinted>
  <dcterms:created xsi:type="dcterms:W3CDTF">2022-01-24T12:30:00Z</dcterms:created>
  <dcterms:modified xsi:type="dcterms:W3CDTF">2022-03-02T12:42:00Z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(2)yfBF6cAmWJaj0hTjx2mahDJdjXfFNDbffbzMQFuycHik/beoBWJWLfY7pTaByjjMdF+o5beW
ywys07HtlOSzgnFQ1BzUNfyD1FMLCyelYCFP0yai1ojAxUlOcZYhnplt1KHpW5mE/FeI6g1o
8QS+8ponDbTm+1oaWGZyQrv+K6VC52cET7/2anRyTy5kqU3UGxodRDZkxi2+Bp0Fpr23RoRJ
JwLpAjdTuahz/CktL9</vt:lpwstr>
  </property>
  <property fmtid="{D5CDD505-2E9C-101B-9397-08002B2CF9AE}" pid="14" name="_2015_ms_pID_7253431">
    <vt:lpwstr>9b7uJEKjzl9o7PkEXFJJ2sPG+Cn6kArG6i5exYY2QP/ziiHVKL6RQn
T2FJKKgwzssQ/sPTpJUn3j9VW10WbetMPdrGOaG9OyP3ovaTLTWgKZxw8flaUkjwqBsUMjSF
9eF1auflAYJaO4QOzTYGQJS2GHJJ14FUjsl6p83AhaBgCzwqG25kS9qVjwKUahrBN/I=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2052-11.8.2.9022</vt:lpwstr>
  </property>
</Properties>
</file>