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bookmarkStart w:id="2" w:name="OLE_LINK6"/>
      <w:bookmarkStart w:id="3" w:name="OLE_LINK5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宋体" w:cs="Times New Roman"/>
          <w:b/>
          <w:bCs/>
          <w:sz w:val="24"/>
          <w:szCs w:val="24"/>
          <w:lang w:val="en-GB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bookmarkEnd w:id="2"/>
    <w:bookmarkEnd w:id="3"/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10.17.4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</w:t>
      </w:r>
      <w:bookmarkStart w:id="4" w:name="_GoBack"/>
      <w:bookmarkEnd w:id="4"/>
      <w:r>
        <w:rPr>
          <w:rFonts w:hint="eastAsia" w:ascii="Arial" w:hAnsi="Arial" w:cs="Arial"/>
          <w:color w:val="000000"/>
          <w:sz w:val="22"/>
          <w:lang w:val="en-US" w:eastAsia="zh-CN"/>
        </w:rPr>
        <w:t>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102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-e][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226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NR_IAB_enh_RRM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TDocs submitted to the following agenda items will be treated:</w:t>
      </w:r>
    </w:p>
    <w:p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- 10.17.4 RRM core requirements</w:t>
      </w:r>
    </w:p>
    <w:p>
      <w:pPr>
        <w:rPr>
          <w:rFonts w:hint="default"/>
          <w:iCs/>
          <w:lang w:val="en-US" w:eastAsia="zh-CN"/>
        </w:rPr>
      </w:pPr>
      <w:r>
        <w:rPr>
          <w:rFonts w:hint="eastAsia"/>
          <w:iCs/>
          <w:lang w:val="en-US" w:eastAsia="zh-CN"/>
        </w:rPr>
        <w:t>According to the guidance of the Chair, Include the following tdocs from 10.17.3/4: R4-2204880, R4-2204881, R4-2205410, R4-2205962, R4-2206029, R4-2206030, R4-2203642. Other tdocs from 10.17.4 will be moved to BS RF/Test/Demod Session.</w:t>
      </w:r>
    </w:p>
    <w:p>
      <w:pPr>
        <w:rPr>
          <w:iCs/>
          <w:lang w:val="en-US" w:eastAsia="zh-CN"/>
        </w:rPr>
      </w:pPr>
    </w:p>
    <w:p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>
      <w:pPr>
        <w:pStyle w:val="149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>Companies discuss open issues and provide comments on the CR/TP.</w:t>
      </w:r>
    </w:p>
    <w:p>
      <w:pPr>
        <w:pStyle w:val="149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hint="eastAsia" w:eastAsiaTheme="minorEastAsia"/>
          <w:iCs/>
          <w:lang w:val="en-US" w:eastAsia="zh-CN"/>
        </w:rPr>
        <w:t xml:space="preserve">Finalize on the open issues and the CR/TP. 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817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81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4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GB" w:eastAsia="zh-CN"/>
              </w:rPr>
              <w:t>Qualcomm</w:t>
            </w:r>
          </w:p>
        </w:tc>
        <w:tc>
          <w:tcPr>
            <w:tcW w:w="6438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b/>
                <w:bCs/>
                <w:lang w:eastAsia="zh-CN"/>
              </w:rPr>
              <w:t>Proposal 1: RAN4 needs to define CLI measurement requirements and Rel 16 UE CLI measurement requirement can be used as baseline.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</w:t>
            </w:r>
          </w:p>
        </w:tc>
        <w:tc>
          <w:tcPr>
            <w:tcW w:w="6438" w:type="dxa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Observation 1: There is no enhancement on CLI measurement and reporting for Rel-17 eIAB compared with Rel-16 IAB based on RAN1/2 agreements.</w:t>
            </w:r>
          </w:p>
          <w:p>
            <w:pPr>
              <w:jc w:val="both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b/>
              </w:rPr>
              <w:t>Proposal 1: No RRM requirements for CLI measurement need to be specified in Rel-17 IAB.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HiSilicon, Nokia, Nokia Shanghai Bell</w:t>
            </w:r>
          </w:p>
        </w:tc>
        <w:tc>
          <w:tcPr>
            <w:tcW w:w="6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lang w:eastAsia="zh-CN"/>
              </w:rPr>
              <w:t>CR on timing requirements for Rel-17 IAB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val="en-GB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6438" w:type="dxa"/>
            <w:vAlign w:val="top"/>
          </w:tcPr>
          <w:p>
            <w:pPr>
              <w:pStyle w:val="153"/>
              <w:numPr>
                <w:ilvl w:val="0"/>
                <w:numId w:val="0"/>
              </w:numPr>
              <w:ind w:leftChars="0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hint="eastAsia" w:ascii="Times New Roman" w:hAnsi="Times New Roman" w:eastAsiaTheme="minorHAnsi" w:cstheme="minorBidi"/>
                <w:sz w:val="22"/>
                <w:szCs w:val="22"/>
                <w:lang w:val="en-US" w:eastAsia="zh-CN" w:bidi="ar-SA"/>
              </w:rPr>
              <w:t>For CLI measurements by IAB-MT, no new RRM requirements need to be specified in R17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.</w:t>
            </w:r>
          </w:p>
          <w:p>
            <w:pPr>
              <w:pStyle w:val="149"/>
              <w:ind w:left="0" w:leftChars="0" w:firstLine="0" w:firstLineChars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bservation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bCs/>
                <w:sz w:val="22"/>
                <w:szCs w:val="22"/>
                <w:lang w:val="en-US" w:eastAsia="zh-CN"/>
              </w:rPr>
              <w:t>UL timing of a parent node will be impacted when there is a timing uncertainty between parent node DU DL Tx timing and its child node DU DL Tx timing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  <w:p>
            <w:pPr>
              <w:pStyle w:val="149"/>
              <w:ind w:left="0" w:leftChars="0" w:firstLine="0" w:firstLineChars="0"/>
              <w:rPr>
                <w:rFonts w:hint="default" w:ascii="Times New Roman" w:hAnsi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sz w:val="22"/>
                <w:szCs w:val="22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b/>
                <w:sz w:val="22"/>
                <w:szCs w:val="22"/>
              </w:rPr>
              <w:t>bservation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Te2 was agreed to be out of scope of RF session.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 xml:space="preserve">Proposal 2: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Discuss whether to specify requirements for Te2 in RRM session</w:t>
            </w:r>
            <w:r>
              <w:rPr>
                <w:rFonts w:hint="eastAsia" w:ascii="Times New Roman" w:hAnsi="Times New Roman"/>
                <w:b/>
                <w:sz w:val="22"/>
                <w:szCs w:val="22"/>
                <w:lang w:val="en-US" w:eastAsia="zh-CN"/>
              </w:rPr>
              <w:t xml:space="preserve"> for case# 6 timing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6438" w:type="dxa"/>
            <w:vAlign w:val="top"/>
          </w:tcPr>
          <w:p>
            <w:pPr>
              <w:pStyle w:val="155"/>
              <w:numPr>
                <w:ilvl w:val="0"/>
                <w:numId w:val="5"/>
              </w:numPr>
            </w:pPr>
            <w:r>
              <w:t>RIM scenarios are not typical for IAB deployments. Network planning of static IAB deployments should prevent at least major interference scenarios that are addressed by CLI measurements.</w:t>
            </w:r>
          </w:p>
          <w:p>
            <w:pPr>
              <w:pStyle w:val="155"/>
              <w:numPr>
                <w:ilvl w:val="0"/>
                <w:numId w:val="5"/>
              </w:numPr>
            </w:pPr>
            <w:r>
              <w:t>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>
            <w:pPr>
              <w:pStyle w:val="153"/>
              <w:numPr>
                <w:ilvl w:val="0"/>
                <w:numId w:val="6"/>
              </w:numPr>
            </w:pPr>
            <w:r>
              <w:t>For CLI measurements by IAB-MT, no new RRM requirements need to be specified in R17.</w:t>
            </w:r>
          </w:p>
          <w:p>
            <w:pPr>
              <w:pStyle w:val="153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t>There is not need to adopt Rel 16 UE CLI measurement performance requirement shall be adopted for Rel 17 eIAB.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CLI for IAB: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1</w:t>
            </w:r>
            <w:r>
              <w:rPr>
                <w:rFonts w:ascii="Times New Roman" w:hAnsi="Times New Roman"/>
                <w:sz w:val="20"/>
                <w:szCs w:val="20"/>
              </w:rPr>
              <w:t>: Unlike, the UE, which moves around, the IAB is fixed node. Therefore, the need for CLI requirements (if CLI is needed) depends on the actual deployment scenario.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2</w:t>
            </w:r>
            <w:r>
              <w:rPr>
                <w:rFonts w:ascii="Times New Roman" w:hAnsi="Times New Roman"/>
                <w:sz w:val="20"/>
                <w:szCs w:val="20"/>
              </w:rPr>
              <w:t>: IAB can be deployed in wide range of deployment scenarios.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3</w:t>
            </w:r>
            <w:r>
              <w:rPr>
                <w:rFonts w:ascii="Times New Roman" w:hAnsi="Times New Roman"/>
                <w:sz w:val="20"/>
                <w:szCs w:val="20"/>
              </w:rPr>
              <w:t>: Standardization of the CLI measurement requirements will limit the IAB implementation flexibility making CLI measurement requirements less effective and even degrade the overall performance in some scenarios.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4</w:t>
            </w:r>
            <w:r>
              <w:rPr>
                <w:rFonts w:ascii="Times New Roman" w:hAnsi="Times New Roman"/>
                <w:sz w:val="20"/>
                <w:szCs w:val="20"/>
              </w:rPr>
              <w:t>: RAN2/RAN3 signaling for CLI for IAB is sufficient for cross layer interference mitigation/management.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5</w:t>
            </w:r>
            <w:r>
              <w:rPr>
                <w:rFonts w:ascii="Times New Roman" w:hAnsi="Times New Roman"/>
                <w:sz w:val="20"/>
                <w:szCs w:val="20"/>
              </w:rPr>
              <w:t>: RAN4 concluded in Rel-16 not to define RRM measurement requirements for IAB-MT to prevent any implementation limitation in IAB.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Proposal #1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No RRM requirements related to CLI measurements are specified for IAB-MT.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Case-6 Timing for IAB-MT: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6</w:t>
            </w:r>
            <w:r>
              <w:rPr>
                <w:rFonts w:ascii="Times New Roman" w:hAnsi="Times New Roman"/>
                <w:sz w:val="20"/>
                <w:szCs w:val="20"/>
              </w:rPr>
              <w:t>: TAE between IAB-MT and its co-located IAB-DU and the IAB-DU’s 3 µs cell phase synchronization will result in that the IAB-MT timing become 3 µs + TAE.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Observation 7</w:t>
            </w:r>
            <w:r>
              <w:rPr>
                <w:rFonts w:ascii="Times New Roman" w:hAnsi="Times New Roman"/>
                <w:sz w:val="20"/>
                <w:szCs w:val="20"/>
              </w:rPr>
              <w:t>: IAB-MT and IAB-DU operate in different cells and if IAB-MT does not follow the cell phase synchronization requirement then there can be interference between the two cells.</w:t>
            </w:r>
          </w:p>
          <w:p>
            <w:pPr>
              <w:pStyle w:val="14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textAlignment w:val="baseline"/>
              <w:rPr>
                <w:rFonts w:ascii="Times New Roman" w:hAnsi="Times New Roman" w:cs="Times New Roman" w:eastAsiaTheme="minorEastAsia"/>
                <w:i/>
                <w:color w:val="0070C0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Proposal#2</w:t>
            </w: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: IAB-MT should follow the cell phase synchronization requirement of 3 µs when it transmits in DL time slot.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18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t>Case 6 timing requirement for IAB in TS 38.174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rFonts w:hint="default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RAN4 needs to define CLI measurement requirements and Rel 16 UE CLI measurement requirement can be used as baseline. (Qualcomm)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For CLI measurements by IAB-MT, no new RRM requirements need to be specified in R17. (Huawei, ZTE, Nokia, Ericsson)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  <w:r>
        <w:rPr>
          <w:rFonts w:hint="eastAsia" w:eastAsia="宋体"/>
          <w:color w:val="0070C0"/>
          <w:szCs w:val="24"/>
          <w:lang w:val="en-US" w:eastAsia="zh-CN"/>
        </w:rPr>
        <w:t>: Discussion needed.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Case 6 timing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Discuss whether to specify requirements for Te2 in RRM session for case# 6 timing. (ZTE)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</w:t>
      </w:r>
      <w:r>
        <w:rPr>
          <w:rFonts w:ascii="Times New Roman" w:hAnsi="Times New Roman"/>
          <w:sz w:val="20"/>
          <w:szCs w:val="20"/>
          <w:lang w:val="en-GB" w:eastAsia="en-US"/>
        </w:rPr>
        <w:t>IAB-MT should follow the cell phase synchronization requirement of 3 µs when it transmits in DL time slot.</w:t>
      </w:r>
      <w:r>
        <w:rPr>
          <w:rFonts w:hint="eastAsia" w:eastAsia="宋体"/>
          <w:color w:val="0070C0"/>
          <w:szCs w:val="24"/>
          <w:lang w:val="en-US" w:eastAsia="zh-CN"/>
        </w:rPr>
        <w:t xml:space="preserve"> (Ericsson)</w:t>
      </w:r>
    </w:p>
    <w:p>
      <w:pPr>
        <w:pStyle w:val="149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Discussions are needed. Note that dCR </w:t>
      </w:r>
      <w:r>
        <w:rPr>
          <w:rFonts w:hint="eastAsia"/>
          <w:iCs/>
          <w:lang w:val="en-US" w:eastAsia="zh-CN"/>
        </w:rPr>
        <w:t>R4-2206030 is directly related to this issue.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0070C0"/>
          <w:szCs w:val="24"/>
          <w:lang w:val="en-US" w:eastAsia="zh-CN"/>
        </w:rPr>
      </w:pP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rFonts w:hint="default"/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hint="eastAsia"/>
          <w:i/>
          <w:color w:val="0070C0"/>
          <w:lang w:val="en-US" w:eastAsia="zh-CN"/>
        </w:rPr>
      </w:pPr>
    </w:p>
    <w:p>
      <w:pPr>
        <w:rPr>
          <w:rFonts w:hint="eastAsia"/>
          <w:i/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Discussion on 2nd round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GB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>
      <w:pPr>
        <w:pStyle w:val="3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5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261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val="en-US" w:eastAsia="ja-JP"/>
        </w:rPr>
      </w:pPr>
    </w:p>
    <w:p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590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59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Discussion on RRM requirements for eIAB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CR on timing requirements for Rel-17 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Huawei, HiSilicon, Nokia, Nokia Shanghai Bell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RRM for eIAB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val="en-GB"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IAB Enhanced RRM Requirements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Further analysis of RRM requirements for enhanced IAB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Case 6 timing requirement for IAB in TS 38.174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26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CLI measurement requirement for R17 NR eIAB RRM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  <w:r>
              <w:rPr>
                <w:rFonts w:hint="eastAsia"/>
                <w:iCs/>
                <w:lang w:val="en-GB" w:eastAsia="zh-CN"/>
              </w:rPr>
              <w:t>Qualcomm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eastAsia"/>
                <w:iCs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lang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>
      <w:pPr>
        <w:pStyle w:val="149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eastAsiaTheme="minorEastAsia"/>
          <w:color w:val="0070C0"/>
          <w:lang w:val="en-US" w:eastAsia="zh-CN"/>
        </w:rPr>
      </w:pPr>
    </w:p>
    <w:p>
      <w:pPr>
        <w:pStyle w:val="3"/>
      </w:pPr>
      <w:r>
        <w:t xml:space="preserve">2nd </w:t>
      </w:r>
      <w:r>
        <w:rPr>
          <w:rFonts w:hint="eastAsia"/>
        </w:rPr>
        <w:t xml:space="preserve">round </w:t>
      </w:r>
    </w:p>
    <w:p>
      <w:pPr>
        <w:rPr>
          <w:lang w:val="en-US" w:eastAsia="ja-JP"/>
        </w:rPr>
      </w:pP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682"/>
        <w:gridCol w:w="1418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rFonts w:eastAsiaTheme="minorEastAsia"/>
          <w:color w:val="0070C0"/>
          <w:lang w:val="en-US"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sub-topics.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>
      <w:pPr>
        <w:pStyle w:val="149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>
      <w:pPr>
        <w:pStyle w:val="149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>
      <w:pPr>
        <w:rPr>
          <w:rFonts w:ascii="Arial" w:hAnsi="Arial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Richie.leo@zte.com.cn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Muhammad.kazmi@ericsson.com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 w:val="18"/>
                <w:szCs w:val="18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sz w:val="18"/>
                <w:szCs w:val="18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hongyi Shen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"mailto:shenzhongyi3@huawei.com"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t>shenzhongyi3@huawei.com</w:t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"mailto:Dmitry.a.petrov@nokia-bell-labs.com"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t>Dmitry.a.petrov@nokia-bell-labs.com</w:t>
            </w:r>
            <w:r>
              <w:rPr>
                <w:rStyle w:val="55"/>
                <w:rFonts w:eastAsiaTheme="minorEastAsia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Yu Mincho"/>
          <w:lang w:val="en-US" w:eastAsia="ja-JP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49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rFonts w:ascii="Arial" w:hAnsi="Arial"/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7A"/>
    <w:multiLevelType w:val="multilevel"/>
    <w:tmpl w:val="1AC52A7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489"/>
    <w:multiLevelType w:val="multilevel"/>
    <w:tmpl w:val="1F5664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46B43B9D"/>
    <w:multiLevelType w:val="multilevel"/>
    <w:tmpl w:val="46B43B9D"/>
    <w:lvl w:ilvl="0" w:tentative="0">
      <w:start w:val="1"/>
      <w:numFmt w:val="decimal"/>
      <w:pStyle w:val="155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6E3167"/>
    <w:multiLevelType w:val="multilevel"/>
    <w:tmpl w:val="4D6E3167"/>
    <w:lvl w:ilvl="0" w:tentative="0">
      <w:start w:val="1"/>
      <w:numFmt w:val="decimal"/>
      <w:pStyle w:val="153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8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673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0F3F6975"/>
    <w:rsid w:val="0F7721D7"/>
    <w:rsid w:val="10543DAE"/>
    <w:rsid w:val="166D5CD3"/>
    <w:rsid w:val="187E3A42"/>
    <w:rsid w:val="1B573B5A"/>
    <w:rsid w:val="1EA03A48"/>
    <w:rsid w:val="20CD6AE1"/>
    <w:rsid w:val="21CE0389"/>
    <w:rsid w:val="27082844"/>
    <w:rsid w:val="29BD44C3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86410A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paragraph" w:customStyle="1" w:styleId="153">
    <w:name w:val="RAN4 proposal"/>
    <w:basedOn w:val="28"/>
    <w:next w:val="1"/>
    <w:qFormat/>
    <w:uiPriority w:val="0"/>
    <w:pPr>
      <w:numPr>
        <w:ilvl w:val="0"/>
        <w:numId w:val="2"/>
      </w:numPr>
      <w:ind w:left="0" w:firstLine="0"/>
    </w:pPr>
    <w:rPr>
      <w:sz w:val="22"/>
    </w:rPr>
  </w:style>
  <w:style w:type="character" w:customStyle="1" w:styleId="154">
    <w:name w:val="首标题"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55">
    <w:name w:val="RAN4 Observation"/>
    <w:basedOn w:val="149"/>
    <w:next w:val="1"/>
    <w:uiPriority w:val="0"/>
    <w:pPr>
      <w:numPr>
        <w:ilvl w:val="0"/>
        <w:numId w:val="3"/>
      </w:numPr>
    </w:pPr>
    <w:rPr>
      <w:rFonts w:eastAsia="Calibri"/>
    </w:rPr>
  </w:style>
  <w:style w:type="paragraph" w:customStyle="1" w:styleId="156">
    <w:name w:val="RAN4 observation"/>
    <w:basedOn w:val="155"/>
    <w:next w:val="1"/>
    <w:qFormat/>
    <w:uiPriority w:val="0"/>
    <w:pPr>
      <w:ind w:left="0" w:firstLine="0"/>
    </w:pPr>
  </w:style>
  <w:style w:type="character" w:customStyle="1" w:styleId="157">
    <w:name w:val="Unresolved Mention2"/>
    <w:basedOn w:val="51"/>
    <w:semiHidden/>
    <w:unhideWhenUsed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1D564-2077-45FB-9779-F73531C4B389}">
  <ds:schemaRefs/>
</ds:datastoreItem>
</file>

<file path=customXml/itemProps3.xml><?xml version="1.0" encoding="utf-8"?>
<ds:datastoreItem xmlns:ds="http://schemas.openxmlformats.org/officeDocument/2006/customXml" ds:itemID="{118D89CD-29FF-4C7F-8A38-E385FFF68918}">
  <ds:schemaRefs/>
</ds:datastoreItem>
</file>

<file path=customXml/itemProps4.xml><?xml version="1.0" encoding="utf-8"?>
<ds:datastoreItem xmlns:ds="http://schemas.openxmlformats.org/officeDocument/2006/customXml" ds:itemID="{A436BA65-5F65-412B-92FE-778B059CB05C}">
  <ds:schemaRefs/>
</ds:datastoreItem>
</file>

<file path=customXml/itemProps5.xml><?xml version="1.0" encoding="utf-8"?>
<ds:datastoreItem xmlns:ds="http://schemas.openxmlformats.org/officeDocument/2006/customXml" ds:itemID="{97CEE0B6-9483-4E28-8DE8-D2C529363F20}">
  <ds:schemaRefs/>
</ds:datastoreItem>
</file>

<file path=customXml/itemProps6.xml><?xml version="1.0" encoding="utf-8"?>
<ds:datastoreItem xmlns:ds="http://schemas.openxmlformats.org/officeDocument/2006/customXml" ds:itemID="{DB968D91-21FF-4E31-B52A-0C86F271B1F0}">
  <ds:schemaRefs/>
</ds:datastoreItem>
</file>

<file path=customXml/itemProps7.xml><?xml version="1.0" encoding="utf-8"?>
<ds:datastoreItem xmlns:ds="http://schemas.openxmlformats.org/officeDocument/2006/customXml" ds:itemID="{A8AB98C9-CCEE-4629-B94B-00C5402EB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14</Pages>
  <Words>4689</Words>
  <Characters>26732</Characters>
  <Lines>222</Lines>
  <Paragraphs>62</Paragraphs>
  <TotalTime>0</TotalTime>
  <ScaleCrop>false</ScaleCrop>
  <LinksUpToDate>false</LinksUpToDate>
  <CharactersWithSpaces>31359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2021-11-09T19:46:00Z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2022-02-16T08:32:14Z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