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84F84" w14:textId="623B4179" w:rsidR="00246CA7" w:rsidRDefault="00246CA7" w:rsidP="00246CA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102-e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r w:rsidRPr="00350DF7">
        <w:rPr>
          <w:rFonts w:ascii="Arial" w:eastAsiaTheme="minorEastAsia" w:hAnsi="Arial" w:cs="Arial"/>
          <w:b/>
          <w:sz w:val="24"/>
          <w:szCs w:val="24"/>
          <w:lang w:eastAsia="zh-CN"/>
        </w:rPr>
        <w:t>220</w:t>
      </w:r>
      <w:r w:rsidR="006728C8">
        <w:rPr>
          <w:rFonts w:ascii="Arial" w:eastAsiaTheme="minorEastAsia" w:hAnsi="Arial" w:cs="Arial"/>
          <w:b/>
          <w:sz w:val="24"/>
          <w:szCs w:val="24"/>
          <w:lang w:eastAsia="zh-CN"/>
        </w:rPr>
        <w:t>6943</w:t>
      </w:r>
    </w:p>
    <w:p w14:paraId="6E9F291B" w14:textId="77777777" w:rsidR="00246CA7" w:rsidRDefault="00246CA7" w:rsidP="00246CA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Feb 21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 xml:space="preserve"> - Mar 3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 w14:paraId="24D6B843" w14:textId="77777777" w:rsidR="00820C08" w:rsidRPr="00246CA7" w:rsidRDefault="00820C08" w:rsidP="00820C0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C67AD44" w14:textId="38CE0253" w:rsidR="00820C08" w:rsidRPr="00AB4182" w:rsidRDefault="00820C08" w:rsidP="00820C0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46CA7">
        <w:rPr>
          <w:rFonts w:ascii="Arial" w:eastAsiaTheme="minorEastAsia" w:hAnsi="Arial" w:cs="Arial"/>
          <w:color w:val="000000"/>
          <w:sz w:val="22"/>
          <w:lang w:eastAsia="zh-CN"/>
        </w:rPr>
        <w:t>10.19.3.</w:t>
      </w:r>
      <w:r w:rsidR="00A310D5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106EFC1F" w14:textId="1444FBA8" w:rsidR="00820C08" w:rsidRPr="00915D73" w:rsidRDefault="00820C08" w:rsidP="00820C0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A310D5">
        <w:rPr>
          <w:rFonts w:ascii="Arial" w:hAnsi="Arial" w:cs="Arial"/>
          <w:color w:val="000000"/>
          <w:sz w:val="22"/>
          <w:lang w:eastAsia="zh-CN"/>
        </w:rPr>
        <w:t>Intel</w:t>
      </w:r>
    </w:p>
    <w:p w14:paraId="41B222C4" w14:textId="4AB9DEED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5C4A06" w:rsidRPr="005C4A06">
        <w:rPr>
          <w:rFonts w:ascii="Arial" w:hAnsi="Arial" w:cs="Arial"/>
          <w:color w:val="000000"/>
          <w:sz w:val="22"/>
          <w:lang w:eastAsia="zh-CN"/>
        </w:rPr>
        <w:t>WF on FeMIMO RRM impact for unified TCI state</w:t>
      </w:r>
    </w:p>
    <w:p w14:paraId="69EC93B7" w14:textId="7777777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3EBBD81" w14:textId="77777777" w:rsidR="004745F6" w:rsidRPr="00C81BBA" w:rsidRDefault="004745F6" w:rsidP="004745F6">
      <w:pPr>
        <w:pStyle w:val="Heading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14:paraId="75D1D886" w14:textId="33F7BC73" w:rsidR="00E37529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for </w:t>
      </w:r>
      <w:r w:rsidRPr="00C81BBA">
        <w:rPr>
          <w:lang w:eastAsia="zh-CN"/>
        </w:rPr>
        <w:t xml:space="preserve">the email discussion for </w:t>
      </w:r>
      <w:r w:rsidR="00E37529">
        <w:rPr>
          <w:rFonts w:eastAsiaTheme="minorEastAsia"/>
          <w:lang w:eastAsia="zh-CN"/>
        </w:rPr>
        <w:t xml:space="preserve">Rel-17 FeMIMO </w:t>
      </w:r>
      <w:r w:rsidR="00A310D5">
        <w:rPr>
          <w:rFonts w:eastAsiaTheme="minorEastAsia"/>
          <w:lang w:eastAsia="zh-CN"/>
        </w:rPr>
        <w:t xml:space="preserve">RRM impact </w:t>
      </w:r>
      <w:r w:rsidR="005C4A06">
        <w:rPr>
          <w:rFonts w:eastAsiaTheme="minorEastAsia"/>
          <w:lang w:eastAsia="zh-CN"/>
        </w:rPr>
        <w:t>for</w:t>
      </w:r>
      <w:r w:rsidR="00B3156F">
        <w:rPr>
          <w:rFonts w:eastAsiaTheme="minorEastAsia"/>
          <w:lang w:eastAsia="zh-CN"/>
        </w:rPr>
        <w:t xml:space="preserve"> </w:t>
      </w:r>
      <w:r w:rsidR="00A310D5">
        <w:rPr>
          <w:rFonts w:eastAsiaTheme="minorEastAsia"/>
          <w:lang w:eastAsia="zh-CN"/>
        </w:rPr>
        <w:t>Unified TCI state</w:t>
      </w:r>
      <w:r w:rsidR="00E37529">
        <w:rPr>
          <w:rFonts w:eastAsiaTheme="minorEastAsia"/>
          <w:lang w:eastAsia="zh-CN"/>
        </w:rPr>
        <w:t xml:space="preserve"> in RAN4 #10</w:t>
      </w:r>
      <w:r w:rsidR="00A22DFA">
        <w:rPr>
          <w:rFonts w:eastAsiaTheme="minorEastAsia"/>
          <w:lang w:eastAsia="zh-CN"/>
        </w:rPr>
        <w:t>2</w:t>
      </w:r>
      <w:r w:rsidR="00820C08">
        <w:rPr>
          <w:rFonts w:eastAsiaTheme="minorEastAsia"/>
          <w:lang w:eastAsia="zh-CN"/>
        </w:rPr>
        <w:t>-e</w:t>
      </w:r>
      <w:r w:rsidR="00FC7DD6">
        <w:rPr>
          <w:rFonts w:eastAsiaTheme="minorEastAsia"/>
          <w:lang w:eastAsia="zh-CN"/>
        </w:rPr>
        <w:t xml:space="preserve"> </w:t>
      </w:r>
      <w:r w:rsidR="00E37529">
        <w:rPr>
          <w:rFonts w:eastAsiaTheme="minorEastAsia"/>
          <w:lang w:eastAsia="zh-CN"/>
        </w:rPr>
        <w:t>meeting</w:t>
      </w:r>
      <w:r w:rsidR="00FC7DD6">
        <w:rPr>
          <w:rFonts w:eastAsiaTheme="minorEastAsia"/>
          <w:lang w:eastAsia="zh-CN"/>
        </w:rPr>
        <w:t>.</w:t>
      </w:r>
    </w:p>
    <w:p w14:paraId="0E6C84A5" w14:textId="66EBA2F1" w:rsidR="008B24C2" w:rsidRDefault="00687D40" w:rsidP="004745F6">
      <w:pPr>
        <w:pStyle w:val="Heading1"/>
        <w:rPr>
          <w:lang w:eastAsia="ja-JP"/>
        </w:rPr>
      </w:pPr>
      <w:r>
        <w:rPr>
          <w:lang w:eastAsia="ja-JP"/>
        </w:rPr>
        <w:t>Agreements in GTW session</w:t>
      </w:r>
    </w:p>
    <w:p w14:paraId="087D6449" w14:textId="1349BC1C" w:rsidR="00A65595" w:rsidRDefault="00A65595" w:rsidP="00A65595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 w:hint="eastAsia"/>
          <w:color w:val="0070C0"/>
          <w:lang w:val="en-US" w:eastAsia="zh-CN"/>
        </w:rPr>
        <w:t>I</w:t>
      </w:r>
      <w:r>
        <w:rPr>
          <w:rFonts w:eastAsiaTheme="minorEastAsia"/>
          <w:color w:val="0070C0"/>
          <w:lang w:val="en-US" w:eastAsia="zh-CN"/>
        </w:rPr>
        <w:t xml:space="preserve">n GTW session, the following bullets have been agreed </w:t>
      </w:r>
    </w:p>
    <w:p w14:paraId="2412E3B4" w14:textId="190AB725" w:rsidR="00C81CD5" w:rsidRDefault="00C81CD5" w:rsidP="00C81CD5">
      <w:pPr>
        <w:spacing w:after="120"/>
        <w:rPr>
          <w:u w:val="single"/>
        </w:rPr>
      </w:pPr>
      <w:r w:rsidRPr="00C02BBE">
        <w:rPr>
          <w:u w:val="single"/>
        </w:rPr>
        <w:t>Issue 1-3-1 Known cell condition for TCI state switch associated with different PCI</w:t>
      </w:r>
    </w:p>
    <w:p w14:paraId="44B99950" w14:textId="77777777" w:rsidR="007817A3" w:rsidRPr="00125C85" w:rsidRDefault="007817A3" w:rsidP="007817A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 w:line="252" w:lineRule="auto"/>
        <w:ind w:left="644" w:firstLineChars="0"/>
        <w:textAlignment w:val="auto"/>
        <w:rPr>
          <w:bCs/>
          <w:highlight w:val="green"/>
        </w:rPr>
      </w:pPr>
      <w:r w:rsidRPr="00125C85">
        <w:rPr>
          <w:bCs/>
          <w:highlight w:val="green"/>
        </w:rPr>
        <w:t>Agreements</w:t>
      </w:r>
    </w:p>
    <w:p w14:paraId="04C050DD" w14:textId="77777777" w:rsidR="00B9017C" w:rsidRPr="006A7BD7" w:rsidRDefault="00B9017C" w:rsidP="00B9017C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  <w:highlight w:val="green"/>
        </w:rPr>
      </w:pPr>
      <w:r w:rsidRPr="006A7BD7">
        <w:rPr>
          <w:bCs/>
          <w:highlight w:val="green"/>
        </w:rPr>
        <w:t>Define separate known cell condition for TCI state switch associated with different PCI and known TCI state condition</w:t>
      </w:r>
    </w:p>
    <w:p w14:paraId="60EAE4E8" w14:textId="77777777" w:rsidR="00B9017C" w:rsidRPr="00D7495F" w:rsidRDefault="00B9017C" w:rsidP="00B9017C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  <w:highlight w:val="green"/>
        </w:rPr>
      </w:pPr>
      <w:r w:rsidRPr="00D7495F">
        <w:rPr>
          <w:bCs/>
          <w:highlight w:val="green"/>
        </w:rPr>
        <w:t>Known cell condition for TCI state switch associated with different PCI</w:t>
      </w:r>
    </w:p>
    <w:p w14:paraId="2E5C8215" w14:textId="77777777" w:rsidR="00B9017C" w:rsidRPr="00D7495F" w:rsidRDefault="00B9017C" w:rsidP="00B9017C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  <w:highlight w:val="green"/>
        </w:rPr>
      </w:pPr>
      <w:r w:rsidRPr="00D7495F">
        <w:rPr>
          <w:bCs/>
          <w:highlight w:val="green"/>
        </w:rPr>
        <w:t>Re-use known condition specified for inter-cell beam measurements</w:t>
      </w:r>
    </w:p>
    <w:p w14:paraId="2DF72563" w14:textId="77777777" w:rsidR="00B9017C" w:rsidRPr="00125C85" w:rsidRDefault="00B9017C" w:rsidP="00B9017C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  <w:highlight w:val="green"/>
        </w:rPr>
      </w:pPr>
      <w:r w:rsidRPr="00125C85">
        <w:rPr>
          <w:bCs/>
          <w:highlight w:val="green"/>
        </w:rPr>
        <w:t xml:space="preserve">Known TCI </w:t>
      </w:r>
      <w:r>
        <w:rPr>
          <w:bCs/>
          <w:highlight w:val="green"/>
        </w:rPr>
        <w:t xml:space="preserve">state </w:t>
      </w:r>
      <w:r w:rsidRPr="00125C85">
        <w:rPr>
          <w:bCs/>
          <w:highlight w:val="green"/>
        </w:rPr>
        <w:t>condition</w:t>
      </w:r>
    </w:p>
    <w:p w14:paraId="7D6224EC" w14:textId="5EA9AF2A" w:rsidR="00B9017C" w:rsidRPr="003E1833" w:rsidRDefault="00B9017C" w:rsidP="00B9017C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  <w:strike/>
          <w:highlight w:val="green"/>
        </w:rPr>
      </w:pPr>
      <w:r w:rsidRPr="00125C85">
        <w:rPr>
          <w:bCs/>
          <w:highlight w:val="green"/>
        </w:rPr>
        <w:t xml:space="preserve">Re-use legacy known TCI state condition </w:t>
      </w:r>
    </w:p>
    <w:p w14:paraId="3A163810" w14:textId="77777777" w:rsidR="008B450D" w:rsidRDefault="008B450D" w:rsidP="008B450D">
      <w:pPr>
        <w:spacing w:after="120"/>
        <w:rPr>
          <w:u w:val="single"/>
        </w:rPr>
      </w:pPr>
    </w:p>
    <w:p w14:paraId="4F191E2F" w14:textId="0A034261" w:rsidR="008B450D" w:rsidRPr="008B450D" w:rsidRDefault="008B450D" w:rsidP="008B450D">
      <w:pPr>
        <w:spacing w:after="120"/>
        <w:rPr>
          <w:u w:val="single"/>
        </w:rPr>
      </w:pPr>
      <w:r w:rsidRPr="008B450D">
        <w:rPr>
          <w:u w:val="single"/>
        </w:rPr>
        <w:t>Issue 1-3-3 Whether to define TCI state switch delay requirement for unknown cell case</w:t>
      </w:r>
    </w:p>
    <w:p w14:paraId="41090C3B" w14:textId="77777777" w:rsidR="007817A3" w:rsidRPr="00125C85" w:rsidRDefault="007817A3" w:rsidP="007817A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 w:line="252" w:lineRule="auto"/>
        <w:ind w:left="644" w:firstLineChars="0"/>
        <w:textAlignment w:val="auto"/>
        <w:rPr>
          <w:bCs/>
          <w:highlight w:val="green"/>
        </w:rPr>
      </w:pPr>
      <w:r w:rsidRPr="00125C85">
        <w:rPr>
          <w:bCs/>
          <w:highlight w:val="green"/>
        </w:rPr>
        <w:t>Agreements</w:t>
      </w:r>
    </w:p>
    <w:p w14:paraId="13270C60" w14:textId="77777777" w:rsidR="007817A3" w:rsidRPr="00125C85" w:rsidRDefault="007817A3" w:rsidP="007817A3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  <w:highlight w:val="green"/>
        </w:rPr>
      </w:pPr>
      <w:r w:rsidRPr="00125C85">
        <w:rPr>
          <w:bCs/>
          <w:highlight w:val="green"/>
        </w:rPr>
        <w:t>RAN4 will NOT specify the requirements for unknown cell case for TCI switching delay for a cell with different PCI from serving cell in Rel-17</w:t>
      </w:r>
    </w:p>
    <w:p w14:paraId="0EA255C0" w14:textId="6A6C3A00" w:rsidR="00B9017C" w:rsidRDefault="00B9017C" w:rsidP="00A65595">
      <w:pPr>
        <w:rPr>
          <w:rFonts w:eastAsiaTheme="minorEastAsia"/>
          <w:color w:val="0070C0"/>
          <w:lang w:eastAsia="zh-CN"/>
        </w:rPr>
      </w:pPr>
    </w:p>
    <w:p w14:paraId="143AF8E0" w14:textId="77777777" w:rsidR="00091A51" w:rsidRDefault="00091A51" w:rsidP="00091A51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1-4-2 Whether common TCI state switching delay requirement is defined for all CC or per CC</w:t>
      </w:r>
    </w:p>
    <w:p w14:paraId="6BD2ED4A" w14:textId="77777777" w:rsidR="00CC5CB0" w:rsidRPr="00E0595F" w:rsidRDefault="00CC5CB0" w:rsidP="00CC5CB0">
      <w:pPr>
        <w:pStyle w:val="ListParagraph"/>
        <w:numPr>
          <w:ilvl w:val="0"/>
          <w:numId w:val="12"/>
        </w:numPr>
        <w:spacing w:after="120" w:line="252" w:lineRule="auto"/>
        <w:ind w:left="644" w:firstLineChars="0"/>
        <w:textAlignment w:val="auto"/>
        <w:rPr>
          <w:sz w:val="22"/>
          <w:szCs w:val="22"/>
          <w:highlight w:val="green"/>
        </w:rPr>
      </w:pPr>
      <w:r w:rsidRPr="00E0595F">
        <w:rPr>
          <w:highlight w:val="green"/>
        </w:rPr>
        <w:t>Agreement</w:t>
      </w:r>
    </w:p>
    <w:p w14:paraId="15E60E72" w14:textId="77777777" w:rsidR="00CC5CB0" w:rsidRPr="00E0595F" w:rsidRDefault="00CC5CB0" w:rsidP="00CC5CB0">
      <w:pPr>
        <w:pStyle w:val="ListParagraph"/>
        <w:numPr>
          <w:ilvl w:val="0"/>
          <w:numId w:val="12"/>
        </w:numPr>
        <w:spacing w:after="120" w:line="252" w:lineRule="auto"/>
        <w:ind w:left="1212" w:firstLineChars="0"/>
        <w:textAlignment w:val="auto"/>
        <w:rPr>
          <w:sz w:val="22"/>
          <w:szCs w:val="22"/>
          <w:highlight w:val="green"/>
        </w:rPr>
      </w:pPr>
      <w:r w:rsidRPr="00E0595F">
        <w:rPr>
          <w:highlight w:val="green"/>
        </w:rPr>
        <w:t>Common TCI state switching delay requirement is defined for all CC:</w:t>
      </w:r>
    </w:p>
    <w:p w14:paraId="35C4E7E2" w14:textId="77777777" w:rsidR="00CC5CB0" w:rsidRPr="00E0595F" w:rsidRDefault="00CC5CB0" w:rsidP="00CC5CB0">
      <w:pPr>
        <w:pStyle w:val="ListParagraph"/>
        <w:numPr>
          <w:ilvl w:val="0"/>
          <w:numId w:val="43"/>
        </w:numPr>
        <w:overflowPunct/>
        <w:autoSpaceDE/>
        <w:adjustRightInd/>
        <w:spacing w:after="120" w:line="252" w:lineRule="auto"/>
        <w:ind w:left="1572" w:firstLineChars="0"/>
        <w:textAlignment w:val="auto"/>
        <w:rPr>
          <w:highlight w:val="green"/>
        </w:rPr>
      </w:pPr>
      <w:r w:rsidRPr="00E0595F">
        <w:rPr>
          <w:highlight w:val="green"/>
        </w:rPr>
        <w:lastRenderedPageBreak/>
        <w:t>If the same/single RS (indicated by a common TCI state ID) is used to provide beam information for the set of configured CCs</w:t>
      </w:r>
    </w:p>
    <w:p w14:paraId="5E0092FB" w14:textId="77777777" w:rsidR="00CC5CB0" w:rsidRPr="00E0595F" w:rsidRDefault="00CC5CB0" w:rsidP="00CC5CB0">
      <w:pPr>
        <w:numPr>
          <w:ilvl w:val="0"/>
          <w:numId w:val="31"/>
        </w:numPr>
        <w:spacing w:after="120" w:line="252" w:lineRule="auto"/>
        <w:ind w:left="2064"/>
        <w:rPr>
          <w:rFonts w:eastAsia="Times New Roman"/>
          <w:highlight w:val="green"/>
        </w:rPr>
      </w:pPr>
      <w:r w:rsidRPr="00E0595F">
        <w:rPr>
          <w:rFonts w:eastAsia="Times New Roman"/>
          <w:highlight w:val="green"/>
        </w:rPr>
        <w:t>Re-use requirement for single-CC.</w:t>
      </w:r>
    </w:p>
    <w:p w14:paraId="571384C5" w14:textId="77777777" w:rsidR="00CC5CB0" w:rsidRPr="00E0595F" w:rsidRDefault="00CC5CB0" w:rsidP="00CC5CB0">
      <w:pPr>
        <w:numPr>
          <w:ilvl w:val="0"/>
          <w:numId w:val="31"/>
        </w:numPr>
        <w:spacing w:after="120" w:line="252" w:lineRule="auto"/>
        <w:ind w:left="2064"/>
        <w:rPr>
          <w:rFonts w:eastAsia="Times New Roman"/>
          <w:highlight w:val="green"/>
        </w:rPr>
      </w:pPr>
      <w:r w:rsidRPr="00E0595F">
        <w:rPr>
          <w:rFonts w:eastAsia="Times New Roman"/>
          <w:highlight w:val="green"/>
        </w:rPr>
        <w:t>The SCS should be the smallest SCS within all CCs;</w:t>
      </w:r>
    </w:p>
    <w:p w14:paraId="22D94E63" w14:textId="77777777" w:rsidR="00CC5CB0" w:rsidRPr="00E0595F" w:rsidRDefault="00CC5CB0" w:rsidP="00CC5CB0">
      <w:pPr>
        <w:numPr>
          <w:ilvl w:val="0"/>
          <w:numId w:val="31"/>
        </w:numPr>
        <w:spacing w:after="120" w:line="252" w:lineRule="auto"/>
        <w:ind w:left="2064"/>
        <w:rPr>
          <w:rFonts w:eastAsia="Times New Roman"/>
          <w:highlight w:val="green"/>
          <w:lang w:val="en-US"/>
        </w:rPr>
      </w:pPr>
      <w:r w:rsidRPr="00E0595F">
        <w:rPr>
          <w:rFonts w:eastAsia="Times New Roman"/>
          <w:highlight w:val="green"/>
        </w:rPr>
        <w:t>take a note in the spec for TCI switching delay requirement in CA case:</w:t>
      </w:r>
    </w:p>
    <w:p w14:paraId="05A0F71F" w14:textId="77777777" w:rsidR="00CC5CB0" w:rsidRPr="00E0595F" w:rsidRDefault="00CC5CB0" w:rsidP="00CC5CB0">
      <w:pPr>
        <w:pStyle w:val="ListParagraph"/>
        <w:numPr>
          <w:ilvl w:val="2"/>
          <w:numId w:val="30"/>
        </w:numPr>
        <w:overflowPunct/>
        <w:autoSpaceDE/>
        <w:adjustRightInd/>
        <w:spacing w:after="120" w:line="252" w:lineRule="auto"/>
        <w:ind w:left="2244" w:firstLineChars="0"/>
        <w:textAlignment w:val="auto"/>
        <w:rPr>
          <w:rFonts w:eastAsiaTheme="minorHAnsi"/>
          <w:highlight w:val="green"/>
        </w:rPr>
      </w:pPr>
      <w:r w:rsidRPr="00E0595F">
        <w:rPr>
          <w:highlight w:val="green"/>
        </w:rPr>
        <w:t>The requirements of Rel-17 unified TCI switching delay are applicable to CA cases based on the rule of reference BWP/CC selection in TS38.214.</w:t>
      </w:r>
    </w:p>
    <w:p w14:paraId="0B351ADC" w14:textId="77777777" w:rsidR="00CC5CB0" w:rsidRPr="00E0595F" w:rsidRDefault="00CC5CB0" w:rsidP="00CC5CB0">
      <w:pPr>
        <w:numPr>
          <w:ilvl w:val="0"/>
          <w:numId w:val="31"/>
        </w:numPr>
        <w:spacing w:after="120" w:line="252" w:lineRule="auto"/>
        <w:ind w:left="2064"/>
        <w:rPr>
          <w:rFonts w:eastAsia="Times New Roman"/>
          <w:highlight w:val="green"/>
        </w:rPr>
      </w:pPr>
      <w:r w:rsidRPr="00E0595F">
        <w:rPr>
          <w:rFonts w:eastAsia="Times New Roman"/>
          <w:highlight w:val="green"/>
        </w:rPr>
        <w:t>FFS: if the RS in the TCI state provides QCL-TypeD</w:t>
      </w:r>
    </w:p>
    <w:p w14:paraId="0F541F0D" w14:textId="77777777" w:rsidR="00CC5CB0" w:rsidRPr="00E0595F" w:rsidRDefault="00CC5CB0" w:rsidP="00CC5CB0">
      <w:pPr>
        <w:pStyle w:val="ListParagraph"/>
        <w:numPr>
          <w:ilvl w:val="0"/>
          <w:numId w:val="43"/>
        </w:numPr>
        <w:overflowPunct/>
        <w:autoSpaceDE/>
        <w:adjustRightInd/>
        <w:spacing w:after="120" w:line="252" w:lineRule="auto"/>
        <w:ind w:left="1572" w:firstLineChars="0"/>
        <w:textAlignment w:val="auto"/>
        <w:rPr>
          <w:highlight w:val="green"/>
        </w:rPr>
      </w:pPr>
      <w:r w:rsidRPr="00E0595F">
        <w:rPr>
          <w:highlight w:val="green"/>
        </w:rPr>
        <w:t>FFS: If different RS in CC set is used to provide beam information, or TCI states involve QCL-A or QCL-C/QCL-TypeB, the requirement be defined per CC respectively.</w:t>
      </w:r>
    </w:p>
    <w:p w14:paraId="54F9F50E" w14:textId="77777777" w:rsidR="00091A51" w:rsidRPr="00B9017C" w:rsidRDefault="00091A51" w:rsidP="00A65595">
      <w:pPr>
        <w:rPr>
          <w:rFonts w:eastAsiaTheme="minorEastAsia"/>
          <w:color w:val="0070C0"/>
          <w:lang w:eastAsia="zh-CN"/>
        </w:rPr>
      </w:pPr>
    </w:p>
    <w:p w14:paraId="13120868" w14:textId="458FF34B" w:rsidR="00687D40" w:rsidRDefault="00687D40" w:rsidP="00687D40">
      <w:pPr>
        <w:pStyle w:val="Heading1"/>
        <w:rPr>
          <w:rFonts w:eastAsiaTheme="minorEastAsia"/>
          <w:lang w:eastAsia="zh-CN"/>
        </w:rPr>
      </w:pPr>
      <w:r>
        <w:rPr>
          <w:lang w:eastAsia="ja-JP"/>
        </w:rPr>
        <w:t>W</w:t>
      </w:r>
      <w:r w:rsidR="00BC7441">
        <w:rPr>
          <w:rFonts w:hint="eastAsia"/>
          <w:lang w:eastAsia="zh-CN"/>
        </w:rPr>
        <w:t>ay</w:t>
      </w:r>
      <w:r w:rsidR="00BC7441">
        <w:rPr>
          <w:lang w:eastAsia="ja-JP"/>
        </w:rPr>
        <w:t xml:space="preserve"> </w:t>
      </w:r>
      <w:r>
        <w:rPr>
          <w:lang w:eastAsia="ja-JP"/>
        </w:rPr>
        <w:t>F</w:t>
      </w:r>
      <w:r w:rsidR="00BC7441">
        <w:rPr>
          <w:rFonts w:hint="eastAsia"/>
          <w:lang w:eastAsia="zh-CN"/>
        </w:rPr>
        <w:t>orward</w:t>
      </w:r>
      <w:r w:rsidR="00BC7441">
        <w:rPr>
          <w:lang w:eastAsia="zh-CN"/>
        </w:rPr>
        <w:t xml:space="preserve"> </w:t>
      </w:r>
      <w:r w:rsidR="00BC7441">
        <w:rPr>
          <w:rFonts w:hint="eastAsia"/>
          <w:lang w:eastAsia="zh-CN"/>
        </w:rPr>
        <w:t>o</w:t>
      </w:r>
      <w:r w:rsidR="00BC7441">
        <w:rPr>
          <w:lang w:eastAsia="zh-CN"/>
        </w:rPr>
        <w:t xml:space="preserve">n </w:t>
      </w:r>
      <w:r w:rsidR="00307B04">
        <w:rPr>
          <w:rFonts w:eastAsiaTheme="minorEastAsia"/>
          <w:lang w:eastAsia="zh-CN"/>
        </w:rPr>
        <w:t>Unified TCI state</w:t>
      </w:r>
    </w:p>
    <w:p w14:paraId="38427CAE" w14:textId="08D80E55" w:rsidR="00910F22" w:rsidRDefault="00217166" w:rsidP="009C0F6B">
      <w:pPr>
        <w:pStyle w:val="Heading3"/>
        <w:numPr>
          <w:ilvl w:val="0"/>
          <w:numId w:val="0"/>
        </w:numPr>
        <w:spacing w:before="240"/>
        <w:rPr>
          <w:sz w:val="24"/>
          <w:szCs w:val="16"/>
        </w:rPr>
      </w:pPr>
      <w:r>
        <w:rPr>
          <w:sz w:val="24"/>
          <w:szCs w:val="16"/>
        </w:rPr>
        <w:t xml:space="preserve">2.1 </w:t>
      </w:r>
      <w:r w:rsidR="00910F22">
        <w:rPr>
          <w:sz w:val="24"/>
          <w:szCs w:val="16"/>
        </w:rPr>
        <w:t>Sub-topic 1-1: Definition of beam alignment</w:t>
      </w:r>
    </w:p>
    <w:p w14:paraId="3600CD53" w14:textId="77777777" w:rsidR="00307B04" w:rsidRPr="0011258D" w:rsidRDefault="00307B04" w:rsidP="00307B04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1-1-1 Beam alignment assumption if PL-RS is included in UL TCI or joint TCI</w:t>
      </w:r>
    </w:p>
    <w:p w14:paraId="56F6A382" w14:textId="77777777" w:rsidR="00265A20" w:rsidRPr="00265A20" w:rsidRDefault="00265A20" w:rsidP="00F162F4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240"/>
        <w:ind w:left="720" w:firstLineChars="0"/>
        <w:textAlignment w:val="auto"/>
        <w:rPr>
          <w:rFonts w:eastAsia="Yu Mincho"/>
          <w:lang w:val="sv-SE" w:eastAsia="zh-CN"/>
        </w:rPr>
      </w:pPr>
      <w:r w:rsidRPr="00265A20">
        <w:rPr>
          <w:rFonts w:eastAsia="Yu Mincho"/>
          <w:lang w:val="sv-SE" w:eastAsia="zh-CN"/>
        </w:rPr>
        <w:t>PL-RS is identical to the source RS in UL or joint TCI</w:t>
      </w:r>
    </w:p>
    <w:p w14:paraId="099F895B" w14:textId="77777777" w:rsidR="00E031AB" w:rsidRDefault="00E031AB" w:rsidP="00E05FF4">
      <w:pPr>
        <w:spacing w:after="120"/>
        <w:rPr>
          <w:rFonts w:eastAsiaTheme="minorEastAsia"/>
          <w:b/>
          <w:u w:val="single"/>
          <w:lang w:eastAsia="zh-CN"/>
        </w:rPr>
      </w:pPr>
    </w:p>
    <w:p w14:paraId="15DABD1A" w14:textId="4F7D0116" w:rsidR="00E05FF4" w:rsidRPr="0011258D" w:rsidRDefault="00E05FF4" w:rsidP="00E05FF4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1-1-2 Beam alignment assumption if PL-RS is associated with UL TCI or joint TCI</w:t>
      </w:r>
    </w:p>
    <w:p w14:paraId="67828399" w14:textId="27779DBD" w:rsidR="00E031AB" w:rsidRDefault="001A29BD" w:rsidP="00E031AB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240"/>
        <w:ind w:left="720" w:firstLineChars="0"/>
        <w:textAlignment w:val="auto"/>
        <w:rPr>
          <w:rFonts w:eastAsia="Yu Mincho"/>
          <w:lang w:val="sv-SE" w:eastAsia="zh-CN"/>
        </w:rPr>
      </w:pPr>
      <w:r w:rsidRPr="001A29BD">
        <w:rPr>
          <w:rFonts w:eastAsia="Yu Mincho"/>
          <w:lang w:val="sv-SE" w:eastAsia="zh-CN"/>
        </w:rPr>
        <w:t>PL-RS and source RS in UL or joint TCI are QCL-Type D</w:t>
      </w:r>
    </w:p>
    <w:p w14:paraId="32EB349A" w14:textId="77777777" w:rsidR="00E031AB" w:rsidRPr="00E031AB" w:rsidRDefault="00E031AB" w:rsidP="00E031AB">
      <w:pPr>
        <w:pStyle w:val="ListParagraph"/>
        <w:overflowPunct/>
        <w:autoSpaceDE/>
        <w:autoSpaceDN/>
        <w:adjustRightInd/>
        <w:spacing w:after="240"/>
        <w:ind w:left="720" w:firstLineChars="0" w:firstLine="0"/>
        <w:textAlignment w:val="auto"/>
        <w:rPr>
          <w:rFonts w:eastAsia="Yu Mincho"/>
          <w:lang w:val="sv-SE" w:eastAsia="zh-CN"/>
        </w:rPr>
      </w:pPr>
    </w:p>
    <w:p w14:paraId="629387C8" w14:textId="48650BCD" w:rsidR="005B3787" w:rsidRDefault="00217166" w:rsidP="005B3787">
      <w:pPr>
        <w:pStyle w:val="Heading3"/>
        <w:numPr>
          <w:ilvl w:val="0"/>
          <w:numId w:val="0"/>
        </w:numPr>
        <w:spacing w:before="240"/>
        <w:rPr>
          <w:sz w:val="24"/>
          <w:szCs w:val="16"/>
        </w:rPr>
      </w:pPr>
      <w:r>
        <w:rPr>
          <w:sz w:val="24"/>
          <w:szCs w:val="16"/>
        </w:rPr>
        <w:t xml:space="preserve">2.2 </w:t>
      </w:r>
      <w:r w:rsidR="005B3787">
        <w:rPr>
          <w:sz w:val="24"/>
          <w:szCs w:val="16"/>
        </w:rPr>
        <w:t>Sub-topic 1-2 Switching delay requirements for serving cell</w:t>
      </w:r>
    </w:p>
    <w:p w14:paraId="12EB163A" w14:textId="77777777" w:rsidR="008F12A7" w:rsidRPr="0011258D" w:rsidRDefault="008F12A7" w:rsidP="008F12A7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 xml:space="preserve">Issue 1-2-1 Requirement applicability of DCI based DL and UL TCI state switching delay </w:t>
      </w:r>
    </w:p>
    <w:p w14:paraId="7499AF1F" w14:textId="0AAF0449" w:rsidR="008F12A7" w:rsidRPr="00572073" w:rsidRDefault="008F12A7" w:rsidP="008F12A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i/>
          <w:lang w:val="en-US" w:eastAsia="zh-CN"/>
        </w:rPr>
      </w:pPr>
      <w:r w:rsidRPr="008F12A7">
        <w:rPr>
          <w:rFonts w:eastAsia="Yu Mincho"/>
          <w:lang w:val="sv-SE" w:eastAsia="zh-CN"/>
        </w:rPr>
        <w:t>target TCI state is known</w:t>
      </w:r>
    </w:p>
    <w:p w14:paraId="77441991" w14:textId="7334354A" w:rsidR="00572073" w:rsidRPr="00275754" w:rsidRDefault="00572073" w:rsidP="00572073">
      <w:pPr>
        <w:pStyle w:val="ListParagraph"/>
        <w:numPr>
          <w:ilvl w:val="0"/>
          <w:numId w:val="41"/>
        </w:numPr>
        <w:spacing w:after="240"/>
        <w:ind w:firstLineChars="0"/>
        <w:rPr>
          <w:rFonts w:eastAsia="Yu Mincho"/>
          <w:lang w:val="sv-SE" w:eastAsia="zh-CN"/>
        </w:rPr>
      </w:pPr>
      <w:r w:rsidRPr="00275754">
        <w:rPr>
          <w:rFonts w:eastAsia="Yu Mincho"/>
          <w:lang w:val="sv-SE" w:eastAsia="zh-CN"/>
        </w:rPr>
        <w:t xml:space="preserve">Note: </w:t>
      </w:r>
      <w:r w:rsidRPr="00275754">
        <w:rPr>
          <w:rFonts w:eastAsiaTheme="minorEastAsia"/>
          <w:lang w:val="en-US" w:eastAsia="zh-CN"/>
        </w:rPr>
        <w:t>UL TCI known state will be further clarified</w:t>
      </w:r>
    </w:p>
    <w:p w14:paraId="46E02701" w14:textId="77777777" w:rsidR="008F12A7" w:rsidRPr="008F12A7" w:rsidRDefault="008F12A7" w:rsidP="008F12A7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i/>
          <w:lang w:val="en-US" w:eastAsia="zh-CN"/>
        </w:rPr>
      </w:pPr>
      <w:r w:rsidRPr="008F12A7">
        <w:rPr>
          <w:rFonts w:eastAsia="Yu Mincho"/>
          <w:lang w:val="sv-SE" w:eastAsia="zh-CN"/>
        </w:rPr>
        <w:t>target TCI state is in active TCI state list for DL and joint TCI switch</w:t>
      </w:r>
    </w:p>
    <w:p w14:paraId="20453D30" w14:textId="67BC8880" w:rsidR="008F12A7" w:rsidRDefault="006728C8" w:rsidP="00F162F4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240"/>
        <w:ind w:left="720" w:firstLineChars="0"/>
        <w:textAlignment w:val="auto"/>
        <w:rPr>
          <w:rFonts w:eastAsia="Yu Mincho"/>
          <w:lang w:val="sv-SE" w:eastAsia="zh-CN"/>
        </w:rPr>
      </w:pPr>
      <w:r>
        <w:rPr>
          <w:rFonts w:eastAsia="Yu Mincho"/>
          <w:lang w:val="sv-SE" w:eastAsia="zh-CN"/>
        </w:rPr>
        <w:t xml:space="preserve">FFS: </w:t>
      </w:r>
      <w:r w:rsidR="008F12A7" w:rsidRPr="00F162F4">
        <w:rPr>
          <w:rFonts w:eastAsia="Yu Mincho"/>
          <w:lang w:val="sv-SE" w:eastAsia="zh-CN"/>
        </w:rPr>
        <w:t>target TCI state is maintained for UL and joint TCI state switch.</w:t>
      </w:r>
    </w:p>
    <w:p w14:paraId="6627EAEA" w14:textId="77777777" w:rsidR="00766584" w:rsidRDefault="00766584" w:rsidP="0073348D">
      <w:pPr>
        <w:spacing w:after="120"/>
        <w:rPr>
          <w:rFonts w:eastAsiaTheme="minorEastAsia"/>
          <w:bCs/>
          <w:u w:val="single"/>
          <w:lang w:eastAsia="zh-CN"/>
        </w:rPr>
      </w:pPr>
    </w:p>
    <w:p w14:paraId="22A5F995" w14:textId="4006F669" w:rsidR="0073348D" w:rsidRPr="0011258D" w:rsidRDefault="0073348D" w:rsidP="0073348D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 xml:space="preserve">Issue 1-2-2 Define DCI based DL and UL TCI state switching delay as </w:t>
      </w:r>
    </w:p>
    <w:p w14:paraId="0F17EB96" w14:textId="40DCAF65" w:rsidR="001B3507" w:rsidRDefault="00C150C6" w:rsidP="005F3A69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240"/>
        <w:ind w:left="720" w:firstLineChars="0"/>
        <w:textAlignment w:val="auto"/>
        <w:rPr>
          <w:rFonts w:eastAsia="Yu Mincho"/>
          <w:lang w:val="sv-SE" w:eastAsia="zh-CN"/>
        </w:rPr>
      </w:pPr>
      <w:r w:rsidRPr="00275754">
        <w:rPr>
          <w:rFonts w:eastAsia="Yu Mincho"/>
          <w:lang w:val="sv-SE" w:eastAsia="zh-CN"/>
        </w:rPr>
        <w:t xml:space="preserve">Exact wording will be </w:t>
      </w:r>
      <w:r w:rsidR="007663D8" w:rsidRPr="00275754">
        <w:rPr>
          <w:rFonts w:eastAsia="Yu Mincho"/>
          <w:lang w:val="sv-SE" w:eastAsia="zh-CN"/>
        </w:rPr>
        <w:t>discussed in</w:t>
      </w:r>
      <w:r w:rsidR="001C2073" w:rsidRPr="00275754">
        <w:rPr>
          <w:rFonts w:eastAsia="Yu Mincho"/>
          <w:lang w:val="sv-SE" w:eastAsia="zh-CN"/>
        </w:rPr>
        <w:t xml:space="preserve"> </w:t>
      </w:r>
      <w:r w:rsidR="001C2073" w:rsidRPr="00275754">
        <w:rPr>
          <w:rFonts w:eastAsia="Yu Mincho"/>
          <w:lang w:val="en-US" w:eastAsia="zh-CN"/>
        </w:rPr>
        <w:t>“</w:t>
      </w:r>
      <w:r w:rsidR="005F3A69" w:rsidRPr="00275754">
        <w:rPr>
          <w:rFonts w:eastAsia="Yu Mincho"/>
          <w:lang w:val="sv-SE" w:eastAsia="zh-CN"/>
        </w:rPr>
        <w:t>DraftCR on DCI based DL and UL TCI switching delay requirements</w:t>
      </w:r>
      <w:r w:rsidR="001C2073" w:rsidRPr="00275754">
        <w:rPr>
          <w:rFonts w:eastAsia="Yu Mincho"/>
          <w:lang w:val="sv-SE" w:eastAsia="zh-CN"/>
        </w:rPr>
        <w:t>”</w:t>
      </w:r>
    </w:p>
    <w:p w14:paraId="6D419DFD" w14:textId="77777777" w:rsidR="008009FC" w:rsidRPr="00275754" w:rsidRDefault="008009FC" w:rsidP="008009FC">
      <w:pPr>
        <w:pStyle w:val="ListParagraph"/>
        <w:overflowPunct/>
        <w:autoSpaceDE/>
        <w:autoSpaceDN/>
        <w:adjustRightInd/>
        <w:spacing w:after="240"/>
        <w:ind w:left="720" w:firstLineChars="0" w:firstLine="0"/>
        <w:textAlignment w:val="auto"/>
        <w:rPr>
          <w:rFonts w:eastAsia="Yu Mincho"/>
          <w:lang w:val="sv-SE" w:eastAsia="zh-CN"/>
        </w:rPr>
      </w:pPr>
    </w:p>
    <w:p w14:paraId="3CDCD391" w14:textId="77777777" w:rsidR="00AF3FC0" w:rsidRPr="0011258D" w:rsidRDefault="00AF3FC0" w:rsidP="00AF3FC0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lastRenderedPageBreak/>
        <w:t>Issue 1-2-3 MAC CE based UL TCI state switch when UL TCI switch and RL-RS switch are activated in different MAC CE</w:t>
      </w:r>
    </w:p>
    <w:p w14:paraId="27033F95" w14:textId="077D84AC" w:rsidR="00DD2C7B" w:rsidRDefault="00DD2C7B" w:rsidP="00E87473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240"/>
        <w:ind w:left="720" w:firstLineChars="0"/>
        <w:textAlignment w:val="auto"/>
        <w:rPr>
          <w:rFonts w:eastAsia="Yu Mincho"/>
          <w:lang w:val="sv-SE" w:eastAsia="zh-CN"/>
        </w:rPr>
      </w:pPr>
      <w:r w:rsidRPr="00DD2C7B">
        <w:rPr>
          <w:rFonts w:eastAsia="Yu Mincho"/>
          <w:lang w:val="sv-SE" w:eastAsia="zh-CN"/>
        </w:rPr>
        <w:t>No separate PL-RS switching supported in Rel-17. PL-RS switching delay will be the same as UL TCI state switch delay.</w:t>
      </w:r>
    </w:p>
    <w:p w14:paraId="755763C4" w14:textId="77777777" w:rsidR="00E031AB" w:rsidRDefault="00E031AB" w:rsidP="00E031AB">
      <w:pPr>
        <w:pStyle w:val="ListParagraph"/>
        <w:overflowPunct/>
        <w:autoSpaceDE/>
        <w:autoSpaceDN/>
        <w:adjustRightInd/>
        <w:spacing w:after="240"/>
        <w:ind w:left="720" w:firstLineChars="0" w:firstLine="0"/>
        <w:textAlignment w:val="auto"/>
        <w:rPr>
          <w:rFonts w:eastAsia="Yu Mincho"/>
          <w:lang w:val="sv-SE" w:eastAsia="zh-CN"/>
        </w:rPr>
      </w:pPr>
    </w:p>
    <w:p w14:paraId="59A71B86" w14:textId="2A6799A0" w:rsidR="00B01761" w:rsidRPr="0011258D" w:rsidRDefault="00B01761" w:rsidP="00B01761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1-2-4 TCI state-pair indication requirement</w:t>
      </w:r>
    </w:p>
    <w:p w14:paraId="5A481EE5" w14:textId="77777777" w:rsidR="00E15C3A" w:rsidRDefault="00E15C3A" w:rsidP="00E15C3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Cs/>
          <w:lang w:eastAsia="zh-CN"/>
        </w:rPr>
      </w:pPr>
      <w:r w:rsidRPr="003454AF">
        <w:rPr>
          <w:rFonts w:eastAsiaTheme="minorEastAsia"/>
          <w:bCs/>
          <w:lang w:eastAsia="zh-CN"/>
        </w:rPr>
        <w:t>Proposals</w:t>
      </w:r>
    </w:p>
    <w:p w14:paraId="2BAFCFB5" w14:textId="27C701E7" w:rsidR="00245A12" w:rsidRDefault="00245A12" w:rsidP="00245A12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O</w:t>
      </w:r>
      <w:r>
        <w:rPr>
          <w:rFonts w:eastAsiaTheme="minorEastAsia"/>
          <w:lang w:val="sv-SE" w:eastAsia="zh-CN"/>
        </w:rPr>
        <w:t>ption 1(Apple, MTK, Intel, ZTE, Huawei):</w:t>
      </w:r>
    </w:p>
    <w:p w14:paraId="12C02913" w14:textId="77777777" w:rsidR="00245A12" w:rsidRDefault="00245A12" w:rsidP="00245A12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lang w:val="sv-SE" w:eastAsia="zh-CN"/>
        </w:rPr>
      </w:pPr>
      <w:r>
        <w:rPr>
          <w:lang w:val="sv-SE" w:eastAsia="zh-CN"/>
        </w:rPr>
        <w:t>T</w:t>
      </w:r>
      <w:r w:rsidRPr="00BF75FC">
        <w:rPr>
          <w:lang w:val="sv-SE" w:eastAsia="zh-CN"/>
        </w:rPr>
        <w:t>he TCI state switching delay requirement can be defined for UL TCI and DL TCI switching independently.</w:t>
      </w:r>
    </w:p>
    <w:p w14:paraId="70F47AF7" w14:textId="77777777" w:rsidR="00245A12" w:rsidRPr="00353208" w:rsidRDefault="00245A12" w:rsidP="00245A12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sv-SE" w:eastAsia="zh-CN"/>
        </w:rPr>
      </w:pPr>
      <w:r w:rsidRPr="00353208">
        <w:rPr>
          <w:rFonts w:eastAsiaTheme="minorEastAsia"/>
          <w:lang w:val="sv-SE" w:eastAsia="zh-CN"/>
        </w:rPr>
        <w:t>Option 2 (vivo):</w:t>
      </w:r>
    </w:p>
    <w:p w14:paraId="6E1E575B" w14:textId="77777777" w:rsidR="00245A12" w:rsidRDefault="00245A12" w:rsidP="00245A12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lang w:val="sv-SE" w:eastAsia="zh-CN"/>
        </w:rPr>
      </w:pPr>
      <w:r>
        <w:rPr>
          <w:lang w:val="sv-SE" w:eastAsia="zh-CN"/>
        </w:rPr>
        <w:t>R</w:t>
      </w:r>
      <w:r w:rsidRPr="00353208">
        <w:rPr>
          <w:lang w:val="sv-SE" w:eastAsia="zh-CN"/>
        </w:rPr>
        <w:t>emove the issue here without conclusions since the intention is not clear.</w:t>
      </w:r>
    </w:p>
    <w:p w14:paraId="1D0A2131" w14:textId="59F591DB" w:rsidR="00245A12" w:rsidRPr="00353208" w:rsidRDefault="00245A12" w:rsidP="00245A12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sv-SE" w:eastAsia="zh-CN"/>
        </w:rPr>
      </w:pPr>
      <w:r w:rsidRPr="00353208">
        <w:rPr>
          <w:rFonts w:eastAsiaTheme="minorEastAsia"/>
          <w:lang w:val="sv-SE" w:eastAsia="zh-CN"/>
        </w:rPr>
        <w:t>Option 3(Samsung</w:t>
      </w:r>
      <w:r w:rsidR="00802696">
        <w:rPr>
          <w:rFonts w:eastAsiaTheme="minorEastAsia"/>
          <w:lang w:val="sv-SE" w:eastAsia="zh-CN"/>
        </w:rPr>
        <w:t>,</w:t>
      </w:r>
      <w:r w:rsidR="00802696" w:rsidRPr="00C51E4F">
        <w:rPr>
          <w:rFonts w:eastAsiaTheme="minorEastAsia"/>
          <w:color w:val="FF0000"/>
          <w:lang w:val="sv-SE" w:eastAsia="zh-CN"/>
        </w:rPr>
        <w:t xml:space="preserve"> </w:t>
      </w:r>
      <w:r w:rsidR="00802696" w:rsidRPr="000D0405">
        <w:rPr>
          <w:rFonts w:eastAsiaTheme="minorEastAsia"/>
          <w:lang w:val="sv-SE" w:eastAsia="zh-CN"/>
        </w:rPr>
        <w:t>Nokia</w:t>
      </w:r>
      <w:r w:rsidRPr="00353208">
        <w:rPr>
          <w:rFonts w:eastAsiaTheme="minorEastAsia"/>
          <w:lang w:val="sv-SE" w:eastAsia="zh-CN"/>
        </w:rPr>
        <w:t xml:space="preserve">): </w:t>
      </w:r>
    </w:p>
    <w:p w14:paraId="28A81444" w14:textId="349B59A1" w:rsidR="00245A12" w:rsidRDefault="00245A12" w:rsidP="00830D51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240"/>
        <w:ind w:left="2376" w:firstLineChars="0"/>
        <w:textAlignment w:val="auto"/>
        <w:rPr>
          <w:lang w:val="sv-SE" w:eastAsia="zh-CN"/>
        </w:rPr>
      </w:pPr>
      <w:r>
        <w:rPr>
          <w:lang w:val="sv-SE" w:eastAsia="zh-CN"/>
        </w:rPr>
        <w:t>N</w:t>
      </w:r>
      <w:r w:rsidRPr="00353208">
        <w:rPr>
          <w:lang w:val="sv-SE" w:eastAsia="zh-CN"/>
        </w:rPr>
        <w:t>o requirements for TCI state-pair indication</w:t>
      </w:r>
    </w:p>
    <w:p w14:paraId="46CA400B" w14:textId="77777777" w:rsidR="00E031AB" w:rsidRPr="00353208" w:rsidRDefault="00E031AB" w:rsidP="00E031AB">
      <w:pPr>
        <w:pStyle w:val="ListParagraph"/>
        <w:overflowPunct/>
        <w:autoSpaceDE/>
        <w:autoSpaceDN/>
        <w:adjustRightInd/>
        <w:spacing w:after="240"/>
        <w:ind w:left="2376" w:firstLineChars="0" w:firstLine="0"/>
        <w:textAlignment w:val="auto"/>
        <w:rPr>
          <w:lang w:val="sv-SE" w:eastAsia="zh-CN"/>
        </w:rPr>
      </w:pPr>
    </w:p>
    <w:p w14:paraId="12BB43AE" w14:textId="77777777" w:rsidR="00E15C3A" w:rsidRPr="0011258D" w:rsidRDefault="00E15C3A" w:rsidP="00E15C3A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1-2-5 MAC-CE based UL TCI state switching delay when SSB is indicated as PL-RS in UL TCI state</w:t>
      </w:r>
      <w:r w:rsidRPr="0011258D" w:rsidDel="0044788E">
        <w:rPr>
          <w:rFonts w:eastAsiaTheme="minorEastAsia"/>
          <w:bCs/>
          <w:u w:val="single"/>
          <w:lang w:eastAsia="zh-CN"/>
        </w:rPr>
        <w:t xml:space="preserve"> </w:t>
      </w:r>
      <w:r w:rsidRPr="0011258D">
        <w:rPr>
          <w:rFonts w:eastAsiaTheme="minorEastAsia"/>
          <w:bCs/>
          <w:u w:val="single"/>
          <w:lang w:eastAsia="zh-CN"/>
        </w:rPr>
        <w:t>for FR2</w:t>
      </w:r>
    </w:p>
    <w:p w14:paraId="352030CC" w14:textId="77777777" w:rsidR="00E15C3A" w:rsidRDefault="00E15C3A" w:rsidP="00E15C3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Cs/>
          <w:lang w:eastAsia="zh-CN"/>
        </w:rPr>
      </w:pPr>
      <w:r w:rsidRPr="003454AF">
        <w:rPr>
          <w:rFonts w:eastAsiaTheme="minorEastAsia"/>
          <w:bCs/>
          <w:lang w:eastAsia="zh-CN"/>
        </w:rPr>
        <w:t>Proposals</w:t>
      </w:r>
    </w:p>
    <w:p w14:paraId="2EFCD0A3" w14:textId="77777777" w:rsidR="00E15C3A" w:rsidRDefault="00E15C3A" w:rsidP="00E15C3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Option 1(Huawei):</w:t>
      </w:r>
    </w:p>
    <w:p w14:paraId="33DCBE7A" w14:textId="77777777" w:rsidR="00E15C3A" w:rsidRPr="0004473D" w:rsidRDefault="00E15C3A" w:rsidP="00E15C3A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lang w:val="sv-SE" w:eastAsia="zh-CN"/>
        </w:rPr>
      </w:pPr>
      <w:r w:rsidRPr="0004473D">
        <w:rPr>
          <w:lang w:val="sv-SE" w:eastAsia="zh-CN"/>
        </w:rPr>
        <w:t>When a SSB is indicated as PL-RS in a UL TCI state, the scaling factor for beam sweeping needs to be introduced for PL-RS measurement time in FR2.</w:t>
      </w:r>
    </w:p>
    <w:p w14:paraId="3684302D" w14:textId="77777777" w:rsidR="00E15C3A" w:rsidRPr="0004473D" w:rsidRDefault="00E15C3A" w:rsidP="00E15C3A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lang w:val="sv-SE" w:eastAsia="zh-CN"/>
        </w:rPr>
      </w:pPr>
      <w:r w:rsidRPr="0004473D">
        <w:rPr>
          <w:lang w:val="sv-SE" w:eastAsia="zh-CN"/>
        </w:rPr>
        <w:lastRenderedPageBreak/>
        <w:t>In FR2, the MAC-CE based UL TCI state switching delay need to be separately defined for SSB based PL-RS.</w:t>
      </w:r>
    </w:p>
    <w:p w14:paraId="083910BB" w14:textId="77777777" w:rsidR="00E15C3A" w:rsidRPr="007C0233" w:rsidRDefault="00E15C3A" w:rsidP="00E15C3A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Theme="minorEastAsia"/>
          <w:bCs/>
          <w:iCs/>
          <w:lang w:val="en-US" w:eastAsia="zh-CN"/>
        </w:rPr>
      </w:pPr>
      <w:r w:rsidRPr="007C0233">
        <w:rPr>
          <w:rFonts w:eastAsiaTheme="minorEastAsia"/>
          <w:bCs/>
          <w:iCs/>
          <w:lang w:val="en-US" w:eastAsia="zh-CN"/>
        </w:rPr>
        <w:t>In FR2, when a SSB is indicated as PL-RS in a UL TCI state, the MAC-CE based UL TCI state switching delay for both known case and unknown case can be defined as:</w:t>
      </w:r>
    </w:p>
    <w:p w14:paraId="10439C5F" w14:textId="77777777" w:rsidR="00E15C3A" w:rsidRPr="007C0233" w:rsidRDefault="00E15C3A" w:rsidP="00E15C3A">
      <w:pPr>
        <w:pStyle w:val="ListParagraph"/>
        <w:numPr>
          <w:ilvl w:val="2"/>
          <w:numId w:val="30"/>
        </w:numPr>
        <w:overflowPunct/>
        <w:autoSpaceDE/>
        <w:autoSpaceDN/>
        <w:adjustRightInd/>
        <w:spacing w:after="120"/>
        <w:ind w:left="2880" w:firstLineChars="0"/>
        <w:textAlignment w:val="auto"/>
        <w:rPr>
          <w:rFonts w:eastAsiaTheme="minorEastAsia"/>
          <w:bCs/>
          <w:iCs/>
          <w:lang w:val="en-US" w:eastAsia="zh-CN"/>
        </w:rPr>
      </w:pPr>
      <w:r w:rsidRPr="007C0233">
        <w:rPr>
          <w:rFonts w:eastAsiaTheme="minorEastAsia"/>
          <w:bCs/>
          <w:iCs/>
          <w:lang w:val="en-US" w:eastAsia="zh-CN"/>
        </w:rPr>
        <w:t>T</w:t>
      </w:r>
      <w:r w:rsidRPr="007C0233">
        <w:rPr>
          <w:rFonts w:eastAsiaTheme="minorEastAsia"/>
          <w:bCs/>
          <w:iCs/>
          <w:vertAlign w:val="subscript"/>
          <w:lang w:val="en-US" w:eastAsia="zh-CN"/>
        </w:rPr>
        <w:t>HARQ</w:t>
      </w:r>
      <w:r w:rsidRPr="007C0233">
        <w:rPr>
          <w:rFonts w:eastAsiaTheme="minorEastAsia"/>
          <w:bCs/>
          <w:iCs/>
          <w:lang w:val="en-US" w:eastAsia="zh-CN"/>
        </w:rPr>
        <w:t xml:space="preserve"> + 3ms + NM*(5*T</w:t>
      </w:r>
      <w:r w:rsidRPr="007C0233">
        <w:rPr>
          <w:rFonts w:eastAsiaTheme="minorEastAsia"/>
          <w:bCs/>
          <w:iCs/>
          <w:vertAlign w:val="subscript"/>
          <w:lang w:val="en-US" w:eastAsia="zh-CN"/>
        </w:rPr>
        <w:t>L1-RSRP_SSB</w:t>
      </w:r>
      <w:r w:rsidRPr="007C0233">
        <w:rPr>
          <w:rFonts w:eastAsiaTheme="minorEastAsia"/>
          <w:bCs/>
          <w:iCs/>
          <w:lang w:val="en-US" w:eastAsia="zh-CN"/>
        </w:rPr>
        <w:t xml:space="preserve"> + 2ms) with the assumption of M=1. </w:t>
      </w:r>
    </w:p>
    <w:p w14:paraId="0CD2921A" w14:textId="77777777" w:rsidR="00E15C3A" w:rsidRPr="007C0233" w:rsidRDefault="00E15C3A" w:rsidP="00E15C3A">
      <w:pPr>
        <w:pStyle w:val="ListParagraph"/>
        <w:numPr>
          <w:ilvl w:val="2"/>
          <w:numId w:val="30"/>
        </w:numPr>
        <w:overflowPunct/>
        <w:autoSpaceDE/>
        <w:autoSpaceDN/>
        <w:adjustRightInd/>
        <w:spacing w:after="120"/>
        <w:ind w:left="2880" w:firstLineChars="0"/>
        <w:textAlignment w:val="auto"/>
        <w:rPr>
          <w:rFonts w:eastAsiaTheme="minorEastAsia"/>
          <w:bCs/>
          <w:iCs/>
          <w:lang w:val="en-US" w:eastAsia="zh-CN"/>
        </w:rPr>
      </w:pPr>
      <w:r w:rsidRPr="007C0233">
        <w:rPr>
          <w:rFonts w:eastAsiaTheme="minorEastAsia"/>
          <w:bCs/>
          <w:iCs/>
          <w:lang w:val="en-US" w:eastAsia="zh-CN"/>
        </w:rPr>
        <w:t>Where NM = 1, if the target PL-RS is not maintained by the UE, 0 otherwise.</w:t>
      </w:r>
    </w:p>
    <w:p w14:paraId="053B9BA8" w14:textId="77777777" w:rsidR="00E15C3A" w:rsidRPr="00353208" w:rsidRDefault="00E15C3A" w:rsidP="00E15C3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bCs/>
          <w:lang w:eastAsia="zh-CN"/>
        </w:rPr>
      </w:pPr>
      <w:r w:rsidRPr="00353208">
        <w:rPr>
          <w:rFonts w:eastAsiaTheme="minorEastAsia"/>
          <w:bCs/>
          <w:lang w:eastAsia="zh-CN"/>
        </w:rPr>
        <w:t>Option 1a(Apple):</w:t>
      </w:r>
      <w:r>
        <w:rPr>
          <w:rFonts w:eastAsiaTheme="minorEastAsia"/>
          <w:bCs/>
          <w:lang w:eastAsia="zh-CN"/>
        </w:rPr>
        <w:t xml:space="preserve"> The delay is</w:t>
      </w:r>
    </w:p>
    <w:p w14:paraId="5ACF35F3" w14:textId="77777777" w:rsidR="00E15C3A" w:rsidRPr="00353208" w:rsidRDefault="00E15C3A" w:rsidP="00E15C3A">
      <w:pPr>
        <w:pStyle w:val="ListParagraph"/>
        <w:numPr>
          <w:ilvl w:val="2"/>
          <w:numId w:val="30"/>
        </w:numPr>
        <w:overflowPunct/>
        <w:autoSpaceDE/>
        <w:autoSpaceDN/>
        <w:adjustRightInd/>
        <w:spacing w:after="120"/>
        <w:ind w:left="2880" w:firstLineChars="0"/>
        <w:textAlignment w:val="auto"/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Cs/>
          <w:iCs/>
          <w:lang w:val="en-US" w:eastAsia="zh-CN"/>
        </w:rPr>
        <w:t xml:space="preserve"> T</w:t>
      </w:r>
      <w:r>
        <w:rPr>
          <w:rFonts w:eastAsiaTheme="minorEastAsia"/>
          <w:bCs/>
          <w:iCs/>
          <w:vertAlign w:val="subscript"/>
          <w:lang w:val="en-US" w:eastAsia="zh-CN"/>
        </w:rPr>
        <w:t>FirstSSB</w:t>
      </w:r>
      <w:r>
        <w:rPr>
          <w:rFonts w:eastAsiaTheme="minorEastAsia"/>
          <w:bCs/>
          <w:iCs/>
          <w:lang w:val="en-US" w:eastAsia="zh-CN"/>
        </w:rPr>
        <w:t xml:space="preserve"> + 39*T</w:t>
      </w:r>
      <w:r>
        <w:rPr>
          <w:rFonts w:eastAsiaTheme="minorEastAsia"/>
          <w:bCs/>
          <w:iCs/>
          <w:vertAlign w:val="subscript"/>
          <w:lang w:val="en-US" w:eastAsia="zh-CN"/>
        </w:rPr>
        <w:t>SSB</w:t>
      </w:r>
    </w:p>
    <w:p w14:paraId="5A5594C6" w14:textId="77777777" w:rsidR="00E15C3A" w:rsidRDefault="00E15C3A" w:rsidP="00E15C3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Option 2(Ericsson): </w:t>
      </w:r>
    </w:p>
    <w:p w14:paraId="2039668B" w14:textId="77777777" w:rsidR="00E15C3A" w:rsidRDefault="00E15C3A" w:rsidP="00E15C3A">
      <w:pPr>
        <w:pStyle w:val="ListParagraph"/>
        <w:numPr>
          <w:ilvl w:val="2"/>
          <w:numId w:val="30"/>
        </w:numPr>
        <w:overflowPunct/>
        <w:autoSpaceDE/>
        <w:autoSpaceDN/>
        <w:adjustRightInd/>
        <w:spacing w:after="120"/>
        <w:ind w:left="2880" w:firstLineChars="0"/>
        <w:textAlignment w:val="auto"/>
        <w:rPr>
          <w:rFonts w:eastAsiaTheme="minorEastAsia"/>
          <w:bCs/>
          <w:lang w:eastAsia="zh-CN"/>
        </w:rPr>
      </w:pPr>
      <w:r>
        <w:t>T</w:t>
      </w:r>
      <w:r>
        <w:rPr>
          <w:vertAlign w:val="subscript"/>
        </w:rPr>
        <w:t>L1-RSRP_SSB</w:t>
      </w:r>
      <w:r>
        <w:rPr>
          <w:lang w:val="fr-FR"/>
        </w:rPr>
        <w:t xml:space="preserve"> as (M*P)*T</w:t>
      </w:r>
      <w:r>
        <w:rPr>
          <w:vertAlign w:val="subscript"/>
          <w:lang w:val="fr-FR"/>
        </w:rPr>
        <w:t>SSB</w:t>
      </w:r>
    </w:p>
    <w:p w14:paraId="551FAA93" w14:textId="77777777" w:rsidR="00E15C3A" w:rsidRDefault="00E15C3A" w:rsidP="00E15C3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bCs/>
          <w:lang w:eastAsia="zh-CN"/>
        </w:rPr>
      </w:pPr>
      <w:r w:rsidRPr="00353208">
        <w:rPr>
          <w:rFonts w:eastAsiaTheme="minorEastAsia"/>
          <w:bCs/>
          <w:lang w:eastAsia="zh-CN"/>
        </w:rPr>
        <w:t xml:space="preserve">Option </w:t>
      </w:r>
      <w:r>
        <w:rPr>
          <w:rFonts w:eastAsiaTheme="minorEastAsia"/>
          <w:bCs/>
          <w:lang w:eastAsia="zh-CN"/>
        </w:rPr>
        <w:t>3(Nokia, Samsung)</w:t>
      </w:r>
      <w:r w:rsidRPr="00353208">
        <w:rPr>
          <w:rFonts w:eastAsiaTheme="minorEastAsia"/>
          <w:bCs/>
          <w:lang w:eastAsia="zh-CN"/>
        </w:rPr>
        <w:t xml:space="preserve">: </w:t>
      </w:r>
      <w:r>
        <w:rPr>
          <w:rFonts w:eastAsiaTheme="minorEastAsia"/>
          <w:bCs/>
          <w:lang w:eastAsia="zh-CN"/>
        </w:rPr>
        <w:t>D</w:t>
      </w:r>
      <w:r w:rsidRPr="00353208">
        <w:rPr>
          <w:rFonts w:eastAsiaTheme="minorEastAsia"/>
          <w:bCs/>
          <w:lang w:eastAsia="zh-CN"/>
        </w:rPr>
        <w:t>efine generic requirement</w:t>
      </w:r>
    </w:p>
    <w:p w14:paraId="3ADFBF91" w14:textId="5807B592" w:rsidR="00E15C3A" w:rsidRDefault="00E15C3A" w:rsidP="00830D51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240"/>
        <w:ind w:left="1656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Option 4: Further clarification is needed</w:t>
      </w:r>
    </w:p>
    <w:p w14:paraId="3ACD7822" w14:textId="77777777" w:rsidR="00E031AB" w:rsidRDefault="00E031AB" w:rsidP="00E031AB">
      <w:pPr>
        <w:pStyle w:val="ListParagraph"/>
        <w:overflowPunct/>
        <w:autoSpaceDE/>
        <w:autoSpaceDN/>
        <w:adjustRightInd/>
        <w:spacing w:after="240"/>
        <w:ind w:left="1656" w:firstLineChars="0" w:firstLine="0"/>
        <w:textAlignment w:val="auto"/>
        <w:rPr>
          <w:rFonts w:eastAsiaTheme="minorEastAsia"/>
          <w:bCs/>
          <w:lang w:eastAsia="zh-CN"/>
        </w:rPr>
      </w:pPr>
    </w:p>
    <w:p w14:paraId="6E62A7EF" w14:textId="1866A684" w:rsidR="00932989" w:rsidRPr="0011258D" w:rsidRDefault="003F6382" w:rsidP="003F6382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 xml:space="preserve">Issue 1-2-6 </w:t>
      </w:r>
      <w:r w:rsidR="00932989" w:rsidRPr="0011258D">
        <w:rPr>
          <w:rFonts w:eastAsiaTheme="minorEastAsia"/>
          <w:bCs/>
          <w:u w:val="single"/>
          <w:lang w:eastAsia="zh-CN"/>
        </w:rPr>
        <w:t>TCI state list for PDCCH and PDSCH</w:t>
      </w:r>
    </w:p>
    <w:p w14:paraId="424BB100" w14:textId="77867EE0" w:rsidR="0019013B" w:rsidRDefault="0019013B" w:rsidP="00200BD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240" w:line="259" w:lineRule="auto"/>
        <w:ind w:left="720" w:firstLineChars="0"/>
        <w:textAlignment w:val="auto"/>
        <w:rPr>
          <w:lang w:val="sv-SE" w:eastAsia="zh-CN"/>
        </w:rPr>
      </w:pPr>
      <w:r w:rsidRPr="0019013B">
        <w:rPr>
          <w:lang w:val="sv-SE" w:eastAsia="zh-CN"/>
        </w:rPr>
        <w:t>While re-using existing MAC-CE based TCI switching delay requirements for DL TCI switching delay requirements for PDCCH and PDSCH, the TCI state list consider</w:t>
      </w:r>
      <w:r w:rsidR="00FA2597">
        <w:rPr>
          <w:lang w:val="sv-SE" w:eastAsia="zh-CN"/>
        </w:rPr>
        <w:t>ed</w:t>
      </w:r>
      <w:r w:rsidR="00DA3C65">
        <w:rPr>
          <w:lang w:val="sv-SE" w:eastAsia="zh-CN"/>
        </w:rPr>
        <w:t xml:space="preserve"> </w:t>
      </w:r>
      <w:r w:rsidR="00FA2597">
        <w:rPr>
          <w:lang w:val="sv-SE" w:eastAsia="zh-CN"/>
        </w:rPr>
        <w:t xml:space="preserve">should </w:t>
      </w:r>
      <w:r w:rsidRPr="0019013B">
        <w:rPr>
          <w:lang w:val="sv-SE" w:eastAsia="zh-CN"/>
        </w:rPr>
        <w:t>not be only for PDSCH.</w:t>
      </w:r>
    </w:p>
    <w:p w14:paraId="7DBE3EFF" w14:textId="77777777" w:rsidR="00E031AB" w:rsidRPr="0019013B" w:rsidRDefault="00E031AB" w:rsidP="00E031AB">
      <w:pPr>
        <w:pStyle w:val="ListParagraph"/>
        <w:overflowPunct/>
        <w:autoSpaceDE/>
        <w:autoSpaceDN/>
        <w:adjustRightInd/>
        <w:spacing w:after="240" w:line="259" w:lineRule="auto"/>
        <w:ind w:left="720" w:firstLineChars="0" w:firstLine="0"/>
        <w:textAlignment w:val="auto"/>
        <w:rPr>
          <w:lang w:val="sv-SE" w:eastAsia="zh-CN"/>
        </w:rPr>
      </w:pPr>
    </w:p>
    <w:p w14:paraId="7ED921EB" w14:textId="57D966AF" w:rsidR="00B9590F" w:rsidRPr="0011258D" w:rsidRDefault="00B9590F" w:rsidP="0011258D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1-2-7 Whether NM is allowed to be equal to 1 in Rel-17 specification</w:t>
      </w:r>
    </w:p>
    <w:p w14:paraId="03E96992" w14:textId="0683C4EF" w:rsidR="000F352B" w:rsidRDefault="000F352B" w:rsidP="00830D51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240" w:line="259" w:lineRule="auto"/>
        <w:ind w:left="720" w:firstLineChars="0"/>
        <w:textAlignment w:val="auto"/>
        <w:rPr>
          <w:lang w:val="sv-SE" w:eastAsia="zh-CN"/>
        </w:rPr>
      </w:pPr>
      <w:r w:rsidRPr="000F352B">
        <w:rPr>
          <w:lang w:val="sv-SE" w:eastAsia="zh-CN"/>
        </w:rPr>
        <w:t xml:space="preserve">RAN4 to agree that NM=1 is allowed in Rel-17 and shall define requirements for non-maintained case. </w:t>
      </w:r>
    </w:p>
    <w:p w14:paraId="0826C7E4" w14:textId="77777777" w:rsidR="00E031AB" w:rsidRDefault="00E031AB" w:rsidP="00E031AB">
      <w:pPr>
        <w:pStyle w:val="ListParagraph"/>
        <w:overflowPunct/>
        <w:autoSpaceDE/>
        <w:autoSpaceDN/>
        <w:adjustRightInd/>
        <w:spacing w:after="240" w:line="259" w:lineRule="auto"/>
        <w:ind w:left="720" w:firstLineChars="0" w:firstLine="0"/>
        <w:textAlignment w:val="auto"/>
        <w:rPr>
          <w:lang w:val="sv-SE" w:eastAsia="zh-CN"/>
        </w:rPr>
      </w:pPr>
    </w:p>
    <w:p w14:paraId="6DE3EB6B" w14:textId="613B5F3D" w:rsidR="001D5E6B" w:rsidRDefault="00255204" w:rsidP="00255204">
      <w:pPr>
        <w:pStyle w:val="Heading3"/>
        <w:numPr>
          <w:ilvl w:val="0"/>
          <w:numId w:val="0"/>
        </w:numPr>
        <w:spacing w:before="240"/>
        <w:rPr>
          <w:sz w:val="24"/>
          <w:szCs w:val="16"/>
        </w:rPr>
      </w:pPr>
      <w:r>
        <w:rPr>
          <w:sz w:val="24"/>
          <w:szCs w:val="16"/>
        </w:rPr>
        <w:t xml:space="preserve">2.3 </w:t>
      </w:r>
      <w:r w:rsidR="001D5E6B">
        <w:rPr>
          <w:sz w:val="24"/>
          <w:szCs w:val="16"/>
        </w:rPr>
        <w:t>Sub-topic 1-3 Switching delay requirements when SSB is associated with cell with different PCI</w:t>
      </w:r>
    </w:p>
    <w:p w14:paraId="459DF63B" w14:textId="7EE9295B" w:rsidR="00037860" w:rsidRPr="0011258D" w:rsidRDefault="00037860" w:rsidP="00037860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1-3-2 TCI state switch delay requirement for known cell case</w:t>
      </w:r>
    </w:p>
    <w:p w14:paraId="7A13F6EB" w14:textId="77777777" w:rsidR="00037860" w:rsidRPr="00037860" w:rsidRDefault="00037860" w:rsidP="00037860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lang w:val="sv-SE" w:eastAsia="zh-CN"/>
        </w:rPr>
      </w:pPr>
      <w:r w:rsidRPr="00037860">
        <w:rPr>
          <w:lang w:val="sv-SE" w:eastAsia="zh-CN"/>
        </w:rPr>
        <w:t>For the case when the non-serving cell is known and the target TCI state is known, the same TCI state switch delay requirement as serving cell can be reused.</w:t>
      </w:r>
    </w:p>
    <w:p w14:paraId="6AF4A070" w14:textId="52CF18BE" w:rsidR="00037860" w:rsidRDefault="00037860" w:rsidP="00E031AB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240"/>
        <w:ind w:left="720" w:firstLineChars="0"/>
        <w:textAlignment w:val="auto"/>
        <w:rPr>
          <w:lang w:val="sv-SE" w:eastAsia="zh-CN"/>
        </w:rPr>
      </w:pPr>
      <w:r w:rsidRPr="00037860">
        <w:rPr>
          <w:lang w:val="sv-SE" w:eastAsia="zh-CN"/>
        </w:rPr>
        <w:t>For the case when the non-serving cell is known and the target TCI state is unknown, the same TCI state switch delay requirement as serving cell can be reused.</w:t>
      </w:r>
    </w:p>
    <w:p w14:paraId="6DF52396" w14:textId="77777777" w:rsidR="00E031AB" w:rsidRPr="00037860" w:rsidRDefault="00E031AB" w:rsidP="00E031AB">
      <w:pPr>
        <w:pStyle w:val="ListParagraph"/>
        <w:overflowPunct/>
        <w:autoSpaceDE/>
        <w:autoSpaceDN/>
        <w:adjustRightInd/>
        <w:spacing w:after="240"/>
        <w:ind w:left="720" w:firstLineChars="0" w:firstLine="0"/>
        <w:textAlignment w:val="auto"/>
        <w:rPr>
          <w:lang w:val="sv-SE" w:eastAsia="zh-CN"/>
        </w:rPr>
      </w:pPr>
    </w:p>
    <w:p w14:paraId="07087EDD" w14:textId="77777777" w:rsidR="00B604B4" w:rsidRPr="0011258D" w:rsidRDefault="00B604B4" w:rsidP="00B604B4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1-3-4 Whether introduce the interruption requirement due to TCI state switch associated with different PCI</w:t>
      </w:r>
    </w:p>
    <w:p w14:paraId="02094680" w14:textId="68B4B2F7" w:rsidR="00021BCA" w:rsidRPr="00275754" w:rsidRDefault="00021BCA" w:rsidP="00275754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240"/>
        <w:ind w:left="720" w:firstLineChars="0"/>
        <w:textAlignment w:val="auto"/>
        <w:rPr>
          <w:lang w:val="sv-SE" w:eastAsia="zh-CN"/>
        </w:rPr>
      </w:pPr>
      <w:r w:rsidRPr="00275754">
        <w:rPr>
          <w:lang w:val="sv-SE" w:eastAsia="zh-CN"/>
        </w:rPr>
        <w:t>Not to consider this case. A UE assumes that the active BWPs of serving cell and non-serving cell is same for TCI switching.</w:t>
      </w:r>
    </w:p>
    <w:p w14:paraId="26E6BD50" w14:textId="77777777" w:rsidR="00E031AB" w:rsidRPr="00275754" w:rsidRDefault="00E031AB" w:rsidP="00E031AB">
      <w:pPr>
        <w:pStyle w:val="ListParagraph"/>
        <w:overflowPunct/>
        <w:autoSpaceDE/>
        <w:autoSpaceDN/>
        <w:adjustRightInd/>
        <w:spacing w:after="240" w:line="259" w:lineRule="auto"/>
        <w:ind w:left="2376" w:firstLineChars="0" w:firstLine="0"/>
        <w:textAlignment w:val="auto"/>
        <w:rPr>
          <w:rFonts w:eastAsiaTheme="minorEastAsia"/>
          <w:bCs/>
          <w:lang w:val="en-US" w:eastAsia="zh-CN"/>
        </w:rPr>
      </w:pPr>
    </w:p>
    <w:p w14:paraId="6467283C" w14:textId="77777777" w:rsidR="00E044C2" w:rsidRPr="0011258D" w:rsidRDefault="00E044C2" w:rsidP="0011258D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1-3-5 Whether to only consider SSB based L1-RSRP measurement for cell with different PCI</w:t>
      </w:r>
    </w:p>
    <w:p w14:paraId="30CE053B" w14:textId="7CF97CE7" w:rsidR="00E044C2" w:rsidRDefault="00E044C2" w:rsidP="00E031AB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240" w:line="259" w:lineRule="auto"/>
        <w:ind w:left="720" w:firstLineChars="0"/>
        <w:textAlignment w:val="auto"/>
        <w:rPr>
          <w:lang w:val="sv-SE" w:eastAsia="zh-CN"/>
        </w:rPr>
      </w:pPr>
      <w:r>
        <w:rPr>
          <w:lang w:val="sv-SE" w:eastAsia="zh-CN"/>
        </w:rPr>
        <w:t>Only consider SSB based L1-RSRP measurement for RX beam refinement in Rel-17.</w:t>
      </w:r>
    </w:p>
    <w:p w14:paraId="0A3997C4" w14:textId="77777777" w:rsidR="00E031AB" w:rsidRDefault="00E031AB" w:rsidP="00E031AB">
      <w:pPr>
        <w:pStyle w:val="ListParagraph"/>
        <w:overflowPunct/>
        <w:autoSpaceDE/>
        <w:autoSpaceDN/>
        <w:adjustRightInd/>
        <w:spacing w:after="240" w:line="259" w:lineRule="auto"/>
        <w:ind w:left="720" w:firstLineChars="0" w:firstLine="0"/>
        <w:textAlignment w:val="auto"/>
        <w:rPr>
          <w:lang w:val="sv-SE" w:eastAsia="zh-CN"/>
        </w:rPr>
      </w:pPr>
    </w:p>
    <w:p w14:paraId="275240E4" w14:textId="6936CB1A" w:rsidR="004D5C24" w:rsidRPr="0011258D" w:rsidRDefault="004D5C24" w:rsidP="004D5C24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1-3-6 Update of known conditions for associated DL-RS</w:t>
      </w:r>
    </w:p>
    <w:p w14:paraId="1C4273F6" w14:textId="77777777" w:rsidR="00A17A23" w:rsidRPr="00AE1B2B" w:rsidRDefault="00A17A23" w:rsidP="00A17A23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240" w:line="259" w:lineRule="auto"/>
        <w:ind w:left="720" w:firstLineChars="0"/>
        <w:textAlignment w:val="auto"/>
        <w:rPr>
          <w:rFonts w:eastAsia="Malgun Gothic" w:cs="v4.2.0"/>
          <w:lang w:eastAsia="zh-CN"/>
        </w:rPr>
      </w:pPr>
      <w:r w:rsidRPr="00AE1B2B">
        <w:rPr>
          <w:rFonts w:eastAsia="Malgun Gothic" w:cs="v4.2.0"/>
          <w:lang w:val="en-US" w:eastAsia="zh-CN"/>
        </w:rPr>
        <w:t>T</w:t>
      </w:r>
      <w:r w:rsidRPr="00AE1B2B">
        <w:rPr>
          <w:rFonts w:eastAsia="Malgun Gothic" w:cs="v4.2.0"/>
          <w:lang w:eastAsia="zh-CN"/>
        </w:rPr>
        <w:t>he downlink TCI state is known if the following conditions are met:</w:t>
      </w:r>
    </w:p>
    <w:p w14:paraId="3C67761D" w14:textId="77777777" w:rsidR="00A17A23" w:rsidRPr="00AE1B2B" w:rsidRDefault="00A17A23" w:rsidP="00A17A23">
      <w:pPr>
        <w:ind w:left="568" w:hanging="284"/>
      </w:pPr>
      <w:r w:rsidRPr="00AE1B2B">
        <w:rPr>
          <w:lang w:eastAsia="zh-CN"/>
        </w:rPr>
        <w:t>-</w:t>
      </w:r>
      <w:r w:rsidRPr="00AE1B2B">
        <w:rPr>
          <w:lang w:eastAsia="zh-CN"/>
        </w:rPr>
        <w:tab/>
        <w:t xml:space="preserve">During the period from the last transmission of the RS resource used for the L1-RSRP measurement reporting </w:t>
      </w:r>
      <w:r w:rsidRPr="00AE1B2B">
        <w:t xml:space="preserve">for the target </w:t>
      </w:r>
      <w:r w:rsidRPr="00AE1B2B">
        <w:rPr>
          <w:rFonts w:eastAsia="Malgun Gothic" w:cs="v4.2.0"/>
          <w:lang w:eastAsia="zh-CN"/>
        </w:rPr>
        <w:t xml:space="preserve">downlink </w:t>
      </w:r>
      <w:r w:rsidRPr="00AE1B2B">
        <w:t xml:space="preserve">TCI state to the completion of active </w:t>
      </w:r>
      <w:r w:rsidRPr="00AE1B2B">
        <w:rPr>
          <w:rFonts w:eastAsia="Malgun Gothic" w:cs="v4.2.0"/>
          <w:lang w:eastAsia="zh-CN"/>
        </w:rPr>
        <w:t xml:space="preserve">downlink </w:t>
      </w:r>
      <w:r w:rsidRPr="00AE1B2B">
        <w:t xml:space="preserve">TCI state switch, where the RS resource for L1-RSRP measurement is the RS in target </w:t>
      </w:r>
      <w:r w:rsidRPr="00AE1B2B">
        <w:rPr>
          <w:rFonts w:eastAsia="Malgun Gothic" w:cs="v4.2.0"/>
          <w:lang w:eastAsia="zh-CN"/>
        </w:rPr>
        <w:t xml:space="preserve">downlink </w:t>
      </w:r>
      <w:r w:rsidRPr="00AE1B2B">
        <w:t xml:space="preserve">TCI state or QCLed to the target </w:t>
      </w:r>
      <w:r w:rsidRPr="00AE1B2B">
        <w:rPr>
          <w:rFonts w:eastAsia="Malgun Gothic" w:cs="v4.2.0"/>
          <w:lang w:eastAsia="zh-CN"/>
        </w:rPr>
        <w:t xml:space="preserve">downlink </w:t>
      </w:r>
      <w:r w:rsidRPr="00AE1B2B">
        <w:t>TCI state</w:t>
      </w:r>
    </w:p>
    <w:p w14:paraId="682B16E4" w14:textId="77777777" w:rsidR="00A17A23" w:rsidRPr="00AE1B2B" w:rsidRDefault="00A17A23" w:rsidP="00A17A23">
      <w:pPr>
        <w:ind w:left="851" w:hanging="284"/>
        <w:rPr>
          <w:lang w:eastAsia="zh-CN"/>
        </w:rPr>
      </w:pPr>
      <w:r w:rsidRPr="00AE1B2B">
        <w:rPr>
          <w:lang w:eastAsia="zh-CN"/>
        </w:rPr>
        <w:t>-</w:t>
      </w:r>
      <w:r w:rsidRPr="00AE1B2B">
        <w:rPr>
          <w:lang w:eastAsia="zh-CN"/>
        </w:rPr>
        <w:tab/>
      </w:r>
      <w:r w:rsidRPr="00AE1B2B">
        <w:rPr>
          <w:rFonts w:eastAsia="Malgun Gothic" w:cs="v4.2.0"/>
          <w:lang w:eastAsia="zh-CN"/>
        </w:rPr>
        <w:t xml:space="preserve">Downlink </w:t>
      </w:r>
      <w:r w:rsidRPr="00AE1B2B">
        <w:rPr>
          <w:lang w:eastAsia="zh-CN"/>
        </w:rPr>
        <w:t>TCI state switch command is received within 1280 ms upon the last transmission of the RS resource for beam reporting or measurement</w:t>
      </w:r>
    </w:p>
    <w:p w14:paraId="581A194B" w14:textId="77777777" w:rsidR="00A17A23" w:rsidRPr="00AE1B2B" w:rsidRDefault="00A17A23" w:rsidP="00A17A23">
      <w:pPr>
        <w:ind w:left="851" w:hanging="284"/>
        <w:rPr>
          <w:lang w:eastAsia="zh-CN"/>
        </w:rPr>
      </w:pPr>
      <w:r w:rsidRPr="00AE1B2B">
        <w:rPr>
          <w:lang w:eastAsia="zh-CN"/>
        </w:rPr>
        <w:t>-</w:t>
      </w:r>
      <w:r w:rsidRPr="00AE1B2B">
        <w:rPr>
          <w:lang w:eastAsia="zh-CN"/>
        </w:rPr>
        <w:tab/>
        <w:t xml:space="preserve">The UE has sent at least 1 L1-RSRP report for the target </w:t>
      </w:r>
      <w:r w:rsidRPr="00AE1B2B">
        <w:rPr>
          <w:rFonts w:eastAsia="Malgun Gothic" w:cs="v4.2.0"/>
          <w:lang w:eastAsia="zh-CN"/>
        </w:rPr>
        <w:t xml:space="preserve">downlink </w:t>
      </w:r>
      <w:r w:rsidRPr="00AE1B2B">
        <w:rPr>
          <w:lang w:eastAsia="zh-CN"/>
        </w:rPr>
        <w:t xml:space="preserve">TCI state before the </w:t>
      </w:r>
      <w:r w:rsidRPr="00AE1B2B">
        <w:rPr>
          <w:rFonts w:eastAsia="Malgun Gothic" w:cs="v4.2.0"/>
          <w:lang w:eastAsia="zh-CN"/>
        </w:rPr>
        <w:t xml:space="preserve">downlink </w:t>
      </w:r>
      <w:r w:rsidRPr="00AE1B2B">
        <w:rPr>
          <w:lang w:eastAsia="zh-CN"/>
        </w:rPr>
        <w:t>TCI state switch command</w:t>
      </w:r>
    </w:p>
    <w:p w14:paraId="7C4944BC" w14:textId="77777777" w:rsidR="00A17A23" w:rsidRPr="00AE1B2B" w:rsidRDefault="00A17A23" w:rsidP="00A17A23">
      <w:pPr>
        <w:ind w:left="851" w:hanging="284"/>
        <w:rPr>
          <w:lang w:eastAsia="zh-CN"/>
        </w:rPr>
      </w:pPr>
      <w:r w:rsidRPr="00AE1B2B">
        <w:rPr>
          <w:lang w:eastAsia="zh-CN"/>
        </w:rPr>
        <w:t>-</w:t>
      </w:r>
      <w:r w:rsidRPr="00AE1B2B">
        <w:rPr>
          <w:lang w:eastAsia="zh-CN"/>
        </w:rPr>
        <w:tab/>
        <w:t xml:space="preserve">The </w:t>
      </w:r>
      <w:r w:rsidRPr="00AE1B2B">
        <w:t xml:space="preserve">target </w:t>
      </w:r>
      <w:r w:rsidRPr="00AE1B2B">
        <w:rPr>
          <w:rFonts w:eastAsia="Malgun Gothic" w:cs="v4.2.0"/>
          <w:lang w:eastAsia="zh-CN"/>
        </w:rPr>
        <w:t xml:space="preserve">downlink </w:t>
      </w:r>
      <w:r w:rsidRPr="00AE1B2B">
        <w:rPr>
          <w:lang w:eastAsia="zh-CN"/>
        </w:rPr>
        <w:t>TCI state remains detectable during the</w:t>
      </w:r>
      <w:r w:rsidRPr="00AE1B2B">
        <w:rPr>
          <w:rFonts w:eastAsia="Malgun Gothic" w:cs="v4.2.0"/>
          <w:lang w:eastAsia="zh-CN"/>
        </w:rPr>
        <w:t xml:space="preserve"> downlink</w:t>
      </w:r>
      <w:r w:rsidRPr="00AE1B2B">
        <w:rPr>
          <w:lang w:eastAsia="zh-CN"/>
        </w:rPr>
        <w:t xml:space="preserve"> TCI state switching period</w:t>
      </w:r>
    </w:p>
    <w:p w14:paraId="21DECF1E" w14:textId="77777777" w:rsidR="00A17A23" w:rsidRPr="00AE1B2B" w:rsidRDefault="00A17A23" w:rsidP="00A17A23">
      <w:pPr>
        <w:ind w:left="851" w:hanging="284"/>
        <w:rPr>
          <w:lang w:eastAsia="zh-CN"/>
        </w:rPr>
      </w:pPr>
      <w:r w:rsidRPr="00AE1B2B">
        <w:rPr>
          <w:lang w:eastAsia="zh-CN"/>
        </w:rPr>
        <w:t>-</w:t>
      </w:r>
      <w:r w:rsidRPr="00AE1B2B">
        <w:rPr>
          <w:lang w:eastAsia="zh-CN"/>
        </w:rPr>
        <w:tab/>
      </w:r>
      <w:bookmarkStart w:id="0" w:name="_Hlk18067072"/>
      <w:r w:rsidRPr="00AE1B2B">
        <w:rPr>
          <w:lang w:eastAsia="zh-CN"/>
        </w:rPr>
        <w:t xml:space="preserve">The SSB associated with the </w:t>
      </w:r>
      <w:r w:rsidRPr="00AE1B2B">
        <w:rPr>
          <w:rFonts w:eastAsia="Malgun Gothic" w:cs="v4.2.0"/>
          <w:lang w:eastAsia="zh-CN"/>
        </w:rPr>
        <w:t xml:space="preserve">downlink </w:t>
      </w:r>
      <w:r w:rsidRPr="00AE1B2B">
        <w:rPr>
          <w:lang w:eastAsia="zh-CN"/>
        </w:rPr>
        <w:t xml:space="preserve">TCI state remain detectable during the </w:t>
      </w:r>
      <w:r w:rsidRPr="00AE1B2B">
        <w:rPr>
          <w:rFonts w:eastAsia="Malgun Gothic" w:cs="v4.2.0"/>
          <w:lang w:eastAsia="zh-CN"/>
        </w:rPr>
        <w:t xml:space="preserve">downlink </w:t>
      </w:r>
      <w:r w:rsidRPr="00AE1B2B">
        <w:rPr>
          <w:lang w:eastAsia="zh-CN"/>
        </w:rPr>
        <w:t>TCI switching period</w:t>
      </w:r>
      <w:bookmarkEnd w:id="0"/>
    </w:p>
    <w:p w14:paraId="7BBC7E3F" w14:textId="77777777" w:rsidR="00A17A23" w:rsidRPr="00AE1B2B" w:rsidRDefault="00A17A23" w:rsidP="00A17A23">
      <w:pPr>
        <w:ind w:left="1135" w:hanging="284"/>
        <w:rPr>
          <w:lang w:eastAsia="zh-CN"/>
        </w:rPr>
      </w:pPr>
      <w:r w:rsidRPr="00AE1B2B">
        <w:rPr>
          <w:lang w:eastAsia="zh-CN"/>
        </w:rPr>
        <w:t>-</w:t>
      </w:r>
      <w:r w:rsidRPr="00AE1B2B">
        <w:rPr>
          <w:lang w:eastAsia="zh-CN"/>
        </w:rPr>
        <w:tab/>
        <w:t xml:space="preserve">SNR of the </w:t>
      </w:r>
      <w:r w:rsidRPr="00AE1B2B">
        <w:rPr>
          <w:rFonts w:eastAsia="Malgun Gothic" w:cs="v4.2.0"/>
          <w:lang w:eastAsia="zh-CN"/>
        </w:rPr>
        <w:t xml:space="preserve">downlink </w:t>
      </w:r>
      <w:r w:rsidRPr="00AE1B2B">
        <w:rPr>
          <w:lang w:eastAsia="zh-CN"/>
        </w:rPr>
        <w:t xml:space="preserve">TCI state </w:t>
      </w:r>
      <w:r w:rsidRPr="00AE1B2B">
        <w:rPr>
          <w:rFonts w:eastAsia="Calibri"/>
        </w:rPr>
        <w:t>≥</w:t>
      </w:r>
      <w:r w:rsidRPr="00AE1B2B">
        <w:rPr>
          <w:lang w:eastAsia="zh-CN"/>
        </w:rPr>
        <w:t xml:space="preserve"> -3dB</w:t>
      </w:r>
    </w:p>
    <w:p w14:paraId="09443A9D" w14:textId="77777777" w:rsidR="00A17A23" w:rsidRPr="00AE1B2B" w:rsidRDefault="00A17A23" w:rsidP="00A17A23">
      <w:pPr>
        <w:ind w:left="1135" w:hanging="284"/>
        <w:rPr>
          <w:lang w:eastAsia="zh-CN"/>
        </w:rPr>
      </w:pPr>
      <w:r w:rsidRPr="00AE1B2B">
        <w:rPr>
          <w:lang w:eastAsia="zh-CN"/>
        </w:rPr>
        <w:t>-</w:t>
      </w:r>
      <w:r w:rsidRPr="00AE1B2B">
        <w:rPr>
          <w:lang w:eastAsia="zh-CN"/>
        </w:rPr>
        <w:tab/>
        <w:t xml:space="preserve">The SSB can be associated with either the </w:t>
      </w:r>
      <w:r w:rsidRPr="00AE1B2B">
        <w:t>serving cell</w:t>
      </w:r>
      <w:r w:rsidRPr="00AE1B2B">
        <w:rPr>
          <w:lang w:eastAsia="zh-CN"/>
        </w:rPr>
        <w:t xml:space="preserve"> PCI or a PCI different from serving cell PCI.</w:t>
      </w:r>
    </w:p>
    <w:p w14:paraId="52B91B29" w14:textId="34C997E2" w:rsidR="00AE6254" w:rsidRDefault="00AE6254" w:rsidP="00686A43">
      <w:pPr>
        <w:spacing w:after="120"/>
        <w:rPr>
          <w:rFonts w:eastAsiaTheme="minorEastAsia"/>
          <w:b/>
          <w:u w:val="single"/>
          <w:lang w:eastAsia="zh-CN"/>
        </w:rPr>
      </w:pPr>
    </w:p>
    <w:p w14:paraId="34D4921E" w14:textId="77777777" w:rsidR="008A0FF1" w:rsidRDefault="008A0FF1" w:rsidP="00686A43">
      <w:pPr>
        <w:spacing w:after="120"/>
        <w:rPr>
          <w:rFonts w:eastAsiaTheme="minorEastAsia"/>
          <w:b/>
          <w:u w:val="single"/>
          <w:lang w:eastAsia="zh-CN"/>
        </w:rPr>
      </w:pPr>
    </w:p>
    <w:p w14:paraId="62ACAD5F" w14:textId="36F1A80E" w:rsidR="00287471" w:rsidRPr="00287471" w:rsidRDefault="008D77DF" w:rsidP="00DB45F5">
      <w:pPr>
        <w:pStyle w:val="Heading3"/>
        <w:numPr>
          <w:ilvl w:val="0"/>
          <w:numId w:val="0"/>
        </w:numPr>
        <w:spacing w:before="240"/>
        <w:rPr>
          <w:sz w:val="24"/>
          <w:szCs w:val="16"/>
        </w:rPr>
      </w:pPr>
      <w:r>
        <w:rPr>
          <w:sz w:val="24"/>
          <w:szCs w:val="16"/>
        </w:rPr>
        <w:t xml:space="preserve">2. 4 </w:t>
      </w:r>
      <w:r w:rsidR="00287471" w:rsidRPr="00287471">
        <w:rPr>
          <w:sz w:val="24"/>
          <w:szCs w:val="16"/>
        </w:rPr>
        <w:t>Sub-topic 1-4 Delay requirements for common TCI state switching in CA case</w:t>
      </w:r>
    </w:p>
    <w:p w14:paraId="7D87CEF7" w14:textId="759E3DE3" w:rsidR="00686A43" w:rsidRPr="0011258D" w:rsidRDefault="00686A43" w:rsidP="00686A43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1-4-1 Known condition in CA scenario</w:t>
      </w:r>
    </w:p>
    <w:p w14:paraId="5E1BE253" w14:textId="77777777" w:rsidR="00686A43" w:rsidRDefault="00686A43" w:rsidP="00686A43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lang w:val="sv-SE" w:eastAsia="zh-CN"/>
        </w:rPr>
      </w:pPr>
      <w:r>
        <w:rPr>
          <w:rFonts w:hint="eastAsia"/>
          <w:lang w:val="sv-SE" w:eastAsia="zh-CN"/>
        </w:rPr>
        <w:t>Proposal</w:t>
      </w:r>
      <w:r>
        <w:rPr>
          <w:lang w:val="sv-SE" w:eastAsia="zh-CN"/>
        </w:rPr>
        <w:t>s</w:t>
      </w:r>
    </w:p>
    <w:p w14:paraId="6EC66915" w14:textId="77777777" w:rsidR="00686A43" w:rsidRDefault="00686A43" w:rsidP="00686A43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 w:line="259" w:lineRule="auto"/>
        <w:ind w:left="1440" w:firstLineChars="0"/>
        <w:textAlignment w:val="auto"/>
        <w:rPr>
          <w:lang w:val="sv-SE" w:eastAsia="zh-CN"/>
        </w:rPr>
      </w:pPr>
      <w:r>
        <w:rPr>
          <w:lang w:val="sv-SE" w:eastAsia="zh-CN"/>
        </w:rPr>
        <w:t>Option 1(ZTE):</w:t>
      </w:r>
    </w:p>
    <w:p w14:paraId="4CBA5027" w14:textId="77777777" w:rsidR="00686A43" w:rsidRDefault="00686A43" w:rsidP="00686A43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val="sv-SE" w:eastAsia="zh-CN"/>
        </w:rPr>
      </w:pPr>
      <w:r>
        <w:rPr>
          <w:lang w:val="sv-SE" w:eastAsia="zh-CN"/>
        </w:rPr>
        <w:t xml:space="preserve">Reuse the existing known condition. </w:t>
      </w:r>
      <w:r>
        <w:rPr>
          <w:rFonts w:hint="eastAsia"/>
          <w:lang w:val="sv-SE" w:eastAsia="zh-CN"/>
        </w:rPr>
        <w:t>Once the source RS of target TCI state is known for each CC in the intra-band CC group, which means the known condition is satisfied.</w:t>
      </w:r>
    </w:p>
    <w:p w14:paraId="22A1B605" w14:textId="2E75F9BC" w:rsidR="00686A43" w:rsidRDefault="00686A43" w:rsidP="00686A43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 w:line="259" w:lineRule="auto"/>
        <w:ind w:left="1440" w:firstLineChars="0"/>
        <w:textAlignment w:val="auto"/>
        <w:rPr>
          <w:lang w:val="sv-SE" w:eastAsia="zh-CN"/>
        </w:rPr>
      </w:pPr>
      <w:r>
        <w:rPr>
          <w:lang w:val="sv-SE" w:eastAsia="zh-CN"/>
        </w:rPr>
        <w:t>Option 2 (Intel, Nokia, vivo, Ericsson, Samsung, MTK</w:t>
      </w:r>
      <w:r w:rsidR="00E54581">
        <w:rPr>
          <w:lang w:val="sv-SE" w:eastAsia="zh-CN"/>
        </w:rPr>
        <w:t>, ZTE</w:t>
      </w:r>
      <w:r>
        <w:rPr>
          <w:lang w:val="sv-SE" w:eastAsia="zh-CN"/>
        </w:rPr>
        <w:t>):</w:t>
      </w:r>
    </w:p>
    <w:p w14:paraId="30D0AD17" w14:textId="77777777" w:rsidR="00686A43" w:rsidRDefault="00686A43" w:rsidP="00686A43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val="sv-SE" w:eastAsia="zh-CN"/>
        </w:rPr>
      </w:pPr>
      <w:r>
        <w:rPr>
          <w:lang w:val="sv-SE" w:eastAsia="zh-CN"/>
        </w:rPr>
        <w:t xml:space="preserve">If the associated RS in common TCI state provides QCL-TypeD, the known condition can only consider whether the associated RS in the reference CC is known or not. </w:t>
      </w:r>
    </w:p>
    <w:p w14:paraId="508D2BF0" w14:textId="22C7817E" w:rsidR="00686A43" w:rsidRDefault="00686A43" w:rsidP="00686A43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 w:line="259" w:lineRule="auto"/>
        <w:ind w:left="1440" w:firstLineChars="0"/>
        <w:textAlignment w:val="auto"/>
        <w:rPr>
          <w:lang w:val="sv-SE" w:eastAsia="zh-CN"/>
        </w:rPr>
      </w:pPr>
      <w:r>
        <w:rPr>
          <w:lang w:val="sv-SE" w:eastAsia="zh-CN"/>
        </w:rPr>
        <w:t>Option 3(Apple</w:t>
      </w:r>
      <w:r w:rsidR="00E54581">
        <w:rPr>
          <w:lang w:val="sv-SE" w:eastAsia="zh-CN"/>
        </w:rPr>
        <w:t>, ZTE</w:t>
      </w:r>
      <w:r>
        <w:rPr>
          <w:lang w:val="sv-SE" w:eastAsia="zh-CN"/>
        </w:rPr>
        <w:t>):</w:t>
      </w:r>
    </w:p>
    <w:p w14:paraId="52DB7532" w14:textId="5E7FF8C4" w:rsidR="00686A43" w:rsidRPr="00E031AB" w:rsidRDefault="00686A43" w:rsidP="00686A43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val="sv-SE" w:eastAsia="zh-CN"/>
        </w:rPr>
      </w:pPr>
      <w:r>
        <w:rPr>
          <w:bCs/>
          <w:lang w:eastAsia="ja-JP"/>
        </w:rPr>
        <w:t>The known condition should be dependent on shared RS or different RS.</w:t>
      </w:r>
    </w:p>
    <w:p w14:paraId="16E52E16" w14:textId="77777777" w:rsidR="00E031AB" w:rsidRPr="00A5549D" w:rsidRDefault="00E031AB" w:rsidP="00E031AB">
      <w:pPr>
        <w:spacing w:after="120" w:line="252" w:lineRule="auto"/>
        <w:ind w:left="2790"/>
        <w:rPr>
          <w:rFonts w:eastAsia="Times New Roman"/>
          <w:lang w:val="sv-SE"/>
        </w:rPr>
      </w:pPr>
    </w:p>
    <w:p w14:paraId="62234D2D" w14:textId="24095508" w:rsidR="006D33AA" w:rsidRPr="006D33AA" w:rsidRDefault="008D77DF" w:rsidP="00DB45F5">
      <w:pPr>
        <w:pStyle w:val="Heading3"/>
        <w:numPr>
          <w:ilvl w:val="0"/>
          <w:numId w:val="0"/>
        </w:numPr>
        <w:spacing w:before="240"/>
        <w:rPr>
          <w:sz w:val="24"/>
          <w:szCs w:val="16"/>
        </w:rPr>
      </w:pPr>
      <w:r>
        <w:rPr>
          <w:sz w:val="24"/>
          <w:szCs w:val="16"/>
        </w:rPr>
        <w:lastRenderedPageBreak/>
        <w:t xml:space="preserve">2.5 </w:t>
      </w:r>
      <w:r w:rsidR="006D33AA" w:rsidRPr="006D33AA">
        <w:rPr>
          <w:sz w:val="24"/>
          <w:szCs w:val="16"/>
        </w:rPr>
        <w:t>Sub-topic 1-5 Requirements for PL-RS switching delay indicated by unified TCI</w:t>
      </w:r>
    </w:p>
    <w:p w14:paraId="4CBD9EAF" w14:textId="5C3D17DA" w:rsidR="0054509B" w:rsidRPr="0011258D" w:rsidRDefault="0054509B" w:rsidP="0054509B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1-5-1 Whether to define MAC CE based PL-RS switching requirement when PL-RS is unknown</w:t>
      </w:r>
    </w:p>
    <w:p w14:paraId="6CDCD8B4" w14:textId="77777777" w:rsidR="00AC358B" w:rsidRDefault="00AC358B" w:rsidP="00AC358B">
      <w:pPr>
        <w:pStyle w:val="ListParagraph"/>
        <w:numPr>
          <w:ilvl w:val="0"/>
          <w:numId w:val="5"/>
        </w:numPr>
        <w:overflowPunct/>
        <w:autoSpaceDE/>
        <w:adjustRightInd/>
        <w:spacing w:after="120" w:line="252" w:lineRule="auto"/>
        <w:ind w:left="720" w:firstLineChars="0"/>
        <w:textAlignment w:val="auto"/>
        <w:rPr>
          <w:lang w:eastAsia="zh-CN"/>
        </w:rPr>
      </w:pPr>
      <w:r>
        <w:t>Proposals</w:t>
      </w:r>
    </w:p>
    <w:p w14:paraId="671798A0" w14:textId="47E065F5" w:rsidR="0054509B" w:rsidRDefault="0054509B" w:rsidP="0054509B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Option 1(Intel</w:t>
      </w:r>
      <w:r w:rsidR="00AF5051">
        <w:rPr>
          <w:rFonts w:eastAsiaTheme="minorEastAsia"/>
          <w:lang w:val="sv-SE" w:eastAsia="zh-CN"/>
        </w:rPr>
        <w:t>, Ericsson, ZTE</w:t>
      </w:r>
      <w:r>
        <w:rPr>
          <w:rFonts w:eastAsiaTheme="minorEastAsia"/>
          <w:lang w:val="sv-SE" w:eastAsia="zh-CN"/>
        </w:rPr>
        <w:t xml:space="preserve">): </w:t>
      </w:r>
    </w:p>
    <w:p w14:paraId="0F47151C" w14:textId="73CAA7CB" w:rsidR="0054509B" w:rsidRDefault="0054509B" w:rsidP="0054509B">
      <w:pPr>
        <w:pStyle w:val="ListParagraph"/>
        <w:numPr>
          <w:ilvl w:val="2"/>
          <w:numId w:val="30"/>
        </w:numPr>
        <w:overflowPunct/>
        <w:autoSpaceDE/>
        <w:autoSpaceDN/>
        <w:adjustRightInd/>
        <w:spacing w:after="120" w:line="259" w:lineRule="auto"/>
        <w:ind w:firstLineChars="0"/>
        <w:textAlignment w:val="auto"/>
      </w:pPr>
      <w:r>
        <w:t>Re-use MAC CE based UL TCI state switch delay of unknown case.</w:t>
      </w:r>
    </w:p>
    <w:p w14:paraId="350184A0" w14:textId="06B44212" w:rsidR="0054509B" w:rsidRDefault="0054509B" w:rsidP="0054509B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</w:pPr>
      <w:r>
        <w:rPr>
          <w:rFonts w:eastAsiaTheme="minorEastAsia"/>
          <w:bCs/>
          <w:lang w:eastAsia="zh-CN"/>
        </w:rPr>
        <w:t xml:space="preserve">Option 2(Nokia): </w:t>
      </w:r>
    </w:p>
    <w:p w14:paraId="1649C379" w14:textId="77777777" w:rsidR="0054509B" w:rsidRDefault="0054509B" w:rsidP="0054509B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</w:pPr>
      <w:r>
        <w:t xml:space="preserve">Not to define PL-RS switching delay requirement when PL-RS is identical to the source RS in UL/Joint-TCI </w:t>
      </w:r>
      <w:r>
        <w:rPr>
          <w:b/>
          <w:bCs/>
        </w:rPr>
        <w:t>AND</w:t>
      </w:r>
      <w:r>
        <w:t xml:space="preserve"> when the target PL-RS is unknown.</w:t>
      </w:r>
    </w:p>
    <w:p w14:paraId="26DCA82A" w14:textId="77777777" w:rsidR="0054509B" w:rsidRDefault="0054509B" w:rsidP="0054509B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rFonts w:eastAsiaTheme="minorEastAsia"/>
          <w:u w:val="single"/>
          <w:lang w:eastAsia="ko-KR"/>
        </w:rPr>
      </w:pPr>
      <w:r>
        <w:t xml:space="preserve">Apply MAC-CE based UL TCI switching delay requirement of </w:t>
      </w:r>
      <w:r>
        <w:rPr>
          <w:b/>
          <w:bCs/>
        </w:rPr>
        <w:t>known</w:t>
      </w:r>
      <w:r>
        <w:t xml:space="preserve"> UL target TCI state,  when target PL-RS and source RS in UL/joint TCI are QCL-Type-D </w:t>
      </w:r>
      <w:r>
        <w:rPr>
          <w:b/>
          <w:bCs/>
        </w:rPr>
        <w:t>AND</w:t>
      </w:r>
      <w:r>
        <w:t xml:space="preserve"> </w:t>
      </w:r>
      <w:r>
        <w:rPr>
          <w:rFonts w:eastAsiaTheme="minorEastAsia" w:hint="eastAsia"/>
          <w:u w:val="single"/>
          <w:lang w:eastAsia="ko-KR"/>
        </w:rPr>
        <w:t xml:space="preserve"> </w:t>
      </w:r>
    </w:p>
    <w:p w14:paraId="7A2C175D" w14:textId="77777777" w:rsidR="0054509B" w:rsidRDefault="0054509B" w:rsidP="0054509B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 w:line="259" w:lineRule="auto"/>
        <w:ind w:firstLineChars="0"/>
        <w:textAlignment w:val="auto"/>
      </w:pPr>
      <w:r>
        <w:t>when the UL target TCI state is known but</w:t>
      </w:r>
      <w:r>
        <w:rPr>
          <w:rFonts w:eastAsiaTheme="minorEastAsia" w:hint="eastAsia"/>
          <w:lang w:eastAsia="ko-KR"/>
        </w:rPr>
        <w:t xml:space="preserve"> </w:t>
      </w:r>
      <w:r>
        <w:t xml:space="preserve">when the target pathloss reference signal is unknown  </w:t>
      </w:r>
      <w:r>
        <w:rPr>
          <w:b/>
          <w:bCs/>
        </w:rPr>
        <w:t>OR</w:t>
      </w:r>
    </w:p>
    <w:p w14:paraId="08894F43" w14:textId="7125BE4F" w:rsidR="0054509B" w:rsidRDefault="0054509B" w:rsidP="0054509B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 w:line="259" w:lineRule="auto"/>
        <w:ind w:firstLineChars="0"/>
        <w:textAlignment w:val="auto"/>
      </w:pPr>
      <w:r>
        <w:t>when the UL target TCI state is unknown but</w:t>
      </w:r>
      <w:r>
        <w:rPr>
          <w:rFonts w:eastAsiaTheme="minorEastAsia" w:hint="eastAsia"/>
          <w:lang w:eastAsia="ko-KR"/>
        </w:rPr>
        <w:t xml:space="preserve"> </w:t>
      </w:r>
      <w:r>
        <w:t>when the target pathloss reference signal is known.</w:t>
      </w:r>
    </w:p>
    <w:p w14:paraId="25F6D8AC" w14:textId="77777777" w:rsidR="0057204D" w:rsidRPr="00106A70" w:rsidRDefault="0057204D" w:rsidP="0057204D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bCs/>
          <w:lang w:eastAsia="zh-CN"/>
        </w:rPr>
      </w:pPr>
      <w:r w:rsidRPr="00106A70">
        <w:rPr>
          <w:rFonts w:eastAsiaTheme="minorEastAsia"/>
          <w:bCs/>
          <w:lang w:eastAsia="zh-CN"/>
        </w:rPr>
        <w:t xml:space="preserve">Option 3: </w:t>
      </w:r>
      <w:r>
        <w:rPr>
          <w:rFonts w:eastAsiaTheme="minorEastAsia"/>
          <w:bCs/>
          <w:lang w:eastAsia="zh-CN"/>
        </w:rPr>
        <w:t>N</w:t>
      </w:r>
      <w:r w:rsidRPr="00106A70">
        <w:rPr>
          <w:rFonts w:eastAsiaTheme="minorEastAsia"/>
          <w:bCs/>
          <w:lang w:eastAsia="zh-CN"/>
        </w:rPr>
        <w:t>o additional requirements are defined or needed</w:t>
      </w:r>
    </w:p>
    <w:p w14:paraId="5002BF01" w14:textId="77777777" w:rsidR="00E031AB" w:rsidRDefault="00E031AB" w:rsidP="00E031AB">
      <w:pPr>
        <w:pStyle w:val="ListParagraph"/>
        <w:overflowPunct/>
        <w:autoSpaceDE/>
        <w:autoSpaceDN/>
        <w:adjustRightInd/>
        <w:spacing w:after="120" w:line="259" w:lineRule="auto"/>
        <w:ind w:left="3096" w:firstLineChars="0" w:firstLine="0"/>
        <w:textAlignment w:val="auto"/>
      </w:pPr>
    </w:p>
    <w:p w14:paraId="4EAC499A" w14:textId="689BD131" w:rsidR="00AC358B" w:rsidRPr="0011258D" w:rsidRDefault="00AC358B" w:rsidP="00AC358B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1-5-3 DCI-based PL-RS switching delay requirements</w:t>
      </w:r>
    </w:p>
    <w:p w14:paraId="39206B3F" w14:textId="14666F32" w:rsidR="00AC358B" w:rsidRDefault="00AC358B" w:rsidP="00AC358B">
      <w:pPr>
        <w:pStyle w:val="ListParagraph"/>
        <w:numPr>
          <w:ilvl w:val="0"/>
          <w:numId w:val="5"/>
        </w:numPr>
        <w:overflowPunct/>
        <w:autoSpaceDE/>
        <w:adjustRightInd/>
        <w:spacing w:after="120" w:line="252" w:lineRule="auto"/>
        <w:ind w:left="720" w:firstLineChars="0"/>
        <w:textAlignment w:val="auto"/>
      </w:pPr>
      <w:r>
        <w:t>Apply DCI-based UL TCI switching delay requirement for DCI-based PL-RS switching delay requirements, when the target UL TCI state is known.</w:t>
      </w:r>
    </w:p>
    <w:p w14:paraId="38C47EDF" w14:textId="77777777" w:rsidR="00E031AB" w:rsidRDefault="00E031AB" w:rsidP="00E031AB">
      <w:pPr>
        <w:pStyle w:val="ListParagraph"/>
        <w:overflowPunct/>
        <w:autoSpaceDE/>
        <w:adjustRightInd/>
        <w:spacing w:after="120" w:line="252" w:lineRule="auto"/>
        <w:ind w:left="720" w:firstLineChars="0" w:firstLine="0"/>
        <w:textAlignment w:val="auto"/>
      </w:pPr>
    </w:p>
    <w:p w14:paraId="350D9255" w14:textId="6F00FCA6" w:rsidR="00A97229" w:rsidRDefault="009C0F6B" w:rsidP="00A97229">
      <w:pPr>
        <w:pStyle w:val="Heading3"/>
        <w:numPr>
          <w:ilvl w:val="0"/>
          <w:numId w:val="0"/>
        </w:numPr>
        <w:spacing w:before="240"/>
        <w:rPr>
          <w:sz w:val="24"/>
          <w:szCs w:val="16"/>
        </w:rPr>
      </w:pPr>
      <w:r>
        <w:rPr>
          <w:sz w:val="24"/>
          <w:szCs w:val="16"/>
        </w:rPr>
        <w:t xml:space="preserve">2.6 </w:t>
      </w:r>
      <w:r w:rsidR="00A97229">
        <w:rPr>
          <w:sz w:val="24"/>
          <w:szCs w:val="16"/>
        </w:rPr>
        <w:t>Sub-topic 1-6 TCI state list update delay</w:t>
      </w:r>
    </w:p>
    <w:p w14:paraId="496C2D51" w14:textId="10067F59" w:rsidR="00833F7C" w:rsidRPr="0011258D" w:rsidRDefault="00833F7C" w:rsidP="00833F7C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1-6-1 MAC CE based TCI state list update delay for serving cell</w:t>
      </w:r>
    </w:p>
    <w:p w14:paraId="3E06CA34" w14:textId="77777777" w:rsidR="00833F7C" w:rsidRDefault="00833F7C" w:rsidP="00833F7C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Proposals</w:t>
      </w:r>
    </w:p>
    <w:p w14:paraId="25880C93" w14:textId="2ADC8130" w:rsidR="00833F7C" w:rsidRDefault="00833F7C" w:rsidP="00833F7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Option 1(vivo</w:t>
      </w:r>
      <w:r w:rsidR="00CD5A81">
        <w:rPr>
          <w:rFonts w:eastAsiaTheme="minorEastAsia"/>
          <w:lang w:val="sv-SE" w:eastAsia="zh-CN"/>
        </w:rPr>
        <w:t>, Nokia</w:t>
      </w:r>
      <w:r w:rsidR="00015A78">
        <w:rPr>
          <w:rFonts w:eastAsiaTheme="minorEastAsia"/>
          <w:lang w:val="sv-SE" w:eastAsia="zh-CN"/>
        </w:rPr>
        <w:t>, Ericsson</w:t>
      </w:r>
      <w:r>
        <w:rPr>
          <w:rFonts w:eastAsiaTheme="minorEastAsia"/>
          <w:lang w:val="sv-SE" w:eastAsia="zh-CN"/>
        </w:rPr>
        <w:t>):</w:t>
      </w:r>
    </w:p>
    <w:p w14:paraId="6F573B84" w14:textId="2BDC8B38" w:rsidR="00833F7C" w:rsidRDefault="00833F7C" w:rsidP="00833F7C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val="sv-SE" w:eastAsia="zh-CN"/>
        </w:rPr>
      </w:pPr>
      <w:r>
        <w:rPr>
          <w:lang w:val="sv-SE" w:eastAsia="zh-CN"/>
        </w:rPr>
        <w:t xml:space="preserve">For MAC CE based TCI state list update, specify requirements for the case when </w:t>
      </w:r>
      <w:r>
        <w:rPr>
          <w:rFonts w:hint="eastAsia"/>
          <w:lang w:val="sv-SE" w:eastAsia="zh-CN"/>
        </w:rPr>
        <w:t>no</w:t>
      </w:r>
      <w:r>
        <w:rPr>
          <w:lang w:val="sv-SE" w:eastAsia="zh-CN"/>
        </w:rPr>
        <w:t>t all TCI states are known.</w:t>
      </w:r>
    </w:p>
    <w:p w14:paraId="40FB8905" w14:textId="75A4E052" w:rsidR="00833F7C" w:rsidRPr="00353208" w:rsidRDefault="00833F7C" w:rsidP="00833F7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 w:rsidRPr="00353208">
        <w:rPr>
          <w:rFonts w:eastAsiaTheme="minorEastAsia"/>
          <w:lang w:val="sv-SE" w:eastAsia="zh-CN"/>
        </w:rPr>
        <w:t>Option 2</w:t>
      </w:r>
      <w:r>
        <w:rPr>
          <w:rFonts w:eastAsiaTheme="minorEastAsia"/>
          <w:lang w:val="sv-SE" w:eastAsia="zh-CN"/>
        </w:rPr>
        <w:t>(Apple, MTK, Samsung)</w:t>
      </w:r>
      <w:r w:rsidRPr="00353208">
        <w:rPr>
          <w:rFonts w:eastAsiaTheme="minorEastAsia"/>
          <w:lang w:val="sv-SE" w:eastAsia="zh-CN"/>
        </w:rPr>
        <w:t xml:space="preserve">: </w:t>
      </w:r>
    </w:p>
    <w:p w14:paraId="0CC45C39" w14:textId="057026DE" w:rsidR="00833F7C" w:rsidRDefault="00833F7C" w:rsidP="00833F7C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val="sv-SE" w:eastAsia="zh-CN"/>
        </w:rPr>
      </w:pPr>
      <w:r>
        <w:rPr>
          <w:lang w:val="sv-SE" w:eastAsia="zh-CN"/>
        </w:rPr>
        <w:t>D</w:t>
      </w:r>
      <w:r w:rsidRPr="00353208">
        <w:rPr>
          <w:lang w:val="sv-SE" w:eastAsia="zh-CN"/>
        </w:rPr>
        <w:t xml:space="preserve">efine </w:t>
      </w:r>
      <w:r>
        <w:rPr>
          <w:lang w:val="sv-SE" w:eastAsia="zh-CN"/>
        </w:rPr>
        <w:t xml:space="preserve">MAC CE based </w:t>
      </w:r>
      <w:r w:rsidRPr="00353208">
        <w:rPr>
          <w:lang w:val="sv-SE" w:eastAsia="zh-CN"/>
        </w:rPr>
        <w:t>TCI state list update requirement for known TCI state case</w:t>
      </w:r>
    </w:p>
    <w:p w14:paraId="3A8FC91F" w14:textId="77777777" w:rsidR="00072635" w:rsidRPr="00353208" w:rsidRDefault="00072635" w:rsidP="00072635">
      <w:pPr>
        <w:pStyle w:val="ListParagraph"/>
        <w:overflowPunct/>
        <w:autoSpaceDE/>
        <w:autoSpaceDN/>
        <w:adjustRightInd/>
        <w:spacing w:after="120" w:line="259" w:lineRule="auto"/>
        <w:ind w:left="2376" w:firstLineChars="0" w:firstLine="0"/>
        <w:textAlignment w:val="auto"/>
        <w:rPr>
          <w:lang w:val="sv-SE" w:eastAsia="zh-CN"/>
        </w:rPr>
      </w:pPr>
    </w:p>
    <w:p w14:paraId="5BF8187C" w14:textId="362F50C6" w:rsidR="00992249" w:rsidRDefault="00992249" w:rsidP="004D647B">
      <w:pPr>
        <w:spacing w:after="120"/>
        <w:rPr>
          <w:rFonts w:eastAsiaTheme="minorEastAsia"/>
          <w:bCs/>
          <w:u w:val="single"/>
          <w:lang w:eastAsia="zh-CN"/>
        </w:rPr>
      </w:pPr>
      <w:r w:rsidRPr="0011258D">
        <w:rPr>
          <w:rFonts w:eastAsiaTheme="minorEastAsia"/>
          <w:bCs/>
          <w:u w:val="single"/>
          <w:lang w:eastAsia="zh-CN"/>
        </w:rPr>
        <w:t>Issue 1-6-2 MAC CE based TCI state list update delay for cell with different PCI</w:t>
      </w:r>
    </w:p>
    <w:p w14:paraId="40BF71B6" w14:textId="631C305F" w:rsidR="00C44EF5" w:rsidRPr="00AE1B2B" w:rsidRDefault="00C44EF5" w:rsidP="00C44EF5">
      <w:pPr>
        <w:pStyle w:val="ListParagraph"/>
        <w:numPr>
          <w:ilvl w:val="0"/>
          <w:numId w:val="5"/>
        </w:numPr>
        <w:spacing w:after="120" w:line="259" w:lineRule="auto"/>
        <w:ind w:firstLineChars="0"/>
        <w:rPr>
          <w:rFonts w:eastAsiaTheme="minorEastAsia"/>
          <w:bCs/>
          <w:lang w:eastAsia="zh-CN"/>
        </w:rPr>
      </w:pPr>
      <w:r w:rsidRPr="00AE1B2B">
        <w:rPr>
          <w:rFonts w:eastAsiaTheme="minorEastAsia"/>
          <w:bCs/>
          <w:lang w:eastAsia="zh-CN"/>
        </w:rPr>
        <w:t>For DL TCI state list update requirements</w:t>
      </w:r>
      <w:r w:rsidR="007E1537" w:rsidRPr="00AE1B2B">
        <w:rPr>
          <w:rFonts w:eastAsiaTheme="minorEastAsia"/>
          <w:bCs/>
          <w:lang w:eastAsia="zh-CN"/>
        </w:rPr>
        <w:t xml:space="preserve"> in FR2</w:t>
      </w:r>
      <w:r w:rsidRPr="00AE1B2B">
        <w:rPr>
          <w:rFonts w:eastAsiaTheme="minorEastAsia"/>
          <w:bCs/>
          <w:lang w:eastAsia="zh-CN"/>
        </w:rPr>
        <w:t>, T_first_SSB should be scale by the number of cells associated with the target UL TCIs whose SSBs for tracking are overlapped, i.e. Nmax+1, where Nmax=1.</w:t>
      </w:r>
    </w:p>
    <w:p w14:paraId="4B788F0B" w14:textId="2663295D" w:rsidR="007611E0" w:rsidRPr="00AE1B2B" w:rsidRDefault="007611E0" w:rsidP="007611E0">
      <w:pPr>
        <w:pStyle w:val="ListParagraph"/>
        <w:numPr>
          <w:ilvl w:val="0"/>
          <w:numId w:val="42"/>
        </w:numPr>
        <w:spacing w:after="120" w:line="259" w:lineRule="auto"/>
        <w:ind w:firstLineChars="0"/>
        <w:rPr>
          <w:rFonts w:eastAsiaTheme="minorEastAsia"/>
          <w:bCs/>
          <w:lang w:eastAsia="zh-CN"/>
        </w:rPr>
      </w:pPr>
      <w:r w:rsidRPr="00AE1B2B">
        <w:rPr>
          <w:rFonts w:eastAsiaTheme="minorEastAsia"/>
          <w:bCs/>
          <w:lang w:eastAsia="zh-CN"/>
        </w:rPr>
        <w:lastRenderedPageBreak/>
        <w:t>FFS: delay requirement when Nmax &gt;1·  </w:t>
      </w:r>
    </w:p>
    <w:p w14:paraId="280AE3ED" w14:textId="20CBA551" w:rsidR="00992249" w:rsidRPr="00AE1B2B" w:rsidRDefault="00C44EF5" w:rsidP="00C44EF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bCs/>
          <w:lang w:eastAsia="zh-CN"/>
        </w:rPr>
      </w:pPr>
      <w:r w:rsidRPr="00AE1B2B">
        <w:rPr>
          <w:rFonts w:eastAsiaTheme="minorEastAsia"/>
          <w:bCs/>
          <w:lang w:eastAsia="zh-CN"/>
        </w:rPr>
        <w:t>For UL TCI state list update requirements</w:t>
      </w:r>
      <w:r w:rsidR="007E1537" w:rsidRPr="00AE1B2B">
        <w:rPr>
          <w:rFonts w:eastAsiaTheme="minorEastAsia"/>
          <w:bCs/>
          <w:lang w:eastAsia="zh-CN"/>
        </w:rPr>
        <w:t xml:space="preserve"> in FR2</w:t>
      </w:r>
      <w:r w:rsidRPr="00AE1B2B">
        <w:rPr>
          <w:rFonts w:eastAsiaTheme="minorEastAsia"/>
          <w:bCs/>
          <w:lang w:eastAsia="zh-CN"/>
        </w:rPr>
        <w:t>, T_first_PL-RS and T_PL-RS should be scale by the number of cells associated with the target UL TCIs whose not-maintained PL-RSs are SSBs, and these SSBs are overlapped, i.e. Nmax+1, where Nmax=1.</w:t>
      </w:r>
    </w:p>
    <w:p w14:paraId="3F91C940" w14:textId="3F170525" w:rsidR="00F73767" w:rsidRPr="00AE1B2B" w:rsidRDefault="00F73767" w:rsidP="007611E0">
      <w:pPr>
        <w:pStyle w:val="ListParagraph"/>
        <w:numPr>
          <w:ilvl w:val="0"/>
          <w:numId w:val="42"/>
        </w:numPr>
        <w:spacing w:after="120" w:line="259" w:lineRule="auto"/>
        <w:ind w:firstLineChars="0"/>
        <w:rPr>
          <w:rFonts w:eastAsiaTheme="minorEastAsia"/>
          <w:bCs/>
          <w:lang w:eastAsia="zh-CN"/>
        </w:rPr>
      </w:pPr>
      <w:r w:rsidRPr="00AE1B2B">
        <w:rPr>
          <w:rFonts w:eastAsiaTheme="minorEastAsia"/>
          <w:bCs/>
          <w:lang w:eastAsia="zh-CN"/>
        </w:rPr>
        <w:t>FFS: delay requirement when Nmax &gt;1</w:t>
      </w:r>
    </w:p>
    <w:sectPr w:rsidR="00F73767" w:rsidRPr="00AE1B2B" w:rsidSect="00820C0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1F90F" w14:textId="77777777" w:rsidR="004A6DBA" w:rsidRDefault="004A6DBA" w:rsidP="00533B52">
      <w:pPr>
        <w:spacing w:after="0"/>
      </w:pPr>
      <w:r>
        <w:separator/>
      </w:r>
    </w:p>
  </w:endnote>
  <w:endnote w:type="continuationSeparator" w:id="0">
    <w:p w14:paraId="740AD6AA" w14:textId="77777777" w:rsidR="004A6DBA" w:rsidRDefault="004A6DBA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2B783" w14:textId="77777777" w:rsidR="004A6DBA" w:rsidRDefault="004A6DBA" w:rsidP="00533B52">
      <w:pPr>
        <w:spacing w:after="0"/>
      </w:pPr>
      <w:r>
        <w:separator/>
      </w:r>
    </w:p>
  </w:footnote>
  <w:footnote w:type="continuationSeparator" w:id="0">
    <w:p w14:paraId="03462D30" w14:textId="77777777" w:rsidR="004A6DBA" w:rsidRDefault="004A6DBA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954A0"/>
    <w:multiLevelType w:val="hybridMultilevel"/>
    <w:tmpl w:val="6D829342"/>
    <w:lvl w:ilvl="0" w:tplc="38882A0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20876"/>
    <w:multiLevelType w:val="hybridMultilevel"/>
    <w:tmpl w:val="B114E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6F7E1F"/>
    <w:multiLevelType w:val="hybridMultilevel"/>
    <w:tmpl w:val="69660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6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A5AD4"/>
    <w:multiLevelType w:val="hybridMultilevel"/>
    <w:tmpl w:val="784C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1B6FF5"/>
    <w:multiLevelType w:val="hybridMultilevel"/>
    <w:tmpl w:val="A9B89758"/>
    <w:lvl w:ilvl="0" w:tplc="D4F07E1E">
      <w:numFmt w:val="bullet"/>
      <w:lvlText w:val="-"/>
      <w:lvlJc w:val="left"/>
      <w:pPr>
        <w:ind w:left="780" w:hanging="360"/>
      </w:pPr>
      <w:rPr>
        <w:rFonts w:ascii="DengXian" w:eastAsia="DengXian" w:hAnsi="DengXian" w:cs="Times New Roma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A2C6F41"/>
    <w:multiLevelType w:val="multilevel"/>
    <w:tmpl w:val="B59E08F2"/>
    <w:lvl w:ilvl="0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3AD37A3D"/>
    <w:multiLevelType w:val="multilevel"/>
    <w:tmpl w:val="A3EC41CA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81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576F6C"/>
    <w:multiLevelType w:val="hybridMultilevel"/>
    <w:tmpl w:val="8FA65412"/>
    <w:lvl w:ilvl="0" w:tplc="38882A00">
      <w:start w:val="4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7" w15:restartNumberingAfterBreak="0">
    <w:nsid w:val="647B095A"/>
    <w:multiLevelType w:val="hybridMultilevel"/>
    <w:tmpl w:val="E84402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C75FB0"/>
    <w:multiLevelType w:val="hybridMultilevel"/>
    <w:tmpl w:val="8ECC8D6A"/>
    <w:lvl w:ilvl="0" w:tplc="AEE62C36">
      <w:start w:val="1"/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76D02"/>
    <w:multiLevelType w:val="hybridMultilevel"/>
    <w:tmpl w:val="D49A9D68"/>
    <w:lvl w:ilvl="0" w:tplc="56D8FF90">
      <w:start w:val="8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55A5E"/>
    <w:multiLevelType w:val="hybridMultilevel"/>
    <w:tmpl w:val="06961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1"/>
  </w:num>
  <w:num w:numId="4">
    <w:abstractNumId w:val="23"/>
  </w:num>
  <w:num w:numId="5">
    <w:abstractNumId w:val="16"/>
  </w:num>
  <w:num w:numId="6">
    <w:abstractNumId w:val="8"/>
  </w:num>
  <w:num w:numId="7">
    <w:abstractNumId w:val="18"/>
  </w:num>
  <w:num w:numId="8">
    <w:abstractNumId w:val="22"/>
  </w:num>
  <w:num w:numId="9">
    <w:abstractNumId w:val="7"/>
  </w:num>
  <w:num w:numId="10">
    <w:abstractNumId w:val="3"/>
  </w:num>
  <w:num w:numId="11">
    <w:abstractNumId w:val="1"/>
  </w:num>
  <w:num w:numId="12">
    <w:abstractNumId w:val="4"/>
  </w:num>
  <w:num w:numId="13">
    <w:abstractNumId w:val="11"/>
  </w:num>
  <w:num w:numId="14">
    <w:abstractNumId w:val="11"/>
  </w:num>
  <w:num w:numId="15">
    <w:abstractNumId w:val="11"/>
  </w:num>
  <w:num w:numId="16">
    <w:abstractNumId w:val="6"/>
  </w:num>
  <w:num w:numId="17">
    <w:abstractNumId w:val="17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9"/>
  </w:num>
  <w:num w:numId="26">
    <w:abstractNumId w:val="15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0"/>
  </w:num>
  <w:num w:numId="30">
    <w:abstractNumId w:val="12"/>
  </w:num>
  <w:num w:numId="31">
    <w:abstractNumId w:val="10"/>
  </w:num>
  <w:num w:numId="32">
    <w:abstractNumId w:val="5"/>
  </w:num>
  <w:num w:numId="33">
    <w:abstractNumId w:val="11"/>
  </w:num>
  <w:num w:numId="34">
    <w:abstractNumId w:val="11"/>
  </w:num>
  <w:num w:numId="35">
    <w:abstractNumId w:val="11"/>
    <w:lvlOverride w:ilvl="0">
      <w:startOverride w:val="2"/>
    </w:lvlOverride>
    <w:lvlOverride w:ilvl="1">
      <w:startOverride w:val="4"/>
    </w:lvlOverride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0"/>
  </w:num>
  <w:num w:numId="42">
    <w:abstractNumId w:val="14"/>
  </w:num>
  <w:num w:numId="43">
    <w:abstractNumId w:val="19"/>
  </w:num>
  <w:num w:numId="44">
    <w:abstractNumId w:val="10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5F6"/>
    <w:rsid w:val="00015846"/>
    <w:rsid w:val="00015A78"/>
    <w:rsid w:val="00016002"/>
    <w:rsid w:val="00021BCA"/>
    <w:rsid w:val="00025A91"/>
    <w:rsid w:val="00026433"/>
    <w:rsid w:val="00030FDC"/>
    <w:rsid w:val="000312E5"/>
    <w:rsid w:val="000323D2"/>
    <w:rsid w:val="000340A2"/>
    <w:rsid w:val="00035456"/>
    <w:rsid w:val="000354E9"/>
    <w:rsid w:val="00037860"/>
    <w:rsid w:val="00037C3C"/>
    <w:rsid w:val="00044820"/>
    <w:rsid w:val="00044D7E"/>
    <w:rsid w:val="000537B6"/>
    <w:rsid w:val="0005428F"/>
    <w:rsid w:val="00064464"/>
    <w:rsid w:val="00070DB3"/>
    <w:rsid w:val="00071FFC"/>
    <w:rsid w:val="00072635"/>
    <w:rsid w:val="000755E2"/>
    <w:rsid w:val="00076546"/>
    <w:rsid w:val="00082208"/>
    <w:rsid w:val="00083482"/>
    <w:rsid w:val="00083698"/>
    <w:rsid w:val="000842F4"/>
    <w:rsid w:val="00085833"/>
    <w:rsid w:val="000900BE"/>
    <w:rsid w:val="000909CC"/>
    <w:rsid w:val="00091A51"/>
    <w:rsid w:val="000933D9"/>
    <w:rsid w:val="000A1765"/>
    <w:rsid w:val="000A198B"/>
    <w:rsid w:val="000A51E9"/>
    <w:rsid w:val="000A5BEC"/>
    <w:rsid w:val="000A6A44"/>
    <w:rsid w:val="000B0A76"/>
    <w:rsid w:val="000C02EC"/>
    <w:rsid w:val="000C2C70"/>
    <w:rsid w:val="000C6886"/>
    <w:rsid w:val="000C6F5E"/>
    <w:rsid w:val="000C6FCC"/>
    <w:rsid w:val="000D0405"/>
    <w:rsid w:val="000E5184"/>
    <w:rsid w:val="000E5EC1"/>
    <w:rsid w:val="000E6A39"/>
    <w:rsid w:val="000F07B3"/>
    <w:rsid w:val="000F0F83"/>
    <w:rsid w:val="000F1ADE"/>
    <w:rsid w:val="000F352B"/>
    <w:rsid w:val="00101DD8"/>
    <w:rsid w:val="00102F22"/>
    <w:rsid w:val="0011258D"/>
    <w:rsid w:val="00114006"/>
    <w:rsid w:val="001141D5"/>
    <w:rsid w:val="00122F38"/>
    <w:rsid w:val="001238E2"/>
    <w:rsid w:val="00125886"/>
    <w:rsid w:val="00132890"/>
    <w:rsid w:val="00133559"/>
    <w:rsid w:val="001345F4"/>
    <w:rsid w:val="00136D5E"/>
    <w:rsid w:val="00143059"/>
    <w:rsid w:val="00145F1A"/>
    <w:rsid w:val="00146F3D"/>
    <w:rsid w:val="0015066B"/>
    <w:rsid w:val="00161A34"/>
    <w:rsid w:val="00172936"/>
    <w:rsid w:val="00172D64"/>
    <w:rsid w:val="0017456D"/>
    <w:rsid w:val="001809CF"/>
    <w:rsid w:val="00180E92"/>
    <w:rsid w:val="0019013B"/>
    <w:rsid w:val="001A29BD"/>
    <w:rsid w:val="001A29CB"/>
    <w:rsid w:val="001A7DF8"/>
    <w:rsid w:val="001B081A"/>
    <w:rsid w:val="001B3507"/>
    <w:rsid w:val="001B70DB"/>
    <w:rsid w:val="001C2073"/>
    <w:rsid w:val="001C2F93"/>
    <w:rsid w:val="001D5E6B"/>
    <w:rsid w:val="001D732B"/>
    <w:rsid w:val="001E4B26"/>
    <w:rsid w:val="001E60BF"/>
    <w:rsid w:val="001F18F6"/>
    <w:rsid w:val="001F5664"/>
    <w:rsid w:val="00200BDA"/>
    <w:rsid w:val="00203A42"/>
    <w:rsid w:val="002068BF"/>
    <w:rsid w:val="00207530"/>
    <w:rsid w:val="00207B34"/>
    <w:rsid w:val="00213626"/>
    <w:rsid w:val="00215441"/>
    <w:rsid w:val="00217166"/>
    <w:rsid w:val="00223D9F"/>
    <w:rsid w:val="0023516E"/>
    <w:rsid w:val="00235FF1"/>
    <w:rsid w:val="0023785B"/>
    <w:rsid w:val="00245A12"/>
    <w:rsid w:val="00246CA7"/>
    <w:rsid w:val="002526E2"/>
    <w:rsid w:val="00255204"/>
    <w:rsid w:val="00255EC2"/>
    <w:rsid w:val="00263FE2"/>
    <w:rsid w:val="00265A20"/>
    <w:rsid w:val="00266371"/>
    <w:rsid w:val="00274DDE"/>
    <w:rsid w:val="00275754"/>
    <w:rsid w:val="002839E0"/>
    <w:rsid w:val="00285D4A"/>
    <w:rsid w:val="00287471"/>
    <w:rsid w:val="00290B5F"/>
    <w:rsid w:val="00294218"/>
    <w:rsid w:val="0029703B"/>
    <w:rsid w:val="002A76CB"/>
    <w:rsid w:val="002B6312"/>
    <w:rsid w:val="002B72F1"/>
    <w:rsid w:val="002C18A9"/>
    <w:rsid w:val="002C6D9F"/>
    <w:rsid w:val="002C7307"/>
    <w:rsid w:val="002D671E"/>
    <w:rsid w:val="002E3267"/>
    <w:rsid w:val="00307B04"/>
    <w:rsid w:val="003135A5"/>
    <w:rsid w:val="00313CA1"/>
    <w:rsid w:val="00316497"/>
    <w:rsid w:val="00324D3E"/>
    <w:rsid w:val="00330068"/>
    <w:rsid w:val="0033115A"/>
    <w:rsid w:val="003311FB"/>
    <w:rsid w:val="00332A01"/>
    <w:rsid w:val="003426D6"/>
    <w:rsid w:val="00352D5E"/>
    <w:rsid w:val="00356E1C"/>
    <w:rsid w:val="003615F7"/>
    <w:rsid w:val="00364D8F"/>
    <w:rsid w:val="003661D3"/>
    <w:rsid w:val="00373183"/>
    <w:rsid w:val="003740B6"/>
    <w:rsid w:val="003837F7"/>
    <w:rsid w:val="003865C0"/>
    <w:rsid w:val="003A666A"/>
    <w:rsid w:val="003A6E13"/>
    <w:rsid w:val="003B0A23"/>
    <w:rsid w:val="003B3793"/>
    <w:rsid w:val="003C59B1"/>
    <w:rsid w:val="003D16BA"/>
    <w:rsid w:val="003D27CC"/>
    <w:rsid w:val="003D6B19"/>
    <w:rsid w:val="003D7AE8"/>
    <w:rsid w:val="003E158C"/>
    <w:rsid w:val="003E1833"/>
    <w:rsid w:val="003E7F9F"/>
    <w:rsid w:val="003F0E70"/>
    <w:rsid w:val="003F524C"/>
    <w:rsid w:val="003F60D6"/>
    <w:rsid w:val="003F6382"/>
    <w:rsid w:val="00405C34"/>
    <w:rsid w:val="00411773"/>
    <w:rsid w:val="004139AA"/>
    <w:rsid w:val="004242E9"/>
    <w:rsid w:val="00430D4A"/>
    <w:rsid w:val="0043100D"/>
    <w:rsid w:val="00435A8B"/>
    <w:rsid w:val="00437BDE"/>
    <w:rsid w:val="00446EC6"/>
    <w:rsid w:val="004515E9"/>
    <w:rsid w:val="0045245F"/>
    <w:rsid w:val="004555CC"/>
    <w:rsid w:val="004607FA"/>
    <w:rsid w:val="0046387C"/>
    <w:rsid w:val="00467F4D"/>
    <w:rsid w:val="0047385D"/>
    <w:rsid w:val="004745F6"/>
    <w:rsid w:val="00476A29"/>
    <w:rsid w:val="00482280"/>
    <w:rsid w:val="004827FD"/>
    <w:rsid w:val="0048298D"/>
    <w:rsid w:val="00483D25"/>
    <w:rsid w:val="00486E1F"/>
    <w:rsid w:val="00490E06"/>
    <w:rsid w:val="004961C4"/>
    <w:rsid w:val="00496386"/>
    <w:rsid w:val="00496D7A"/>
    <w:rsid w:val="0049790A"/>
    <w:rsid w:val="00497A36"/>
    <w:rsid w:val="004A6DBA"/>
    <w:rsid w:val="004B05EF"/>
    <w:rsid w:val="004B2A87"/>
    <w:rsid w:val="004B3A2B"/>
    <w:rsid w:val="004B4921"/>
    <w:rsid w:val="004B55E2"/>
    <w:rsid w:val="004B62E5"/>
    <w:rsid w:val="004B6D26"/>
    <w:rsid w:val="004D4D3F"/>
    <w:rsid w:val="004D5C24"/>
    <w:rsid w:val="004D647B"/>
    <w:rsid w:val="004E2D29"/>
    <w:rsid w:val="004E4574"/>
    <w:rsid w:val="004E66E3"/>
    <w:rsid w:val="004E7AEC"/>
    <w:rsid w:val="004F1054"/>
    <w:rsid w:val="004F194C"/>
    <w:rsid w:val="004F6EFD"/>
    <w:rsid w:val="00504156"/>
    <w:rsid w:val="00513F0B"/>
    <w:rsid w:val="005166B4"/>
    <w:rsid w:val="005252E4"/>
    <w:rsid w:val="00527B60"/>
    <w:rsid w:val="005306C7"/>
    <w:rsid w:val="005306DA"/>
    <w:rsid w:val="00533B52"/>
    <w:rsid w:val="00533DF2"/>
    <w:rsid w:val="00540B81"/>
    <w:rsid w:val="00544171"/>
    <w:rsid w:val="0054509B"/>
    <w:rsid w:val="005527CD"/>
    <w:rsid w:val="00562F0C"/>
    <w:rsid w:val="0056381C"/>
    <w:rsid w:val="005662C3"/>
    <w:rsid w:val="0057204D"/>
    <w:rsid w:val="00572073"/>
    <w:rsid w:val="00576D93"/>
    <w:rsid w:val="005805E7"/>
    <w:rsid w:val="00582132"/>
    <w:rsid w:val="00582818"/>
    <w:rsid w:val="005A46DD"/>
    <w:rsid w:val="005A77CF"/>
    <w:rsid w:val="005B3787"/>
    <w:rsid w:val="005C4A06"/>
    <w:rsid w:val="005C514F"/>
    <w:rsid w:val="005D30BF"/>
    <w:rsid w:val="005D3121"/>
    <w:rsid w:val="005D4E99"/>
    <w:rsid w:val="005D7B67"/>
    <w:rsid w:val="005E07E3"/>
    <w:rsid w:val="005E2BC8"/>
    <w:rsid w:val="005E5FEB"/>
    <w:rsid w:val="005E75C5"/>
    <w:rsid w:val="005F3A69"/>
    <w:rsid w:val="005F6826"/>
    <w:rsid w:val="006010E4"/>
    <w:rsid w:val="00601203"/>
    <w:rsid w:val="00605388"/>
    <w:rsid w:val="0061125A"/>
    <w:rsid w:val="00612155"/>
    <w:rsid w:val="00612C6D"/>
    <w:rsid w:val="00620987"/>
    <w:rsid w:val="006213E9"/>
    <w:rsid w:val="00622754"/>
    <w:rsid w:val="00624EA2"/>
    <w:rsid w:val="00636310"/>
    <w:rsid w:val="00641EEC"/>
    <w:rsid w:val="0064651F"/>
    <w:rsid w:val="00647A0F"/>
    <w:rsid w:val="00647FE6"/>
    <w:rsid w:val="00651E29"/>
    <w:rsid w:val="00652C62"/>
    <w:rsid w:val="006539F9"/>
    <w:rsid w:val="00666F6F"/>
    <w:rsid w:val="006728C8"/>
    <w:rsid w:val="0067413B"/>
    <w:rsid w:val="00676268"/>
    <w:rsid w:val="006816C8"/>
    <w:rsid w:val="00683EF5"/>
    <w:rsid w:val="00686A43"/>
    <w:rsid w:val="00687D40"/>
    <w:rsid w:val="006A1F5A"/>
    <w:rsid w:val="006B3DEC"/>
    <w:rsid w:val="006C1D4B"/>
    <w:rsid w:val="006C4AE4"/>
    <w:rsid w:val="006C4FD7"/>
    <w:rsid w:val="006D2BBB"/>
    <w:rsid w:val="006D33AA"/>
    <w:rsid w:val="006D39FD"/>
    <w:rsid w:val="006D7841"/>
    <w:rsid w:val="006E4375"/>
    <w:rsid w:val="006E5261"/>
    <w:rsid w:val="006F10B3"/>
    <w:rsid w:val="006F4B53"/>
    <w:rsid w:val="00704EF5"/>
    <w:rsid w:val="00704FC2"/>
    <w:rsid w:val="00712F55"/>
    <w:rsid w:val="00715657"/>
    <w:rsid w:val="00721CFA"/>
    <w:rsid w:val="00723636"/>
    <w:rsid w:val="00724103"/>
    <w:rsid w:val="00724F37"/>
    <w:rsid w:val="00726531"/>
    <w:rsid w:val="0073348D"/>
    <w:rsid w:val="00737134"/>
    <w:rsid w:val="007379E2"/>
    <w:rsid w:val="0074019F"/>
    <w:rsid w:val="007454BE"/>
    <w:rsid w:val="00745896"/>
    <w:rsid w:val="00752057"/>
    <w:rsid w:val="00752EA9"/>
    <w:rsid w:val="00755885"/>
    <w:rsid w:val="007610BA"/>
    <w:rsid w:val="007611E0"/>
    <w:rsid w:val="00763687"/>
    <w:rsid w:val="00765170"/>
    <w:rsid w:val="00766355"/>
    <w:rsid w:val="007663D8"/>
    <w:rsid w:val="00766584"/>
    <w:rsid w:val="007700DC"/>
    <w:rsid w:val="0077166F"/>
    <w:rsid w:val="00774DF1"/>
    <w:rsid w:val="00777CB3"/>
    <w:rsid w:val="007817A3"/>
    <w:rsid w:val="007825A0"/>
    <w:rsid w:val="00783BCB"/>
    <w:rsid w:val="007938BE"/>
    <w:rsid w:val="00794746"/>
    <w:rsid w:val="007A370E"/>
    <w:rsid w:val="007B00A7"/>
    <w:rsid w:val="007B27DD"/>
    <w:rsid w:val="007C15F0"/>
    <w:rsid w:val="007C2DA2"/>
    <w:rsid w:val="007C432E"/>
    <w:rsid w:val="007D0973"/>
    <w:rsid w:val="007E1537"/>
    <w:rsid w:val="007F6ABA"/>
    <w:rsid w:val="008009FC"/>
    <w:rsid w:val="00801C5C"/>
    <w:rsid w:val="00802696"/>
    <w:rsid w:val="008051F5"/>
    <w:rsid w:val="00814AFC"/>
    <w:rsid w:val="00815697"/>
    <w:rsid w:val="00820A50"/>
    <w:rsid w:val="00820C08"/>
    <w:rsid w:val="00830D51"/>
    <w:rsid w:val="008314A8"/>
    <w:rsid w:val="00833F7C"/>
    <w:rsid w:val="00841456"/>
    <w:rsid w:val="008432F5"/>
    <w:rsid w:val="00844E44"/>
    <w:rsid w:val="008463EF"/>
    <w:rsid w:val="00861749"/>
    <w:rsid w:val="00870AEA"/>
    <w:rsid w:val="00870D18"/>
    <w:rsid w:val="00875DCF"/>
    <w:rsid w:val="0088076C"/>
    <w:rsid w:val="00882B5B"/>
    <w:rsid w:val="008A0FF1"/>
    <w:rsid w:val="008A14F4"/>
    <w:rsid w:val="008A48FF"/>
    <w:rsid w:val="008B0E25"/>
    <w:rsid w:val="008B24C2"/>
    <w:rsid w:val="008B2CF3"/>
    <w:rsid w:val="008B450D"/>
    <w:rsid w:val="008B548C"/>
    <w:rsid w:val="008C246F"/>
    <w:rsid w:val="008C763B"/>
    <w:rsid w:val="008D38DF"/>
    <w:rsid w:val="008D77DF"/>
    <w:rsid w:val="008F12A7"/>
    <w:rsid w:val="00900F1A"/>
    <w:rsid w:val="0090603E"/>
    <w:rsid w:val="009073D2"/>
    <w:rsid w:val="00910440"/>
    <w:rsid w:val="00910F22"/>
    <w:rsid w:val="009115B5"/>
    <w:rsid w:val="00930A41"/>
    <w:rsid w:val="00930C17"/>
    <w:rsid w:val="00932263"/>
    <w:rsid w:val="00932989"/>
    <w:rsid w:val="0093358A"/>
    <w:rsid w:val="009358A3"/>
    <w:rsid w:val="0093661E"/>
    <w:rsid w:val="009369F9"/>
    <w:rsid w:val="00936BFD"/>
    <w:rsid w:val="0094017D"/>
    <w:rsid w:val="009463EB"/>
    <w:rsid w:val="00955A0C"/>
    <w:rsid w:val="0095738F"/>
    <w:rsid w:val="00960C78"/>
    <w:rsid w:val="00963A7B"/>
    <w:rsid w:val="00963E11"/>
    <w:rsid w:val="0097126C"/>
    <w:rsid w:val="00973C76"/>
    <w:rsid w:val="00976686"/>
    <w:rsid w:val="00985A79"/>
    <w:rsid w:val="00992249"/>
    <w:rsid w:val="009945E2"/>
    <w:rsid w:val="0099487D"/>
    <w:rsid w:val="00994C9E"/>
    <w:rsid w:val="0099595C"/>
    <w:rsid w:val="00997801"/>
    <w:rsid w:val="00997CD9"/>
    <w:rsid w:val="009A03B8"/>
    <w:rsid w:val="009A24D3"/>
    <w:rsid w:val="009B0F18"/>
    <w:rsid w:val="009C0F6B"/>
    <w:rsid w:val="009C150A"/>
    <w:rsid w:val="009D08AF"/>
    <w:rsid w:val="009D187C"/>
    <w:rsid w:val="009E39FC"/>
    <w:rsid w:val="009E3C99"/>
    <w:rsid w:val="009F17F5"/>
    <w:rsid w:val="009F1800"/>
    <w:rsid w:val="009F1B1F"/>
    <w:rsid w:val="009F2884"/>
    <w:rsid w:val="00A003E8"/>
    <w:rsid w:val="00A01331"/>
    <w:rsid w:val="00A02F1F"/>
    <w:rsid w:val="00A0346F"/>
    <w:rsid w:val="00A05ABE"/>
    <w:rsid w:val="00A10B7F"/>
    <w:rsid w:val="00A15B16"/>
    <w:rsid w:val="00A17A23"/>
    <w:rsid w:val="00A21010"/>
    <w:rsid w:val="00A22DFA"/>
    <w:rsid w:val="00A23E5E"/>
    <w:rsid w:val="00A310D5"/>
    <w:rsid w:val="00A31799"/>
    <w:rsid w:val="00A31C2F"/>
    <w:rsid w:val="00A5549D"/>
    <w:rsid w:val="00A6172B"/>
    <w:rsid w:val="00A65595"/>
    <w:rsid w:val="00A65CC1"/>
    <w:rsid w:val="00A7504C"/>
    <w:rsid w:val="00A76BA4"/>
    <w:rsid w:val="00A7793D"/>
    <w:rsid w:val="00A80035"/>
    <w:rsid w:val="00A81425"/>
    <w:rsid w:val="00A85CD7"/>
    <w:rsid w:val="00A92EB0"/>
    <w:rsid w:val="00A93716"/>
    <w:rsid w:val="00A97229"/>
    <w:rsid w:val="00AA0C61"/>
    <w:rsid w:val="00AA4A63"/>
    <w:rsid w:val="00AA74F4"/>
    <w:rsid w:val="00AC17AD"/>
    <w:rsid w:val="00AC358B"/>
    <w:rsid w:val="00AC3CC8"/>
    <w:rsid w:val="00AC400B"/>
    <w:rsid w:val="00AD1BF6"/>
    <w:rsid w:val="00AD53C6"/>
    <w:rsid w:val="00AD63AA"/>
    <w:rsid w:val="00AE1B2B"/>
    <w:rsid w:val="00AE6254"/>
    <w:rsid w:val="00AF3FC0"/>
    <w:rsid w:val="00AF5051"/>
    <w:rsid w:val="00AF65DE"/>
    <w:rsid w:val="00B01761"/>
    <w:rsid w:val="00B02004"/>
    <w:rsid w:val="00B073D3"/>
    <w:rsid w:val="00B1452E"/>
    <w:rsid w:val="00B15B5D"/>
    <w:rsid w:val="00B3095B"/>
    <w:rsid w:val="00B309E5"/>
    <w:rsid w:val="00B3156F"/>
    <w:rsid w:val="00B33709"/>
    <w:rsid w:val="00B34996"/>
    <w:rsid w:val="00B34EFE"/>
    <w:rsid w:val="00B404DF"/>
    <w:rsid w:val="00B4061C"/>
    <w:rsid w:val="00B41474"/>
    <w:rsid w:val="00B42FD7"/>
    <w:rsid w:val="00B43458"/>
    <w:rsid w:val="00B534CA"/>
    <w:rsid w:val="00B604B4"/>
    <w:rsid w:val="00B6624D"/>
    <w:rsid w:val="00B73261"/>
    <w:rsid w:val="00B772F6"/>
    <w:rsid w:val="00B80601"/>
    <w:rsid w:val="00B858BB"/>
    <w:rsid w:val="00B86587"/>
    <w:rsid w:val="00B9017C"/>
    <w:rsid w:val="00B93FA6"/>
    <w:rsid w:val="00B9590F"/>
    <w:rsid w:val="00B963A1"/>
    <w:rsid w:val="00B97F95"/>
    <w:rsid w:val="00BB08C9"/>
    <w:rsid w:val="00BB4111"/>
    <w:rsid w:val="00BB6872"/>
    <w:rsid w:val="00BB711A"/>
    <w:rsid w:val="00BB7455"/>
    <w:rsid w:val="00BC05A9"/>
    <w:rsid w:val="00BC20B1"/>
    <w:rsid w:val="00BC2883"/>
    <w:rsid w:val="00BC3774"/>
    <w:rsid w:val="00BC7441"/>
    <w:rsid w:val="00BD1BE2"/>
    <w:rsid w:val="00BD4A10"/>
    <w:rsid w:val="00BD6923"/>
    <w:rsid w:val="00BD7540"/>
    <w:rsid w:val="00BE1BF2"/>
    <w:rsid w:val="00BE25BF"/>
    <w:rsid w:val="00BE41B7"/>
    <w:rsid w:val="00BE5D2C"/>
    <w:rsid w:val="00BE72CC"/>
    <w:rsid w:val="00BF00D9"/>
    <w:rsid w:val="00BF2490"/>
    <w:rsid w:val="00C150C6"/>
    <w:rsid w:val="00C171DD"/>
    <w:rsid w:val="00C21339"/>
    <w:rsid w:val="00C21742"/>
    <w:rsid w:val="00C21818"/>
    <w:rsid w:val="00C25AE9"/>
    <w:rsid w:val="00C279FC"/>
    <w:rsid w:val="00C30F62"/>
    <w:rsid w:val="00C31277"/>
    <w:rsid w:val="00C32595"/>
    <w:rsid w:val="00C410BB"/>
    <w:rsid w:val="00C44EF5"/>
    <w:rsid w:val="00C45E61"/>
    <w:rsid w:val="00C51E4F"/>
    <w:rsid w:val="00C571D9"/>
    <w:rsid w:val="00C61721"/>
    <w:rsid w:val="00C62D90"/>
    <w:rsid w:val="00C66100"/>
    <w:rsid w:val="00C67DAF"/>
    <w:rsid w:val="00C71584"/>
    <w:rsid w:val="00C7374A"/>
    <w:rsid w:val="00C7635A"/>
    <w:rsid w:val="00C77C90"/>
    <w:rsid w:val="00C81CD5"/>
    <w:rsid w:val="00C83E9C"/>
    <w:rsid w:val="00C85D6F"/>
    <w:rsid w:val="00C86D31"/>
    <w:rsid w:val="00C87768"/>
    <w:rsid w:val="00C97413"/>
    <w:rsid w:val="00CA103B"/>
    <w:rsid w:val="00CA1B89"/>
    <w:rsid w:val="00CA41E9"/>
    <w:rsid w:val="00CA5B23"/>
    <w:rsid w:val="00CA6957"/>
    <w:rsid w:val="00CB2C5A"/>
    <w:rsid w:val="00CC15CC"/>
    <w:rsid w:val="00CC5CB0"/>
    <w:rsid w:val="00CD18D4"/>
    <w:rsid w:val="00CD22DD"/>
    <w:rsid w:val="00CD51C8"/>
    <w:rsid w:val="00CD5A81"/>
    <w:rsid w:val="00CE21CB"/>
    <w:rsid w:val="00CE279D"/>
    <w:rsid w:val="00CE2D8F"/>
    <w:rsid w:val="00CF4459"/>
    <w:rsid w:val="00CF5843"/>
    <w:rsid w:val="00D138F9"/>
    <w:rsid w:val="00D161CC"/>
    <w:rsid w:val="00D17696"/>
    <w:rsid w:val="00D336D9"/>
    <w:rsid w:val="00D37184"/>
    <w:rsid w:val="00D422AE"/>
    <w:rsid w:val="00D42492"/>
    <w:rsid w:val="00D44ACE"/>
    <w:rsid w:val="00D44F86"/>
    <w:rsid w:val="00D52381"/>
    <w:rsid w:val="00D57557"/>
    <w:rsid w:val="00D62758"/>
    <w:rsid w:val="00D62D2F"/>
    <w:rsid w:val="00D6643E"/>
    <w:rsid w:val="00D73674"/>
    <w:rsid w:val="00D74600"/>
    <w:rsid w:val="00D761EE"/>
    <w:rsid w:val="00D766DC"/>
    <w:rsid w:val="00D76FAC"/>
    <w:rsid w:val="00D859D5"/>
    <w:rsid w:val="00D90C3E"/>
    <w:rsid w:val="00D92F67"/>
    <w:rsid w:val="00D938D6"/>
    <w:rsid w:val="00D939E8"/>
    <w:rsid w:val="00DA3C65"/>
    <w:rsid w:val="00DB1B17"/>
    <w:rsid w:val="00DB45F5"/>
    <w:rsid w:val="00DC0556"/>
    <w:rsid w:val="00DC584F"/>
    <w:rsid w:val="00DD2C7B"/>
    <w:rsid w:val="00DD3255"/>
    <w:rsid w:val="00DD619C"/>
    <w:rsid w:val="00DE3266"/>
    <w:rsid w:val="00DE604B"/>
    <w:rsid w:val="00DF3092"/>
    <w:rsid w:val="00E0150A"/>
    <w:rsid w:val="00E031AB"/>
    <w:rsid w:val="00E044C2"/>
    <w:rsid w:val="00E05FF4"/>
    <w:rsid w:val="00E1382A"/>
    <w:rsid w:val="00E15C3A"/>
    <w:rsid w:val="00E160BA"/>
    <w:rsid w:val="00E2494D"/>
    <w:rsid w:val="00E34184"/>
    <w:rsid w:val="00E34291"/>
    <w:rsid w:val="00E34FC7"/>
    <w:rsid w:val="00E35888"/>
    <w:rsid w:val="00E36542"/>
    <w:rsid w:val="00E37529"/>
    <w:rsid w:val="00E43B12"/>
    <w:rsid w:val="00E517F8"/>
    <w:rsid w:val="00E54581"/>
    <w:rsid w:val="00E62520"/>
    <w:rsid w:val="00E70E39"/>
    <w:rsid w:val="00E71D62"/>
    <w:rsid w:val="00E808D8"/>
    <w:rsid w:val="00E82E57"/>
    <w:rsid w:val="00E849AB"/>
    <w:rsid w:val="00E85A0E"/>
    <w:rsid w:val="00E87473"/>
    <w:rsid w:val="00E90CE4"/>
    <w:rsid w:val="00E918E9"/>
    <w:rsid w:val="00E935A4"/>
    <w:rsid w:val="00E95C1C"/>
    <w:rsid w:val="00EA36C8"/>
    <w:rsid w:val="00EB0A35"/>
    <w:rsid w:val="00EB4B16"/>
    <w:rsid w:val="00EB4B9E"/>
    <w:rsid w:val="00EB4CD9"/>
    <w:rsid w:val="00EB69D3"/>
    <w:rsid w:val="00EE213B"/>
    <w:rsid w:val="00EF29BC"/>
    <w:rsid w:val="00EF5606"/>
    <w:rsid w:val="00F00EBD"/>
    <w:rsid w:val="00F02A87"/>
    <w:rsid w:val="00F10719"/>
    <w:rsid w:val="00F10ECD"/>
    <w:rsid w:val="00F1296A"/>
    <w:rsid w:val="00F12CE0"/>
    <w:rsid w:val="00F159E6"/>
    <w:rsid w:val="00F162F4"/>
    <w:rsid w:val="00F36826"/>
    <w:rsid w:val="00F56542"/>
    <w:rsid w:val="00F60719"/>
    <w:rsid w:val="00F61977"/>
    <w:rsid w:val="00F64226"/>
    <w:rsid w:val="00F6487D"/>
    <w:rsid w:val="00F72D3D"/>
    <w:rsid w:val="00F73767"/>
    <w:rsid w:val="00F87928"/>
    <w:rsid w:val="00F96192"/>
    <w:rsid w:val="00F96CB4"/>
    <w:rsid w:val="00FA2597"/>
    <w:rsid w:val="00FA6F34"/>
    <w:rsid w:val="00FC2885"/>
    <w:rsid w:val="00FC5F6A"/>
    <w:rsid w:val="00FC7DD6"/>
    <w:rsid w:val="00FD28BD"/>
    <w:rsid w:val="00FD3C8C"/>
    <w:rsid w:val="00FD6E6A"/>
    <w:rsid w:val="00FE2CB9"/>
    <w:rsid w:val="00FE2FF0"/>
    <w:rsid w:val="00FE31BF"/>
    <w:rsid w:val="00FE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8F14225"/>
  <w15:chartTrackingRefBased/>
  <w15:docId w15:val="{471053E5-5D62-4E51-8D7A-8DE478B0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482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4745F6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4745F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5F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4745F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5F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4745F6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4745F6"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4745F6"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rsid w:val="004745F6"/>
    <w:rPr>
      <w:rFonts w:ascii="Arial" w:eastAsia="SimSun" w:hAnsi="Arial" w:cs="Times New Roman"/>
      <w:kern w:val="0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sid w:val="004745F6"/>
    <w:rPr>
      <w:rFonts w:ascii="Arial" w:eastAsia="SimSun" w:hAnsi="Arial" w:cs="Times New Roman"/>
      <w:kern w:val="0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4745F6"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4745F6"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4745F6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4745F6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33B52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33B52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3718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D37184"/>
  </w:style>
  <w:style w:type="character" w:customStyle="1" w:styleId="CommentTextChar">
    <w:name w:val="Comment Text Char"/>
    <w:basedOn w:val="DefaultParagraphFont"/>
    <w:link w:val="CommentText"/>
    <w:uiPriority w:val="99"/>
    <w:rsid w:val="00D3718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18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1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184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8A14F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14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D7AE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E5FDD-7ACA-4A69-9BC5-6A70ED07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1401</Words>
  <Characters>7989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Li, Hua</cp:lastModifiedBy>
  <cp:revision>3</cp:revision>
  <dcterms:created xsi:type="dcterms:W3CDTF">2022-03-02T16:54:00Z</dcterms:created>
  <dcterms:modified xsi:type="dcterms:W3CDTF">2022-03-02T17:26:00Z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</Properties>
</file>