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10</w:t>
      </w:r>
      <w:r>
        <w:rPr>
          <w:rFonts w:hint="eastAsia" w:ascii="Arial" w:hAnsi="Arial" w:eastAsia="宋体" w:cs="Arial"/>
          <w:b/>
          <w:sz w:val="24"/>
          <w:szCs w:val="24"/>
          <w:lang w:val="en-US" w:eastAsia="zh-CN"/>
        </w:rPr>
        <w:t>2</w:t>
      </w:r>
      <w:r>
        <w:rPr>
          <w:rFonts w:ascii="Arial" w:hAnsi="Arial" w:cs="Arial"/>
          <w:b/>
          <w:sz w:val="24"/>
          <w:szCs w:val="24"/>
        </w:rPr>
        <w:t>s-e</w:t>
      </w:r>
      <w:r>
        <w:rPr>
          <w:rFonts w:hint="eastAsia" w:ascii="Arial" w:hAnsi="Arial" w:eastAsia="宋体" w:cs="Times New Roman"/>
          <w:b/>
          <w:bCs/>
          <w:sz w:val="24"/>
          <w:szCs w:val="24"/>
          <w:lang w:val="en-GB"/>
        </w:rPr>
        <w:tab/>
      </w:r>
      <w:r>
        <w:rPr>
          <w:rFonts w:hint="eastAsia" w:ascii="Arial" w:hAnsi="Arial" w:eastAsia="宋体" w:cs="Arial"/>
          <w:b/>
          <w:bCs/>
          <w:sz w:val="24"/>
          <w:lang w:val="en-US" w:eastAsia="zh-CN"/>
        </w:rPr>
        <w:t>R4-2204162</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ascii="Arial" w:hAnsi="Arial" w:eastAsia="宋体" w:cs="Arial"/>
          <w:b/>
          <w:sz w:val="24"/>
          <w:szCs w:val="24"/>
          <w:lang w:eastAsia="zh-CN"/>
        </w:rPr>
        <w:t>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RRM requirements for HO with PSCell</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10.10.2.2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jc w:val="both"/>
        <w:rPr>
          <w:rFonts w:hint="default" w:eastAsia="宋体"/>
          <w:sz w:val="22"/>
          <w:lang w:val="en-US" w:eastAsia="zh-CN"/>
        </w:rPr>
      </w:pPr>
      <w:r>
        <w:rPr>
          <w:rFonts w:hint="eastAsia" w:eastAsia="宋体"/>
          <w:sz w:val="22"/>
          <w:lang w:val="en-US" w:eastAsia="zh-CN"/>
        </w:rPr>
        <w:t xml:space="preserve">In the last 101-bis-e meeting, RRM requirements for HO with PSCell were discussed and related WF document was approved[1]. In this contribution ,we further provide our views on the open issues. </w:t>
      </w:r>
    </w:p>
    <w:p>
      <w:pPr>
        <w:pStyle w:val="29"/>
        <w:numPr>
          <w:ilvl w:val="0"/>
          <w:numId w:val="6"/>
        </w:numPr>
        <w:jc w:val="both"/>
        <w:rPr>
          <w:rFonts w:hint="eastAsia"/>
          <w:lang w:val="en-US" w:eastAsia="zh-CN"/>
        </w:rPr>
      </w:pPr>
      <w:r>
        <w:rPr>
          <w:rFonts w:hint="eastAsia"/>
          <w:lang w:val="en-US" w:eastAsia="zh-CN"/>
        </w:rPr>
        <w:t>Discussion</w:t>
      </w:r>
    </w:p>
    <w:p>
      <w:pPr>
        <w:jc w:val="both"/>
        <w:rPr>
          <w:rFonts w:hint="eastAsia" w:eastAsia="宋体"/>
          <w:b/>
          <w:bCs/>
          <w:sz w:val="22"/>
          <w:u w:val="single"/>
          <w:lang w:val="en-US" w:eastAsia="zh-CN"/>
        </w:rPr>
      </w:pPr>
      <w:r>
        <w:rPr>
          <w:rFonts w:hint="eastAsia" w:eastAsia="宋体"/>
          <w:b/>
          <w:bCs/>
          <w:sz w:val="22"/>
          <w:u w:val="single"/>
          <w:lang w:val="en-US" w:eastAsia="zh-CN"/>
        </w:rPr>
        <w:t>Delay requirement</w:t>
      </w: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rFonts w:eastAsia="Malgun Gothic"/>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2-2-3b: If UE SW processing and RF warm-up for PCell HO and PSCell addition/change are performed in parallel</w:t>
            </w:r>
          </w:p>
          <w:p>
            <w:pPr>
              <w:numPr>
                <w:ilvl w:val="0"/>
                <w:numId w:val="7"/>
              </w:numPr>
              <w:spacing w:after="120" w:line="259" w:lineRule="auto"/>
              <w:ind w:left="72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Proposals</w:t>
            </w:r>
          </w:p>
          <w:p>
            <w:pPr>
              <w:numPr>
                <w:ilvl w:val="1"/>
                <w:numId w:val="7"/>
              </w:numPr>
              <w:spacing w:after="120" w:line="259" w:lineRule="auto"/>
              <w:ind w:left="144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1: (CATT, Apple, OPPO, ZTE, Huawei, Ericsson)</w:t>
            </w:r>
          </w:p>
          <w:p>
            <w:pPr>
              <w:numPr>
                <w:ilvl w:val="2"/>
                <w:numId w:val="7"/>
              </w:numPr>
              <w:spacing w:after="120" w:line="259" w:lineRule="auto"/>
              <w:jc w:val="both"/>
              <w:rPr>
                <w:bCs/>
                <w:color w:val="000000" w:themeColor="text1"/>
                <w:szCs w:val="24"/>
                <w:lang w:eastAsia="zh-CN"/>
                <w14:textFill>
                  <w14:solidFill>
                    <w14:schemeClr w14:val="tx1"/>
                  </w14:solidFill>
                </w14:textFill>
              </w:rPr>
            </w:pPr>
            <w:r>
              <w:rPr>
                <w:bCs/>
                <w:color w:val="000000" w:themeColor="text1"/>
                <w:lang w:eastAsia="ko-KR"/>
                <w14:textFill>
                  <w14:solidFill>
                    <w14:schemeClr w14:val="tx1"/>
                  </w14:solidFill>
                </w14:textFill>
              </w:rPr>
              <w:t>T</w:t>
            </w:r>
            <w:r>
              <w:rPr>
                <w:bCs/>
                <w:color w:val="000000" w:themeColor="text1"/>
                <w:vertAlign w:val="subscript"/>
                <w:lang w:eastAsia="ko-KR"/>
                <w14:textFill>
                  <w14:solidFill>
                    <w14:schemeClr w14:val="tx1"/>
                  </w14:solidFill>
                </w14:textFill>
              </w:rPr>
              <w:t xml:space="preserve">processing </w:t>
            </w:r>
            <w:r>
              <w:rPr>
                <w:bCs/>
                <w:color w:val="000000" w:themeColor="text1"/>
                <w:lang w:eastAsia="ko-KR"/>
                <w14:textFill>
                  <w14:solidFill>
                    <w14:schemeClr w14:val="tx1"/>
                  </w14:solidFill>
                </w14:textFill>
              </w:rPr>
              <w:t xml:space="preserve">for HO with PSCell = </w:t>
            </w:r>
            <w:r>
              <w:rPr>
                <w:color w:val="000000" w:themeColor="text1"/>
                <w:szCs w:val="24"/>
                <w:lang w:eastAsia="zh-CN"/>
                <w14:textFill>
                  <w14:solidFill>
                    <w14:schemeClr w14:val="tx1"/>
                  </w14:solidFill>
                </w14:textFill>
              </w:rPr>
              <w:t>max(T</w:t>
            </w:r>
            <w:r>
              <w:rPr>
                <w:color w:val="000000" w:themeColor="text1"/>
                <w:szCs w:val="24"/>
                <w:vertAlign w:val="subscript"/>
                <w:lang w:eastAsia="zh-CN"/>
                <w14:textFill>
                  <w14:solidFill>
                    <w14:schemeClr w14:val="tx1"/>
                  </w14:solidFill>
                </w14:textFill>
              </w:rPr>
              <w:t>processing</w:t>
            </w:r>
            <w:r>
              <w:rPr>
                <w:color w:val="000000" w:themeColor="text1"/>
                <w:szCs w:val="24"/>
                <w:lang w:eastAsia="zh-CN"/>
                <w14:textFill>
                  <w14:solidFill>
                    <w14:schemeClr w14:val="tx1"/>
                  </w14:solidFill>
                </w14:textFill>
              </w:rPr>
              <w:t xml:space="preserve"> for PCell HO, T</w:t>
            </w:r>
            <w:r>
              <w:rPr>
                <w:color w:val="000000" w:themeColor="text1"/>
                <w:szCs w:val="24"/>
                <w:vertAlign w:val="subscript"/>
                <w:lang w:eastAsia="zh-CN"/>
                <w14:textFill>
                  <w14:solidFill>
                    <w14:schemeClr w14:val="tx1"/>
                  </w14:solidFill>
                </w14:textFill>
              </w:rPr>
              <w:t>processing</w:t>
            </w:r>
            <w:r>
              <w:rPr>
                <w:color w:val="000000" w:themeColor="text1"/>
                <w:szCs w:val="24"/>
                <w:lang w:eastAsia="zh-CN"/>
                <w14:textFill>
                  <w14:solidFill>
                    <w14:schemeClr w14:val="tx1"/>
                  </w14:solidFill>
                </w14:textFill>
              </w:rPr>
              <w:t xml:space="preserve"> for PSCell addition/change)</w:t>
            </w:r>
          </w:p>
          <w:p>
            <w:pPr>
              <w:numPr>
                <w:ilvl w:val="1"/>
                <w:numId w:val="7"/>
              </w:numPr>
              <w:spacing w:after="120" w:line="259" w:lineRule="auto"/>
              <w:ind w:left="144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1a: (Qualcomm, vivo, Xiaomi, MTK, Apple, OPPO)</w:t>
            </w:r>
          </w:p>
          <w:p>
            <w:pPr>
              <w:numPr>
                <w:ilvl w:val="2"/>
                <w:numId w:val="7"/>
              </w:numPr>
              <w:spacing w:after="120" w:line="259" w:lineRule="auto"/>
              <w:jc w:val="both"/>
              <w:rPr>
                <w:bCs/>
                <w:color w:val="000000" w:themeColor="text1"/>
                <w:szCs w:val="24"/>
                <w:lang w:eastAsia="zh-CN"/>
                <w14:textFill>
                  <w14:solidFill>
                    <w14:schemeClr w14:val="tx1"/>
                  </w14:solidFill>
                </w14:textFill>
              </w:rPr>
            </w:pPr>
            <w:r>
              <w:rPr>
                <w:bCs/>
                <w:color w:val="000000" w:themeColor="text1"/>
                <w:lang w:eastAsia="ko-KR"/>
                <w14:textFill>
                  <w14:solidFill>
                    <w14:schemeClr w14:val="tx1"/>
                  </w14:solidFill>
                </w14:textFill>
              </w:rPr>
              <w:t>T</w:t>
            </w:r>
            <w:r>
              <w:rPr>
                <w:bCs/>
                <w:color w:val="000000" w:themeColor="text1"/>
                <w:vertAlign w:val="subscript"/>
                <w:lang w:eastAsia="ko-KR"/>
                <w14:textFill>
                  <w14:solidFill>
                    <w14:schemeClr w14:val="tx1"/>
                  </w14:solidFill>
                </w14:textFill>
              </w:rPr>
              <w:t xml:space="preserve">processing </w:t>
            </w:r>
            <w:r>
              <w:rPr>
                <w:bCs/>
                <w:color w:val="000000" w:themeColor="text1"/>
                <w:lang w:eastAsia="ko-KR"/>
                <w14:textFill>
                  <w14:solidFill>
                    <w14:schemeClr w14:val="tx1"/>
                  </w14:solidFill>
                </w14:textFill>
              </w:rPr>
              <w:t xml:space="preserve">for HO with PSCell = </w:t>
            </w:r>
            <w:r>
              <w:rPr>
                <w:color w:val="000000" w:themeColor="text1"/>
                <w:szCs w:val="24"/>
                <w:lang w:eastAsia="zh-CN"/>
                <w14:textFill>
                  <w14:solidFill>
                    <w14:schemeClr w14:val="tx1"/>
                  </w14:solidFill>
                </w14:textFill>
              </w:rPr>
              <w:t>max(T</w:t>
            </w:r>
            <w:r>
              <w:rPr>
                <w:color w:val="000000" w:themeColor="text1"/>
                <w:szCs w:val="24"/>
                <w:vertAlign w:val="subscript"/>
                <w:lang w:eastAsia="zh-CN"/>
                <w14:textFill>
                  <w14:solidFill>
                    <w14:schemeClr w14:val="tx1"/>
                  </w14:solidFill>
                </w14:textFill>
              </w:rPr>
              <w:t>processing</w:t>
            </w:r>
            <w:r>
              <w:rPr>
                <w:color w:val="000000" w:themeColor="text1"/>
                <w:szCs w:val="24"/>
                <w:lang w:eastAsia="zh-CN"/>
                <w14:textFill>
                  <w14:solidFill>
                    <w14:schemeClr w14:val="tx1"/>
                  </w14:solidFill>
                </w14:textFill>
              </w:rPr>
              <w:t xml:space="preserve"> for PCell HO, T</w:t>
            </w:r>
            <w:r>
              <w:rPr>
                <w:color w:val="000000" w:themeColor="text1"/>
                <w:szCs w:val="24"/>
                <w:vertAlign w:val="subscript"/>
                <w:lang w:eastAsia="zh-CN"/>
                <w14:textFill>
                  <w14:solidFill>
                    <w14:schemeClr w14:val="tx1"/>
                  </w14:solidFill>
                </w14:textFill>
              </w:rPr>
              <w:t>processing</w:t>
            </w:r>
            <w:r>
              <w:rPr>
                <w:color w:val="000000" w:themeColor="text1"/>
                <w:szCs w:val="24"/>
                <w:lang w:eastAsia="zh-CN"/>
                <w14:textFill>
                  <w14:solidFill>
                    <w14:schemeClr w14:val="tx1"/>
                  </w14:solidFill>
                </w14:textFill>
              </w:rPr>
              <w:t xml:space="preserve"> for PSCell addition/change) + [X] ms.</w:t>
            </w:r>
          </w:p>
          <w:p>
            <w:pPr>
              <w:numPr>
                <w:ilvl w:val="2"/>
                <w:numId w:val="7"/>
              </w:numPr>
              <w:spacing w:after="120" w:line="259" w:lineRule="auto"/>
              <w:ind w:left="2376"/>
              <w:jc w:val="both"/>
              <w:rPr>
                <w:bCs/>
                <w:color w:val="000000" w:themeColor="text1"/>
                <w:szCs w:val="24"/>
                <w:lang w:eastAsia="zh-CN"/>
                <w14:textFill>
                  <w14:solidFill>
                    <w14:schemeClr w14:val="tx1"/>
                  </w14:solidFill>
                </w14:textFill>
              </w:rPr>
            </w:pPr>
            <w:r>
              <w:rPr>
                <w:bCs/>
                <w:color w:val="000000" w:themeColor="text1"/>
                <w:szCs w:val="24"/>
                <w:lang w:eastAsia="zh-CN"/>
                <w14:textFill>
                  <w14:solidFill>
                    <w14:schemeClr w14:val="tx1"/>
                  </w14:solidFill>
                </w14:textFill>
              </w:rPr>
              <w:t>X=5 (Qualcomm, Xiaomi, OPPO)</w:t>
            </w:r>
          </w:p>
          <w:p>
            <w:pPr>
              <w:numPr>
                <w:ilvl w:val="2"/>
                <w:numId w:val="7"/>
              </w:numPr>
              <w:spacing w:after="120" w:line="259" w:lineRule="auto"/>
              <w:ind w:left="2376"/>
              <w:jc w:val="both"/>
              <w:rPr>
                <w:bCs/>
                <w:color w:val="000000" w:themeColor="text1"/>
                <w:szCs w:val="24"/>
                <w:lang w:eastAsia="zh-CN"/>
                <w14:textFill>
                  <w14:solidFill>
                    <w14:schemeClr w14:val="tx1"/>
                  </w14:solidFill>
                </w14:textFill>
              </w:rPr>
            </w:pPr>
            <w:r>
              <w:rPr>
                <w:rFonts w:hint="eastAsia"/>
                <w:bCs/>
                <w:color w:val="000000" w:themeColor="text1"/>
                <w:szCs w:val="24"/>
                <w:lang w:eastAsia="zh-CN"/>
                <w14:textFill>
                  <w14:solidFill>
                    <w14:schemeClr w14:val="tx1"/>
                  </w14:solidFill>
                </w14:textFill>
              </w:rPr>
              <w:t>X</w:t>
            </w:r>
            <w:r>
              <w:rPr>
                <w:bCs/>
                <w:color w:val="000000" w:themeColor="text1"/>
                <w:szCs w:val="24"/>
                <w:lang w:eastAsia="zh-CN"/>
                <w14:textFill>
                  <w14:solidFill>
                    <w14:schemeClr w14:val="tx1"/>
                  </w14:solidFill>
                </w14:textFill>
              </w:rPr>
              <w:t>=10 (MTK, Apple, Qualcomm)</w:t>
            </w:r>
          </w:p>
          <w:p>
            <w:pPr>
              <w:numPr>
                <w:ilvl w:val="2"/>
                <w:numId w:val="7"/>
              </w:numPr>
              <w:spacing w:after="120" w:line="259" w:lineRule="auto"/>
              <w:ind w:left="2376"/>
              <w:jc w:val="both"/>
              <w:rPr>
                <w:bCs/>
                <w:color w:val="000000" w:themeColor="text1"/>
                <w:szCs w:val="24"/>
                <w:lang w:eastAsia="zh-CN"/>
                <w14:textFill>
                  <w14:solidFill>
                    <w14:schemeClr w14:val="tx1"/>
                  </w14:solidFill>
                </w14:textFill>
              </w:rPr>
            </w:pPr>
            <w:r>
              <w:rPr>
                <w:bCs/>
                <w:color w:val="000000" w:themeColor="text1"/>
                <w:szCs w:val="24"/>
                <w:lang w:eastAsia="zh-CN"/>
                <w14:textFill>
                  <w14:solidFill>
                    <w14:schemeClr w14:val="tx1"/>
                  </w14:solidFill>
                </w14:textFill>
              </w:rPr>
              <w:t>X=FFS and can be different for different HO with PSCell scenarios (vivo)</w:t>
            </w:r>
          </w:p>
          <w:p>
            <w:pPr>
              <w:numPr>
                <w:ilvl w:val="1"/>
                <w:numId w:val="7"/>
              </w:numPr>
              <w:spacing w:after="120" w:line="259" w:lineRule="auto"/>
              <w:ind w:left="144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Option 2a: (Intel, CMCC, [Nokia])</w:t>
            </w:r>
          </w:p>
          <w:p>
            <w:pPr>
              <w:numPr>
                <w:ilvl w:val="2"/>
                <w:numId w:val="7"/>
              </w:numPr>
              <w:spacing w:after="120" w:line="259" w:lineRule="auto"/>
              <w:jc w:val="both"/>
              <w:rPr>
                <w:bCs/>
                <w:color w:val="000000" w:themeColor="text1"/>
                <w:lang w:eastAsia="ko-KR"/>
                <w14:textFill>
                  <w14:solidFill>
                    <w14:schemeClr w14:val="tx1"/>
                  </w14:solidFill>
                </w14:textFill>
              </w:rPr>
            </w:pPr>
            <w:r>
              <w:rPr>
                <w:bCs/>
                <w:color w:val="000000" w:themeColor="text1"/>
                <w:lang w:eastAsia="ko-KR"/>
                <w14:textFill>
                  <w14:solidFill>
                    <w14:schemeClr w14:val="tx1"/>
                  </w14:solidFill>
                </w14:textFill>
              </w:rPr>
              <w:t>T</w:t>
            </w:r>
            <w:r>
              <w:rPr>
                <w:bCs/>
                <w:color w:val="000000" w:themeColor="text1"/>
                <w:vertAlign w:val="subscript"/>
                <w:lang w:eastAsia="ko-KR"/>
                <w14:textFill>
                  <w14:solidFill>
                    <w14:schemeClr w14:val="tx1"/>
                  </w14:solidFill>
                </w14:textFill>
              </w:rPr>
              <w:t>processing</w:t>
            </w:r>
            <w:r>
              <w:rPr>
                <w:bCs/>
                <w:color w:val="000000" w:themeColor="text1"/>
                <w:lang w:eastAsia="ko-KR"/>
                <w14:textFill>
                  <w14:solidFill>
                    <w14:schemeClr w14:val="tx1"/>
                  </w14:solidFill>
                </w14:textFill>
              </w:rPr>
              <w:t xml:space="preserve"> applies independently for PCell and PSCell</w:t>
            </w:r>
            <w:r>
              <w:t>.</w:t>
            </w:r>
          </w:p>
          <w:p>
            <w:pPr>
              <w:numPr>
                <w:ilvl w:val="2"/>
                <w:numId w:val="7"/>
              </w:numPr>
              <w:spacing w:after="120" w:line="259" w:lineRule="auto"/>
              <w:ind w:left="2376"/>
              <w:jc w:val="both"/>
            </w:pPr>
            <w:r>
              <w:rPr>
                <w:bCs/>
                <w:color w:val="000000" w:themeColor="text1"/>
                <w:lang w:eastAsia="ko-KR"/>
                <w14:textFill>
                  <w14:solidFill>
                    <w14:schemeClr w14:val="tx1"/>
                  </w14:solidFill>
                </w14:textFill>
              </w:rPr>
              <w:t xml:space="preserve"> </w:t>
            </w:r>
            <w:r>
              <w:rPr>
                <w:lang w:eastAsia="ko-KR"/>
              </w:rPr>
              <w:t>FFS whether margin is needed</w:t>
            </w:r>
          </w:p>
        </w:tc>
      </w:tr>
    </w:tbl>
    <w:p>
      <w:pPr>
        <w:rPr>
          <w:rFonts w:hint="eastAsia" w:eastAsia="宋体"/>
          <w:color w:val="000000" w:themeColor="text1"/>
          <w:szCs w:val="18"/>
          <w:lang w:val="en-US" w:eastAsia="zh-CN"/>
          <w14:textFill>
            <w14:solidFill>
              <w14:schemeClr w14:val="tx1"/>
            </w14:solidFill>
          </w14:textFill>
        </w:rPr>
      </w:pPr>
    </w:p>
    <w:p>
      <w:pPr>
        <w:jc w:val="both"/>
        <w:rPr>
          <w:rFonts w:hint="eastAsia" w:eastAsia="宋体"/>
          <w:color w:val="000000" w:themeColor="text1"/>
          <w:szCs w:val="18"/>
          <w:lang w:val="en-US" w:eastAsia="zh-CN"/>
          <w14:textFill>
            <w14:solidFill>
              <w14:schemeClr w14:val="tx1"/>
            </w14:solidFill>
          </w14:textFill>
        </w:rPr>
      </w:pPr>
      <w:r>
        <w:rPr>
          <w:rFonts w:hint="eastAsia" w:eastAsia="宋体"/>
          <w:color w:val="000000" w:themeColor="text1"/>
          <w:sz w:val="22"/>
          <w:szCs w:val="22"/>
          <w:lang w:val="en-US" w:eastAsia="zh-CN"/>
          <w14:textFill>
            <w14:solidFill>
              <w14:schemeClr w14:val="tx1"/>
            </w14:solidFill>
          </w14:textFill>
        </w:rPr>
        <w:t xml:space="preserve">If </w:t>
      </w:r>
      <w:r>
        <w:rPr>
          <w:rFonts w:hint="eastAsia" w:eastAsia="宋体"/>
          <w:color w:val="000000" w:themeColor="text1"/>
          <w:sz w:val="22"/>
          <w:szCs w:val="22"/>
          <w:lang w:val="en-US" w:eastAsia="ko-KR"/>
          <w14:textFill>
            <w14:solidFill>
              <w14:schemeClr w14:val="tx1"/>
            </w14:solidFill>
          </w14:textFill>
        </w:rPr>
        <w:t>UE SW processing and RF warm-up for PCell HO and PSCell addition/change are performed in parallel</w:t>
      </w:r>
      <w:r>
        <w:rPr>
          <w:rFonts w:hint="eastAsia" w:eastAsia="宋体"/>
          <w:color w:val="000000" w:themeColor="text1"/>
          <w:sz w:val="22"/>
          <w:szCs w:val="22"/>
          <w:lang w:val="en-US" w:eastAsia="zh-CN"/>
          <w14:textFill>
            <w14:solidFill>
              <w14:schemeClr w14:val="tx1"/>
            </w14:solidFill>
          </w14:textFill>
        </w:rPr>
        <w:t>, the actual T</w:t>
      </w:r>
      <w:r>
        <w:rPr>
          <w:rFonts w:hint="eastAsia" w:eastAsia="宋体"/>
          <w:color w:val="000000" w:themeColor="text1"/>
          <w:sz w:val="22"/>
          <w:szCs w:val="22"/>
          <w:vertAlign w:val="subscript"/>
          <w:lang w:val="en-US" w:eastAsia="zh-CN"/>
          <w14:textFill>
            <w14:solidFill>
              <w14:schemeClr w14:val="tx1"/>
            </w14:solidFill>
          </w14:textFill>
        </w:rPr>
        <w:t xml:space="preserve">processing </w:t>
      </w:r>
      <w:r>
        <w:rPr>
          <w:rFonts w:hint="eastAsia" w:eastAsia="宋体"/>
          <w:color w:val="000000" w:themeColor="text1"/>
          <w:sz w:val="22"/>
          <w:szCs w:val="22"/>
          <w:lang w:val="en-US" w:eastAsia="zh-CN"/>
          <w14:textFill>
            <w14:solidFill>
              <w14:schemeClr w14:val="tx1"/>
            </w14:solidFill>
          </w14:textFill>
        </w:rPr>
        <w:t>the UE experiences is the maximum value between T</w:t>
      </w:r>
      <w:r>
        <w:rPr>
          <w:rFonts w:hint="eastAsia" w:eastAsia="宋体"/>
          <w:color w:val="000000" w:themeColor="text1"/>
          <w:sz w:val="22"/>
          <w:szCs w:val="22"/>
          <w:vertAlign w:val="subscript"/>
          <w:lang w:val="en-US" w:eastAsia="zh-CN"/>
          <w14:textFill>
            <w14:solidFill>
              <w14:schemeClr w14:val="tx1"/>
            </w14:solidFill>
          </w14:textFill>
        </w:rPr>
        <w:t xml:space="preserve">processing </w:t>
      </w:r>
      <w:r>
        <w:rPr>
          <w:rFonts w:hint="eastAsia" w:eastAsia="宋体"/>
          <w:color w:val="000000" w:themeColor="text1"/>
          <w:sz w:val="22"/>
          <w:szCs w:val="22"/>
          <w:vertAlign w:val="baseline"/>
          <w:lang w:val="en-US" w:eastAsia="zh-CN"/>
          <w14:textFill>
            <w14:solidFill>
              <w14:schemeClr w14:val="tx1"/>
            </w14:solidFill>
          </w14:textFill>
        </w:rPr>
        <w:t xml:space="preserve">for </w:t>
      </w:r>
      <w:r>
        <w:rPr>
          <w:rFonts w:hint="eastAsia" w:eastAsia="宋体"/>
          <w:color w:val="000000" w:themeColor="text1"/>
          <w:sz w:val="22"/>
          <w:szCs w:val="22"/>
          <w:lang w:val="en-US" w:eastAsia="zh-CN"/>
          <w14:textFill>
            <w14:solidFill>
              <w14:schemeClr w14:val="tx1"/>
            </w14:solidFill>
          </w14:textFill>
        </w:rPr>
        <w:t>PCell HO and T</w:t>
      </w:r>
      <w:r>
        <w:rPr>
          <w:rFonts w:hint="eastAsia" w:eastAsia="宋体"/>
          <w:color w:val="000000" w:themeColor="text1"/>
          <w:sz w:val="22"/>
          <w:szCs w:val="22"/>
          <w:vertAlign w:val="subscript"/>
          <w:lang w:val="en-US" w:eastAsia="zh-CN"/>
          <w14:textFill>
            <w14:solidFill>
              <w14:schemeClr w14:val="tx1"/>
            </w14:solidFill>
          </w14:textFill>
        </w:rPr>
        <w:t xml:space="preserve">processing </w:t>
      </w:r>
      <w:r>
        <w:rPr>
          <w:rFonts w:hint="eastAsia" w:eastAsia="宋体"/>
          <w:color w:val="000000" w:themeColor="text1"/>
          <w:sz w:val="22"/>
          <w:szCs w:val="22"/>
          <w:vertAlign w:val="baseline"/>
          <w:lang w:val="en-US" w:eastAsia="zh-CN"/>
          <w14:textFill>
            <w14:solidFill>
              <w14:schemeClr w14:val="tx1"/>
            </w14:solidFill>
          </w14:textFill>
        </w:rPr>
        <w:t xml:space="preserve">for </w:t>
      </w:r>
      <w:r>
        <w:rPr>
          <w:rFonts w:hint="eastAsia" w:eastAsia="宋体"/>
          <w:color w:val="000000" w:themeColor="text1"/>
          <w:sz w:val="22"/>
          <w:szCs w:val="22"/>
          <w:lang w:val="en-US" w:eastAsia="zh-CN"/>
          <w14:textFill>
            <w14:solidFill>
              <w14:schemeClr w14:val="tx1"/>
            </w14:solidFill>
          </w14:textFill>
        </w:rPr>
        <w:t>PSCell addition/change</w:t>
      </w:r>
      <w:r>
        <w:rPr>
          <w:rFonts w:hint="eastAsia" w:eastAsia="宋体"/>
          <w:sz w:val="22"/>
          <w:szCs w:val="22"/>
          <w:lang w:val="en-US" w:eastAsia="zh-CN"/>
        </w:rPr>
        <w:t xml:space="preserve">. </w:t>
      </w:r>
      <w:r>
        <w:rPr>
          <w:rFonts w:hint="eastAsia" w:eastAsia="宋体"/>
          <w:sz w:val="22"/>
          <w:lang w:val="en-US" w:eastAsia="zh-CN"/>
        </w:rPr>
        <w:t xml:space="preserve"> </w:t>
      </w:r>
    </w:p>
    <w:p>
      <w:pPr>
        <w:numPr>
          <w:ilvl w:val="0"/>
          <w:numId w:val="0"/>
        </w:numPr>
        <w:spacing w:after="120" w:line="259" w:lineRule="auto"/>
        <w:jc w:val="both"/>
        <w:rPr>
          <w:b/>
          <w:bCs/>
          <w:color w:val="000000" w:themeColor="text1"/>
          <w:szCs w:val="24"/>
          <w:lang w:eastAsia="zh-CN"/>
          <w14:textFill>
            <w14:solidFill>
              <w14:schemeClr w14:val="tx1"/>
            </w14:solidFill>
          </w14:textFill>
        </w:rPr>
      </w:pPr>
      <w:r>
        <w:rPr>
          <w:rFonts w:hint="eastAsia" w:eastAsia="宋体"/>
          <w:b/>
          <w:bCs/>
          <w:color w:val="000000" w:themeColor="text1"/>
          <w:szCs w:val="18"/>
          <w:lang w:val="en-US" w:eastAsia="zh-CN"/>
          <w14:textFill>
            <w14:solidFill>
              <w14:schemeClr w14:val="tx1"/>
            </w14:solidFill>
          </w14:textFill>
        </w:rPr>
        <w:t>Proposal 1:</w:t>
      </w:r>
      <w:r>
        <w:rPr>
          <w:b/>
          <w:bCs/>
          <w:color w:val="000000" w:themeColor="text1"/>
          <w:lang w:eastAsia="ko-KR"/>
          <w14:textFill>
            <w14:solidFill>
              <w14:schemeClr w14:val="tx1"/>
            </w14:solidFill>
          </w14:textFill>
        </w:rPr>
        <w:t>T</w:t>
      </w:r>
      <w:r>
        <w:rPr>
          <w:b/>
          <w:bCs/>
          <w:color w:val="000000" w:themeColor="text1"/>
          <w:vertAlign w:val="subscript"/>
          <w:lang w:eastAsia="ko-KR"/>
          <w14:textFill>
            <w14:solidFill>
              <w14:schemeClr w14:val="tx1"/>
            </w14:solidFill>
          </w14:textFill>
        </w:rPr>
        <w:t xml:space="preserve">processing </w:t>
      </w:r>
      <w:r>
        <w:rPr>
          <w:b/>
          <w:bCs/>
          <w:color w:val="000000" w:themeColor="text1"/>
          <w:lang w:eastAsia="ko-KR"/>
          <w14:textFill>
            <w14:solidFill>
              <w14:schemeClr w14:val="tx1"/>
            </w14:solidFill>
          </w14:textFill>
        </w:rPr>
        <w:t xml:space="preserve">for HO with PSCell = </w:t>
      </w:r>
      <w:r>
        <w:rPr>
          <w:b/>
          <w:bCs/>
          <w:color w:val="000000" w:themeColor="text1"/>
          <w:szCs w:val="24"/>
          <w:lang w:eastAsia="zh-CN"/>
          <w14:textFill>
            <w14:solidFill>
              <w14:schemeClr w14:val="tx1"/>
            </w14:solidFill>
          </w14:textFill>
        </w:rPr>
        <w:t>max(T</w:t>
      </w:r>
      <w:r>
        <w:rPr>
          <w:b/>
          <w:bCs/>
          <w:color w:val="000000" w:themeColor="text1"/>
          <w:szCs w:val="24"/>
          <w:vertAlign w:val="subscript"/>
          <w:lang w:eastAsia="zh-CN"/>
          <w14:textFill>
            <w14:solidFill>
              <w14:schemeClr w14:val="tx1"/>
            </w14:solidFill>
          </w14:textFill>
        </w:rPr>
        <w:t>processing</w:t>
      </w:r>
      <w:r>
        <w:rPr>
          <w:b/>
          <w:bCs/>
          <w:color w:val="000000" w:themeColor="text1"/>
          <w:szCs w:val="24"/>
          <w:lang w:eastAsia="zh-CN"/>
          <w14:textFill>
            <w14:solidFill>
              <w14:schemeClr w14:val="tx1"/>
            </w14:solidFill>
          </w14:textFill>
        </w:rPr>
        <w:t xml:space="preserve"> for PCell HO, T</w:t>
      </w:r>
      <w:r>
        <w:rPr>
          <w:b/>
          <w:bCs/>
          <w:color w:val="000000" w:themeColor="text1"/>
          <w:szCs w:val="24"/>
          <w:vertAlign w:val="subscript"/>
          <w:lang w:eastAsia="zh-CN"/>
          <w14:textFill>
            <w14:solidFill>
              <w14:schemeClr w14:val="tx1"/>
            </w14:solidFill>
          </w14:textFill>
        </w:rPr>
        <w:t>processing</w:t>
      </w:r>
      <w:r>
        <w:rPr>
          <w:b/>
          <w:bCs/>
          <w:color w:val="000000" w:themeColor="text1"/>
          <w:szCs w:val="24"/>
          <w:lang w:eastAsia="zh-CN"/>
          <w14:textFill>
            <w14:solidFill>
              <w14:schemeClr w14:val="tx1"/>
            </w14:solidFill>
          </w14:textFill>
        </w:rPr>
        <w:t xml:space="preserve"> for PSCell addition/change)</w:t>
      </w:r>
    </w:p>
    <w:p>
      <w:pPr>
        <w:rPr>
          <w:rFonts w:hint="default" w:eastAsia="宋体"/>
          <w:color w:val="000000" w:themeColor="text1"/>
          <w:szCs w:val="18"/>
          <w:lang w:val="en-US" w:eastAsia="zh-CN"/>
          <w14:textFill>
            <w14:solidFill>
              <w14:schemeClr w14:val="tx1"/>
            </w14:solidFill>
          </w14:textFill>
        </w:rPr>
      </w:pPr>
    </w:p>
    <w:p>
      <w:pPr>
        <w:rPr>
          <w:rFonts w:hint="default" w:eastAsia="宋体"/>
          <w:color w:val="000000" w:themeColor="text1"/>
          <w:szCs w:val="18"/>
          <w:lang w:val="en-US" w:eastAsia="zh-CN"/>
          <w14:textFill>
            <w14:solidFill>
              <w14:schemeClr w14:val="tx1"/>
            </w14:solidFill>
          </w14:textFill>
        </w:rPr>
      </w:pPr>
    </w:p>
    <w:p>
      <w:pPr>
        <w:jc w:val="both"/>
        <w:rPr>
          <w:rFonts w:hint="eastAsia" w:eastAsia="宋体"/>
          <w:b/>
          <w:bCs/>
          <w:sz w:val="22"/>
          <w:u w:val="single"/>
          <w:lang w:val="en-US" w:eastAsia="zh-CN"/>
        </w:rPr>
      </w:pPr>
      <w:r>
        <w:rPr>
          <w:rFonts w:hint="eastAsia" w:eastAsia="宋体"/>
          <w:b/>
          <w:bCs/>
          <w:sz w:val="22"/>
          <w:u w:val="single"/>
          <w:lang w:val="en-US" w:eastAsia="zh-CN"/>
        </w:rPr>
        <w:t>Requirements for NR-U</w:t>
      </w: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2-5-1: Requirements for HO with PSCell for NR-U</w:t>
            </w:r>
          </w:p>
          <w:p>
            <w:pPr>
              <w:numPr>
                <w:ilvl w:val="0"/>
                <w:numId w:val="7"/>
              </w:numPr>
              <w:spacing w:after="120" w:line="259" w:lineRule="auto"/>
              <w:ind w:left="720"/>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Proposals</w:t>
            </w:r>
          </w:p>
          <w:p>
            <w:pPr>
              <w:numPr>
                <w:ilvl w:val="1"/>
                <w:numId w:val="7"/>
              </w:numPr>
              <w:spacing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Option 1 (CATT, MTK, Apple, Qualcomm, ZTE, Intel, vivo): </w:t>
            </w:r>
          </w:p>
          <w:p>
            <w:pPr>
              <w:numPr>
                <w:ilvl w:val="2"/>
                <w:numId w:val="7"/>
              </w:numPr>
              <w:spacing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Postpone the requirement design of NR-U HO with PSCell until RAN4 completes the baseline requirement for HO with PSCell on licensed band.</w:t>
            </w:r>
          </w:p>
          <w:p>
            <w:pPr>
              <w:numPr>
                <w:ilvl w:val="1"/>
                <w:numId w:val="7"/>
              </w:numPr>
              <w:spacing w:after="120"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Option 2 (Ericsson): </w:t>
            </w:r>
          </w:p>
          <w:p>
            <w:pPr>
              <w:numPr>
                <w:ilvl w:val="2"/>
                <w:numId w:val="7"/>
              </w:numPr>
              <w:spacing w:after="120"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Requirements for HO with PSCell when PSCell is on NR-U shall be discussed in parallel with licensed carrier requirements and be specified in Rel-17</w:t>
            </w:r>
          </w:p>
          <w:p>
            <w:pPr>
              <w:numPr>
                <w:ilvl w:val="1"/>
                <w:numId w:val="7"/>
              </w:numPr>
              <w:spacing w:after="120" w:line="259" w:lineRule="auto"/>
              <w:jc w:val="both"/>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Option 3 (Apple, vivo): </w:t>
            </w:r>
          </w:p>
          <w:p>
            <w:pPr>
              <w:numPr>
                <w:ilvl w:val="2"/>
                <w:numId w:val="7"/>
              </w:numPr>
              <w:spacing w:after="120" w:line="259" w:lineRule="auto"/>
              <w:jc w:val="both"/>
            </w:pPr>
            <w:r>
              <w:rPr>
                <w:color w:val="000000" w:themeColor="text1"/>
                <w:szCs w:val="24"/>
                <w:lang w:eastAsia="zh-CN"/>
                <w14:textFill>
                  <w14:solidFill>
                    <w14:schemeClr w14:val="tx1"/>
                  </w14:solidFill>
                </w14:textFill>
              </w:rPr>
              <w:t>Discuss requirements for NR-U in Rel-18.</w:t>
            </w:r>
          </w:p>
        </w:tc>
      </w:tr>
    </w:tbl>
    <w:p>
      <w:pPr>
        <w:numPr>
          <w:ilvl w:val="0"/>
          <w:numId w:val="0"/>
        </w:numPr>
        <w:spacing w:after="120" w:line="259" w:lineRule="auto"/>
        <w:jc w:val="both"/>
        <w:rPr>
          <w:rFonts w:hint="eastAsia" w:eastAsia="宋体"/>
          <w:color w:val="auto"/>
          <w:lang w:val="en-US" w:eastAsia="zh-CN"/>
        </w:rPr>
      </w:pPr>
    </w:p>
    <w:p>
      <w:pPr>
        <w:numPr>
          <w:ilvl w:val="0"/>
          <w:numId w:val="0"/>
        </w:numPr>
        <w:overflowPunct w:val="0"/>
        <w:autoSpaceDE w:val="0"/>
        <w:autoSpaceDN w:val="0"/>
        <w:adjustRightInd w:val="0"/>
        <w:spacing w:after="120"/>
        <w:ind w:leftChars="0"/>
        <w:textAlignment w:val="baseline"/>
        <w:rPr>
          <w:rFonts w:hint="default" w:cs="Times New Roman"/>
          <w:b w:val="0"/>
          <w:bCs w:val="0"/>
          <w:kern w:val="2"/>
          <w:sz w:val="22"/>
          <w:szCs w:val="22"/>
          <w:u w:val="none"/>
          <w:vertAlign w:val="baseline"/>
          <w:lang w:val="en-US" w:eastAsia="zh-CN" w:bidi="ar-SA"/>
        </w:rPr>
      </w:pPr>
      <w:r>
        <w:rPr>
          <w:rFonts w:hint="eastAsia" w:cs="Times New Roman"/>
          <w:b w:val="0"/>
          <w:bCs w:val="0"/>
          <w:kern w:val="2"/>
          <w:sz w:val="22"/>
          <w:szCs w:val="22"/>
          <w:u w:val="none"/>
          <w:vertAlign w:val="baseline"/>
          <w:lang w:val="en-US" w:eastAsia="zh-CN" w:bidi="ar-SA"/>
        </w:rPr>
        <w:t>For this issue, we would like to postpone the requirement design of NR-U till the discussion of RRM requirements for HO with PSCell on license band is basically stabilized. For option 3, whether to continue this topic in R18 may depend on the progress and we are fine if it is supported by most companies.</w:t>
      </w:r>
    </w:p>
    <w:p>
      <w:pPr>
        <w:numPr>
          <w:ilvl w:val="0"/>
          <w:numId w:val="0"/>
        </w:numPr>
        <w:spacing w:line="259" w:lineRule="auto"/>
        <w:jc w:val="both"/>
        <w:rPr>
          <w:b/>
          <w:bCs/>
          <w:color w:val="000000" w:themeColor="text1"/>
          <w:sz w:val="22"/>
          <w:szCs w:val="22"/>
          <w:lang w:eastAsia="zh-CN"/>
          <w14:textFill>
            <w14:solidFill>
              <w14:schemeClr w14:val="tx1"/>
            </w14:solidFill>
          </w14:textFill>
        </w:rPr>
      </w:pPr>
      <w:r>
        <w:rPr>
          <w:rFonts w:hint="eastAsia" w:cs="Times New Roman"/>
          <w:b/>
          <w:bCs/>
          <w:kern w:val="2"/>
          <w:sz w:val="22"/>
          <w:szCs w:val="22"/>
          <w:u w:val="none"/>
          <w:vertAlign w:val="baseline"/>
          <w:lang w:val="en-US" w:eastAsia="zh-CN" w:bidi="ar-SA"/>
        </w:rPr>
        <w:t xml:space="preserve">Proposal 2: </w:t>
      </w:r>
      <w:r>
        <w:rPr>
          <w:b/>
          <w:bCs/>
          <w:color w:val="000000" w:themeColor="text1"/>
          <w:sz w:val="22"/>
          <w:szCs w:val="22"/>
          <w:lang w:eastAsia="zh-CN"/>
          <w14:textFill>
            <w14:solidFill>
              <w14:schemeClr w14:val="tx1"/>
            </w14:solidFill>
          </w14:textFill>
        </w:rPr>
        <w:t>Postpone the requirement design of NR-U HO with PSCell until RAN4 completes the baseline requirement for HO with PSCell on licensed band.</w:t>
      </w:r>
    </w:p>
    <w:p>
      <w:pPr>
        <w:numPr>
          <w:ilvl w:val="0"/>
          <w:numId w:val="0"/>
        </w:numPr>
        <w:overflowPunct w:val="0"/>
        <w:autoSpaceDE w:val="0"/>
        <w:autoSpaceDN w:val="0"/>
        <w:adjustRightInd w:val="0"/>
        <w:spacing w:after="120"/>
        <w:ind w:leftChars="0"/>
        <w:textAlignment w:val="baseline"/>
        <w:rPr>
          <w:rFonts w:hint="default" w:cs="Times New Roman"/>
          <w:b w:val="0"/>
          <w:bCs w:val="0"/>
          <w:kern w:val="2"/>
          <w:sz w:val="21"/>
          <w:szCs w:val="22"/>
          <w:u w:val="none"/>
          <w:vertAlign w:val="baseline"/>
          <w:lang w:val="en-US" w:eastAsia="zh-CN" w:bidi="ar-SA"/>
        </w:rPr>
      </w:pPr>
    </w:p>
    <w:p>
      <w:pPr>
        <w:pStyle w:val="29"/>
        <w:numPr>
          <w:ilvl w:val="0"/>
          <w:numId w:val="6"/>
        </w:numPr>
        <w:ind w:left="1134" w:leftChars="0" w:hanging="1134" w:firstLineChars="0"/>
        <w:jc w:val="both"/>
      </w:pPr>
      <w:r>
        <w:t>Conclusion</w:t>
      </w:r>
    </w:p>
    <w:p>
      <w:pPr>
        <w:numPr>
          <w:ilvl w:val="0"/>
          <w:numId w:val="0"/>
        </w:numPr>
        <w:spacing w:after="120" w:line="259" w:lineRule="auto"/>
        <w:jc w:val="both"/>
        <w:rPr>
          <w:b/>
          <w:bCs/>
          <w:color w:val="000000" w:themeColor="text1"/>
          <w:sz w:val="22"/>
          <w:szCs w:val="22"/>
          <w:lang w:eastAsia="zh-CN"/>
          <w14:textFill>
            <w14:solidFill>
              <w14:schemeClr w14:val="tx1"/>
            </w14:solidFill>
          </w14:textFill>
        </w:rPr>
      </w:pPr>
      <w:bookmarkStart w:id="4" w:name="_GoBack"/>
      <w:r>
        <w:rPr>
          <w:rFonts w:hint="eastAsia" w:eastAsia="宋体"/>
          <w:b/>
          <w:bCs/>
          <w:color w:val="000000" w:themeColor="text1"/>
          <w:sz w:val="22"/>
          <w:szCs w:val="22"/>
          <w:lang w:val="en-US" w:eastAsia="zh-CN"/>
          <w14:textFill>
            <w14:solidFill>
              <w14:schemeClr w14:val="tx1"/>
            </w14:solidFill>
          </w14:textFill>
        </w:rPr>
        <w:t>Proposal 1:</w:t>
      </w:r>
      <w:r>
        <w:rPr>
          <w:b/>
          <w:bCs/>
          <w:color w:val="000000" w:themeColor="text1"/>
          <w:sz w:val="22"/>
          <w:szCs w:val="22"/>
          <w:lang w:eastAsia="ko-KR"/>
          <w14:textFill>
            <w14:solidFill>
              <w14:schemeClr w14:val="tx1"/>
            </w14:solidFill>
          </w14:textFill>
        </w:rPr>
        <w:t>T</w:t>
      </w:r>
      <w:r>
        <w:rPr>
          <w:b/>
          <w:bCs/>
          <w:color w:val="000000" w:themeColor="text1"/>
          <w:sz w:val="22"/>
          <w:szCs w:val="22"/>
          <w:vertAlign w:val="subscript"/>
          <w:lang w:eastAsia="ko-KR"/>
          <w14:textFill>
            <w14:solidFill>
              <w14:schemeClr w14:val="tx1"/>
            </w14:solidFill>
          </w14:textFill>
        </w:rPr>
        <w:t xml:space="preserve">processing </w:t>
      </w:r>
      <w:r>
        <w:rPr>
          <w:b/>
          <w:bCs/>
          <w:color w:val="000000" w:themeColor="text1"/>
          <w:sz w:val="22"/>
          <w:szCs w:val="22"/>
          <w:lang w:eastAsia="ko-KR"/>
          <w14:textFill>
            <w14:solidFill>
              <w14:schemeClr w14:val="tx1"/>
            </w14:solidFill>
          </w14:textFill>
        </w:rPr>
        <w:t xml:space="preserve">for HO with PSCell = </w:t>
      </w:r>
      <w:r>
        <w:rPr>
          <w:b/>
          <w:bCs/>
          <w:color w:val="000000" w:themeColor="text1"/>
          <w:sz w:val="22"/>
          <w:szCs w:val="22"/>
          <w:lang w:eastAsia="zh-CN"/>
          <w14:textFill>
            <w14:solidFill>
              <w14:schemeClr w14:val="tx1"/>
            </w14:solidFill>
          </w14:textFill>
        </w:rPr>
        <w:t>max(T</w:t>
      </w:r>
      <w:r>
        <w:rPr>
          <w:b/>
          <w:bCs/>
          <w:color w:val="000000" w:themeColor="text1"/>
          <w:sz w:val="22"/>
          <w:szCs w:val="22"/>
          <w:vertAlign w:val="subscript"/>
          <w:lang w:eastAsia="zh-CN"/>
          <w14:textFill>
            <w14:solidFill>
              <w14:schemeClr w14:val="tx1"/>
            </w14:solidFill>
          </w14:textFill>
        </w:rPr>
        <w:t>processing</w:t>
      </w:r>
      <w:r>
        <w:rPr>
          <w:b/>
          <w:bCs/>
          <w:color w:val="000000" w:themeColor="text1"/>
          <w:sz w:val="22"/>
          <w:szCs w:val="22"/>
          <w:lang w:eastAsia="zh-CN"/>
          <w14:textFill>
            <w14:solidFill>
              <w14:schemeClr w14:val="tx1"/>
            </w14:solidFill>
          </w14:textFill>
        </w:rPr>
        <w:t xml:space="preserve"> for PCell HO, T</w:t>
      </w:r>
      <w:r>
        <w:rPr>
          <w:b/>
          <w:bCs/>
          <w:color w:val="000000" w:themeColor="text1"/>
          <w:sz w:val="22"/>
          <w:szCs w:val="22"/>
          <w:vertAlign w:val="subscript"/>
          <w:lang w:eastAsia="zh-CN"/>
          <w14:textFill>
            <w14:solidFill>
              <w14:schemeClr w14:val="tx1"/>
            </w14:solidFill>
          </w14:textFill>
        </w:rPr>
        <w:t>processing</w:t>
      </w:r>
      <w:r>
        <w:rPr>
          <w:b/>
          <w:bCs/>
          <w:color w:val="000000" w:themeColor="text1"/>
          <w:sz w:val="22"/>
          <w:szCs w:val="22"/>
          <w:lang w:eastAsia="zh-CN"/>
          <w14:textFill>
            <w14:solidFill>
              <w14:schemeClr w14:val="tx1"/>
            </w14:solidFill>
          </w14:textFill>
        </w:rPr>
        <w:t xml:space="preserve"> for PSCell addition/change)</w:t>
      </w:r>
    </w:p>
    <w:p>
      <w:pPr>
        <w:numPr>
          <w:ilvl w:val="0"/>
          <w:numId w:val="0"/>
        </w:numPr>
        <w:spacing w:line="259" w:lineRule="auto"/>
        <w:jc w:val="both"/>
        <w:rPr>
          <w:b/>
          <w:bCs/>
          <w:color w:val="000000" w:themeColor="text1"/>
          <w:sz w:val="22"/>
          <w:szCs w:val="22"/>
          <w:lang w:eastAsia="zh-CN"/>
          <w14:textFill>
            <w14:solidFill>
              <w14:schemeClr w14:val="tx1"/>
            </w14:solidFill>
          </w14:textFill>
        </w:rPr>
      </w:pPr>
      <w:r>
        <w:rPr>
          <w:rFonts w:hint="eastAsia" w:cs="Times New Roman"/>
          <w:b/>
          <w:bCs/>
          <w:kern w:val="2"/>
          <w:sz w:val="22"/>
          <w:szCs w:val="22"/>
          <w:u w:val="none"/>
          <w:vertAlign w:val="baseline"/>
          <w:lang w:val="en-US" w:eastAsia="zh-CN" w:bidi="ar-SA"/>
        </w:rPr>
        <w:t xml:space="preserve">Proposal 2: </w:t>
      </w:r>
      <w:r>
        <w:rPr>
          <w:b/>
          <w:bCs/>
          <w:color w:val="000000" w:themeColor="text1"/>
          <w:sz w:val="22"/>
          <w:szCs w:val="22"/>
          <w:lang w:eastAsia="zh-CN"/>
          <w14:textFill>
            <w14:solidFill>
              <w14:schemeClr w14:val="tx1"/>
            </w14:solidFill>
          </w14:textFill>
        </w:rPr>
        <w:t>Postpone the requirement design of NR-U HO with PSCell until RAN4 completes the baseline requirement for HO with PSCell on licensed band.</w:t>
      </w:r>
    </w:p>
    <w:bookmarkEnd w:id="4"/>
    <w:p>
      <w:pPr>
        <w:rPr>
          <w:rFonts w:hint="eastAsia"/>
          <w:b/>
          <w:bCs/>
          <w:sz w:val="20"/>
          <w:szCs w:val="15"/>
          <w:lang w:val="en-US" w:eastAsia="zh-CN"/>
        </w:rPr>
      </w:pPr>
    </w:p>
    <w:p>
      <w:pPr>
        <w:pStyle w:val="29"/>
        <w:jc w:val="both"/>
      </w:pPr>
      <w:r>
        <w:t>References</w:t>
      </w:r>
    </w:p>
    <w:p>
      <w:pPr>
        <w:numPr>
          <w:ilvl w:val="0"/>
          <w:numId w:val="8"/>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val="en-US" w:eastAsia="zh-CN"/>
        </w:rPr>
        <w:t>R4-2202598, WF on further RRM enhancement for NR and MR-DC – HO with PSCell</w:t>
      </w:r>
      <w:r>
        <w:rPr>
          <w:rFonts w:hint="eastAsia" w:eastAsia="宋体"/>
          <w:lang w:val="en-GB" w:eastAsia="zh-CN"/>
        </w:rPr>
        <w:t>，</w:t>
      </w:r>
      <w:r>
        <w:rPr>
          <w:rFonts w:hint="eastAsia" w:eastAsia="宋体"/>
          <w:lang w:val="en-US" w:eastAsia="zh-CN"/>
        </w:rPr>
        <w:t>vivo</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7"/>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1F400C"/>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2CC9"/>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36877"/>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63D2"/>
    <w:rsid w:val="01290358"/>
    <w:rsid w:val="014D65AB"/>
    <w:rsid w:val="016E368C"/>
    <w:rsid w:val="017B5E4B"/>
    <w:rsid w:val="018D054D"/>
    <w:rsid w:val="01D71285"/>
    <w:rsid w:val="01FF08B3"/>
    <w:rsid w:val="023B3319"/>
    <w:rsid w:val="026A5D79"/>
    <w:rsid w:val="027E1394"/>
    <w:rsid w:val="0284242C"/>
    <w:rsid w:val="028676F2"/>
    <w:rsid w:val="0295566B"/>
    <w:rsid w:val="02A340AE"/>
    <w:rsid w:val="02AF305D"/>
    <w:rsid w:val="02B274E2"/>
    <w:rsid w:val="02BD7990"/>
    <w:rsid w:val="02C25D33"/>
    <w:rsid w:val="030809EC"/>
    <w:rsid w:val="03394FFB"/>
    <w:rsid w:val="035C282D"/>
    <w:rsid w:val="037B11F1"/>
    <w:rsid w:val="039A1BDA"/>
    <w:rsid w:val="03AE4991"/>
    <w:rsid w:val="03C6506D"/>
    <w:rsid w:val="03F37217"/>
    <w:rsid w:val="04143A32"/>
    <w:rsid w:val="041F4676"/>
    <w:rsid w:val="04503821"/>
    <w:rsid w:val="045B08B5"/>
    <w:rsid w:val="047B40B2"/>
    <w:rsid w:val="0492565C"/>
    <w:rsid w:val="04A56073"/>
    <w:rsid w:val="04C77D0A"/>
    <w:rsid w:val="04D5204C"/>
    <w:rsid w:val="051F0641"/>
    <w:rsid w:val="05733706"/>
    <w:rsid w:val="059B61E4"/>
    <w:rsid w:val="05A86143"/>
    <w:rsid w:val="05AC7AEC"/>
    <w:rsid w:val="05D34D59"/>
    <w:rsid w:val="05D42FA6"/>
    <w:rsid w:val="06105DAC"/>
    <w:rsid w:val="064201AF"/>
    <w:rsid w:val="066957D5"/>
    <w:rsid w:val="068A29F7"/>
    <w:rsid w:val="069766CC"/>
    <w:rsid w:val="07250AD8"/>
    <w:rsid w:val="07502CA2"/>
    <w:rsid w:val="078B76F8"/>
    <w:rsid w:val="079D410C"/>
    <w:rsid w:val="07C5787A"/>
    <w:rsid w:val="07C928A9"/>
    <w:rsid w:val="07D3429D"/>
    <w:rsid w:val="07D735D1"/>
    <w:rsid w:val="07E9174F"/>
    <w:rsid w:val="07F43B3B"/>
    <w:rsid w:val="080A5373"/>
    <w:rsid w:val="085564A9"/>
    <w:rsid w:val="08631FF0"/>
    <w:rsid w:val="08641205"/>
    <w:rsid w:val="0868025F"/>
    <w:rsid w:val="0873226E"/>
    <w:rsid w:val="088E5343"/>
    <w:rsid w:val="08935729"/>
    <w:rsid w:val="08936C0D"/>
    <w:rsid w:val="08A83C27"/>
    <w:rsid w:val="08AF3F5E"/>
    <w:rsid w:val="08C654D4"/>
    <w:rsid w:val="08CC5D10"/>
    <w:rsid w:val="08DC0169"/>
    <w:rsid w:val="08F522EB"/>
    <w:rsid w:val="092C45E6"/>
    <w:rsid w:val="093220E8"/>
    <w:rsid w:val="099F556C"/>
    <w:rsid w:val="09AC0546"/>
    <w:rsid w:val="09C640C3"/>
    <w:rsid w:val="09D362E0"/>
    <w:rsid w:val="09EF71DF"/>
    <w:rsid w:val="0A202869"/>
    <w:rsid w:val="0A2F63A3"/>
    <w:rsid w:val="0A5763D4"/>
    <w:rsid w:val="0A623873"/>
    <w:rsid w:val="0A7BF868"/>
    <w:rsid w:val="0A9573F8"/>
    <w:rsid w:val="0B206A21"/>
    <w:rsid w:val="0B6C6F78"/>
    <w:rsid w:val="0B7322DC"/>
    <w:rsid w:val="0B7600BE"/>
    <w:rsid w:val="0B84721F"/>
    <w:rsid w:val="0BA7588D"/>
    <w:rsid w:val="0BB77882"/>
    <w:rsid w:val="0BC65E45"/>
    <w:rsid w:val="0C102F73"/>
    <w:rsid w:val="0C2A1653"/>
    <w:rsid w:val="0C3145B0"/>
    <w:rsid w:val="0C3C5307"/>
    <w:rsid w:val="0C56263C"/>
    <w:rsid w:val="0C5C2399"/>
    <w:rsid w:val="0C5E2B8A"/>
    <w:rsid w:val="0CB37D5E"/>
    <w:rsid w:val="0CF62A01"/>
    <w:rsid w:val="0D102274"/>
    <w:rsid w:val="0D69107B"/>
    <w:rsid w:val="0D796541"/>
    <w:rsid w:val="0D9F7C29"/>
    <w:rsid w:val="0DA958CA"/>
    <w:rsid w:val="0DF104D3"/>
    <w:rsid w:val="0E1576FD"/>
    <w:rsid w:val="0E1C586B"/>
    <w:rsid w:val="0E5E051C"/>
    <w:rsid w:val="0E84113B"/>
    <w:rsid w:val="0E8A024B"/>
    <w:rsid w:val="0EAC77C9"/>
    <w:rsid w:val="0ED138E6"/>
    <w:rsid w:val="0EDA22A0"/>
    <w:rsid w:val="0EE278DB"/>
    <w:rsid w:val="0F130B06"/>
    <w:rsid w:val="0F3856C4"/>
    <w:rsid w:val="0F495218"/>
    <w:rsid w:val="0F4C5F28"/>
    <w:rsid w:val="0F4D7364"/>
    <w:rsid w:val="0F5003A5"/>
    <w:rsid w:val="0F67780F"/>
    <w:rsid w:val="0F8F3C2A"/>
    <w:rsid w:val="0F9F5663"/>
    <w:rsid w:val="0FB648CB"/>
    <w:rsid w:val="0FD0731A"/>
    <w:rsid w:val="0FF1533A"/>
    <w:rsid w:val="0FFE0AFA"/>
    <w:rsid w:val="1000683B"/>
    <w:rsid w:val="100525AD"/>
    <w:rsid w:val="101213A0"/>
    <w:rsid w:val="10344905"/>
    <w:rsid w:val="10656E2F"/>
    <w:rsid w:val="10732202"/>
    <w:rsid w:val="10860ED5"/>
    <w:rsid w:val="108F17DE"/>
    <w:rsid w:val="10AA3C13"/>
    <w:rsid w:val="10CA41CF"/>
    <w:rsid w:val="10CD0B75"/>
    <w:rsid w:val="10D43D83"/>
    <w:rsid w:val="110C4D24"/>
    <w:rsid w:val="11283655"/>
    <w:rsid w:val="11294631"/>
    <w:rsid w:val="113B0066"/>
    <w:rsid w:val="114A4434"/>
    <w:rsid w:val="115D458E"/>
    <w:rsid w:val="11650D79"/>
    <w:rsid w:val="1187598B"/>
    <w:rsid w:val="11A46722"/>
    <w:rsid w:val="11CA3B79"/>
    <w:rsid w:val="11F71F3A"/>
    <w:rsid w:val="12021254"/>
    <w:rsid w:val="12062D53"/>
    <w:rsid w:val="121A2A50"/>
    <w:rsid w:val="122017FC"/>
    <w:rsid w:val="122047A4"/>
    <w:rsid w:val="12432F43"/>
    <w:rsid w:val="124B5A34"/>
    <w:rsid w:val="12753179"/>
    <w:rsid w:val="128409CA"/>
    <w:rsid w:val="12843280"/>
    <w:rsid w:val="12BB3A94"/>
    <w:rsid w:val="12EF585C"/>
    <w:rsid w:val="12FB3877"/>
    <w:rsid w:val="13027CC3"/>
    <w:rsid w:val="13262572"/>
    <w:rsid w:val="13516C3B"/>
    <w:rsid w:val="135A35EB"/>
    <w:rsid w:val="135B714A"/>
    <w:rsid w:val="136D11EC"/>
    <w:rsid w:val="137D50D6"/>
    <w:rsid w:val="138845FC"/>
    <w:rsid w:val="139B3B65"/>
    <w:rsid w:val="13A62830"/>
    <w:rsid w:val="13D36053"/>
    <w:rsid w:val="13F75352"/>
    <w:rsid w:val="13FA5349"/>
    <w:rsid w:val="141E7377"/>
    <w:rsid w:val="142413B8"/>
    <w:rsid w:val="1427772F"/>
    <w:rsid w:val="1480544B"/>
    <w:rsid w:val="148A292B"/>
    <w:rsid w:val="14922769"/>
    <w:rsid w:val="14A25B1A"/>
    <w:rsid w:val="14B36B91"/>
    <w:rsid w:val="14BF6AA8"/>
    <w:rsid w:val="14C960C2"/>
    <w:rsid w:val="14D9405F"/>
    <w:rsid w:val="14DE3D1B"/>
    <w:rsid w:val="14F65349"/>
    <w:rsid w:val="14FA21D5"/>
    <w:rsid w:val="150D5858"/>
    <w:rsid w:val="1590041A"/>
    <w:rsid w:val="15DD3861"/>
    <w:rsid w:val="15EF1E61"/>
    <w:rsid w:val="16222725"/>
    <w:rsid w:val="162900B5"/>
    <w:rsid w:val="1634239A"/>
    <w:rsid w:val="16394032"/>
    <w:rsid w:val="164F667E"/>
    <w:rsid w:val="165D0583"/>
    <w:rsid w:val="16654289"/>
    <w:rsid w:val="16AE4BFB"/>
    <w:rsid w:val="16BA6C12"/>
    <w:rsid w:val="16CB37AF"/>
    <w:rsid w:val="16DB79C9"/>
    <w:rsid w:val="16E93B5B"/>
    <w:rsid w:val="16EA20E7"/>
    <w:rsid w:val="16F55CC6"/>
    <w:rsid w:val="17141F2D"/>
    <w:rsid w:val="176F5C05"/>
    <w:rsid w:val="17705930"/>
    <w:rsid w:val="17A076C4"/>
    <w:rsid w:val="17A62BCE"/>
    <w:rsid w:val="17AC57E6"/>
    <w:rsid w:val="17E12498"/>
    <w:rsid w:val="17E826AB"/>
    <w:rsid w:val="17F275CB"/>
    <w:rsid w:val="18194F39"/>
    <w:rsid w:val="18312DD6"/>
    <w:rsid w:val="18407C50"/>
    <w:rsid w:val="184B7EE3"/>
    <w:rsid w:val="1872258F"/>
    <w:rsid w:val="18AC3E03"/>
    <w:rsid w:val="18D3414F"/>
    <w:rsid w:val="18D91924"/>
    <w:rsid w:val="19831412"/>
    <w:rsid w:val="19A96435"/>
    <w:rsid w:val="19E43A3D"/>
    <w:rsid w:val="19EF476F"/>
    <w:rsid w:val="1A0B3A21"/>
    <w:rsid w:val="1A290039"/>
    <w:rsid w:val="1A352FE3"/>
    <w:rsid w:val="1A7F0493"/>
    <w:rsid w:val="1ABF3A0B"/>
    <w:rsid w:val="1AC158B0"/>
    <w:rsid w:val="1AEE5502"/>
    <w:rsid w:val="1B3329B5"/>
    <w:rsid w:val="1B595D85"/>
    <w:rsid w:val="1B6C7858"/>
    <w:rsid w:val="1B7F155B"/>
    <w:rsid w:val="1BAE2A00"/>
    <w:rsid w:val="1BB6627C"/>
    <w:rsid w:val="1BF056DA"/>
    <w:rsid w:val="1C1B0DC7"/>
    <w:rsid w:val="1C5E2CC4"/>
    <w:rsid w:val="1C5E2F54"/>
    <w:rsid w:val="1CA0799D"/>
    <w:rsid w:val="1CAE294B"/>
    <w:rsid w:val="1CDA242C"/>
    <w:rsid w:val="1CF73247"/>
    <w:rsid w:val="1CF75BF5"/>
    <w:rsid w:val="1CFB2AC1"/>
    <w:rsid w:val="1D1F1294"/>
    <w:rsid w:val="1D3600B7"/>
    <w:rsid w:val="1D3C7064"/>
    <w:rsid w:val="1D6224B5"/>
    <w:rsid w:val="1D85535E"/>
    <w:rsid w:val="1D955667"/>
    <w:rsid w:val="1DB227A6"/>
    <w:rsid w:val="1DB41841"/>
    <w:rsid w:val="1DCF39D2"/>
    <w:rsid w:val="1DE45821"/>
    <w:rsid w:val="1DF005DE"/>
    <w:rsid w:val="1DF64986"/>
    <w:rsid w:val="1E5E1170"/>
    <w:rsid w:val="1E687F6B"/>
    <w:rsid w:val="1E8806BC"/>
    <w:rsid w:val="1EA137E3"/>
    <w:rsid w:val="1EC97F44"/>
    <w:rsid w:val="1F0936F5"/>
    <w:rsid w:val="1F0D6CF5"/>
    <w:rsid w:val="1F17474D"/>
    <w:rsid w:val="1F2B10F9"/>
    <w:rsid w:val="1F606B52"/>
    <w:rsid w:val="1F711839"/>
    <w:rsid w:val="1F8429C2"/>
    <w:rsid w:val="1F8A172B"/>
    <w:rsid w:val="1F9A548F"/>
    <w:rsid w:val="1FA564C4"/>
    <w:rsid w:val="1FB811AE"/>
    <w:rsid w:val="1FDC0E64"/>
    <w:rsid w:val="1FE94550"/>
    <w:rsid w:val="200D067C"/>
    <w:rsid w:val="20811B82"/>
    <w:rsid w:val="2081439A"/>
    <w:rsid w:val="208D29F6"/>
    <w:rsid w:val="20941E02"/>
    <w:rsid w:val="20A662B2"/>
    <w:rsid w:val="20BE61DB"/>
    <w:rsid w:val="21091739"/>
    <w:rsid w:val="211451D0"/>
    <w:rsid w:val="211B0B99"/>
    <w:rsid w:val="21402B64"/>
    <w:rsid w:val="2151075A"/>
    <w:rsid w:val="2187422D"/>
    <w:rsid w:val="219E74A3"/>
    <w:rsid w:val="22271C95"/>
    <w:rsid w:val="22450C21"/>
    <w:rsid w:val="22571B82"/>
    <w:rsid w:val="22587625"/>
    <w:rsid w:val="22843CEF"/>
    <w:rsid w:val="22915C95"/>
    <w:rsid w:val="22920D1D"/>
    <w:rsid w:val="22951FAB"/>
    <w:rsid w:val="22C0245E"/>
    <w:rsid w:val="22C9451A"/>
    <w:rsid w:val="22D22A99"/>
    <w:rsid w:val="22DE4E2D"/>
    <w:rsid w:val="22DF0545"/>
    <w:rsid w:val="23514077"/>
    <w:rsid w:val="23855295"/>
    <w:rsid w:val="23B20773"/>
    <w:rsid w:val="23CF6D67"/>
    <w:rsid w:val="23E92C0B"/>
    <w:rsid w:val="241F6375"/>
    <w:rsid w:val="248F188B"/>
    <w:rsid w:val="24BD0518"/>
    <w:rsid w:val="24E91488"/>
    <w:rsid w:val="25077EC5"/>
    <w:rsid w:val="255233C2"/>
    <w:rsid w:val="256A021C"/>
    <w:rsid w:val="25962669"/>
    <w:rsid w:val="25C20278"/>
    <w:rsid w:val="25C545AD"/>
    <w:rsid w:val="262D62D9"/>
    <w:rsid w:val="26381808"/>
    <w:rsid w:val="26681CAB"/>
    <w:rsid w:val="267E5FCE"/>
    <w:rsid w:val="26895E91"/>
    <w:rsid w:val="26F16893"/>
    <w:rsid w:val="26F618C3"/>
    <w:rsid w:val="27016D1C"/>
    <w:rsid w:val="27104213"/>
    <w:rsid w:val="27572E0B"/>
    <w:rsid w:val="2762235C"/>
    <w:rsid w:val="276537E8"/>
    <w:rsid w:val="276D7CAD"/>
    <w:rsid w:val="27BE3159"/>
    <w:rsid w:val="27F111B3"/>
    <w:rsid w:val="27F55CE9"/>
    <w:rsid w:val="27F77172"/>
    <w:rsid w:val="28062AB3"/>
    <w:rsid w:val="280C272A"/>
    <w:rsid w:val="281B6C69"/>
    <w:rsid w:val="284E33F7"/>
    <w:rsid w:val="28596ECF"/>
    <w:rsid w:val="28694AA6"/>
    <w:rsid w:val="287A3770"/>
    <w:rsid w:val="2896156C"/>
    <w:rsid w:val="28A01911"/>
    <w:rsid w:val="28B52EA9"/>
    <w:rsid w:val="28C759BF"/>
    <w:rsid w:val="28D22F4D"/>
    <w:rsid w:val="29007BBA"/>
    <w:rsid w:val="290A138C"/>
    <w:rsid w:val="291A4010"/>
    <w:rsid w:val="291B0D01"/>
    <w:rsid w:val="293606FA"/>
    <w:rsid w:val="29517179"/>
    <w:rsid w:val="29582436"/>
    <w:rsid w:val="299935DB"/>
    <w:rsid w:val="29E7086A"/>
    <w:rsid w:val="2A0E25C0"/>
    <w:rsid w:val="2A1219AD"/>
    <w:rsid w:val="2A2024BB"/>
    <w:rsid w:val="2A394321"/>
    <w:rsid w:val="2AAF72F6"/>
    <w:rsid w:val="2AE07176"/>
    <w:rsid w:val="2AE26D3F"/>
    <w:rsid w:val="2AF125AB"/>
    <w:rsid w:val="2AF80F96"/>
    <w:rsid w:val="2AF8774D"/>
    <w:rsid w:val="2AFC0752"/>
    <w:rsid w:val="2B0233C2"/>
    <w:rsid w:val="2B0F6E62"/>
    <w:rsid w:val="2B1B7C39"/>
    <w:rsid w:val="2B3F4136"/>
    <w:rsid w:val="2B5F7B9D"/>
    <w:rsid w:val="2B6F3DB4"/>
    <w:rsid w:val="2B723B80"/>
    <w:rsid w:val="2B7579C5"/>
    <w:rsid w:val="2B976640"/>
    <w:rsid w:val="2BB04900"/>
    <w:rsid w:val="2BB1476B"/>
    <w:rsid w:val="2BBA73E9"/>
    <w:rsid w:val="2BE769C3"/>
    <w:rsid w:val="2BFA6462"/>
    <w:rsid w:val="2BFE37F5"/>
    <w:rsid w:val="2C127486"/>
    <w:rsid w:val="2C1B2490"/>
    <w:rsid w:val="2C2841AD"/>
    <w:rsid w:val="2C3757DB"/>
    <w:rsid w:val="2C3A3275"/>
    <w:rsid w:val="2C495744"/>
    <w:rsid w:val="2C4F5D11"/>
    <w:rsid w:val="2C696B32"/>
    <w:rsid w:val="2CA40E82"/>
    <w:rsid w:val="2CC440BD"/>
    <w:rsid w:val="2CEE6B8D"/>
    <w:rsid w:val="2D233DAE"/>
    <w:rsid w:val="2D8E403A"/>
    <w:rsid w:val="2DC51DB6"/>
    <w:rsid w:val="2DE6749D"/>
    <w:rsid w:val="2DF9626C"/>
    <w:rsid w:val="2DFD7A78"/>
    <w:rsid w:val="2DFF21A9"/>
    <w:rsid w:val="2E145F76"/>
    <w:rsid w:val="2E290BCC"/>
    <w:rsid w:val="2E3E3E00"/>
    <w:rsid w:val="2E8501BE"/>
    <w:rsid w:val="2EA73673"/>
    <w:rsid w:val="2EA86D09"/>
    <w:rsid w:val="2ECE747D"/>
    <w:rsid w:val="2EDE6622"/>
    <w:rsid w:val="2EDF0237"/>
    <w:rsid w:val="2EFD78DE"/>
    <w:rsid w:val="2F32226B"/>
    <w:rsid w:val="2F376D10"/>
    <w:rsid w:val="2F507B33"/>
    <w:rsid w:val="2FA231C5"/>
    <w:rsid w:val="30131B0F"/>
    <w:rsid w:val="301A7503"/>
    <w:rsid w:val="30266CFB"/>
    <w:rsid w:val="30775A8C"/>
    <w:rsid w:val="308B65F2"/>
    <w:rsid w:val="30A9337F"/>
    <w:rsid w:val="30F5782F"/>
    <w:rsid w:val="30F66636"/>
    <w:rsid w:val="31132818"/>
    <w:rsid w:val="3117229F"/>
    <w:rsid w:val="31395268"/>
    <w:rsid w:val="316D08AD"/>
    <w:rsid w:val="31703761"/>
    <w:rsid w:val="318526EA"/>
    <w:rsid w:val="3197247E"/>
    <w:rsid w:val="31A14F37"/>
    <w:rsid w:val="31A50177"/>
    <w:rsid w:val="31BC7893"/>
    <w:rsid w:val="31DD775A"/>
    <w:rsid w:val="31ED10C9"/>
    <w:rsid w:val="320F0A18"/>
    <w:rsid w:val="32351CB2"/>
    <w:rsid w:val="324554E5"/>
    <w:rsid w:val="325D2B5A"/>
    <w:rsid w:val="325E4969"/>
    <w:rsid w:val="32672032"/>
    <w:rsid w:val="32746F08"/>
    <w:rsid w:val="327661FC"/>
    <w:rsid w:val="32787E64"/>
    <w:rsid w:val="32B33B5A"/>
    <w:rsid w:val="32E16FE7"/>
    <w:rsid w:val="32EE27B2"/>
    <w:rsid w:val="33283C74"/>
    <w:rsid w:val="33372789"/>
    <w:rsid w:val="33373161"/>
    <w:rsid w:val="333876C2"/>
    <w:rsid w:val="3346302E"/>
    <w:rsid w:val="33484A1E"/>
    <w:rsid w:val="335F47E9"/>
    <w:rsid w:val="33672754"/>
    <w:rsid w:val="33757E6E"/>
    <w:rsid w:val="33813C29"/>
    <w:rsid w:val="33AE46D6"/>
    <w:rsid w:val="33E811A0"/>
    <w:rsid w:val="33FB17D8"/>
    <w:rsid w:val="340D027E"/>
    <w:rsid w:val="34693A6E"/>
    <w:rsid w:val="346E4104"/>
    <w:rsid w:val="3476470C"/>
    <w:rsid w:val="34967A74"/>
    <w:rsid w:val="34B85E11"/>
    <w:rsid w:val="34D83C16"/>
    <w:rsid w:val="34F4225F"/>
    <w:rsid w:val="34F42A3D"/>
    <w:rsid w:val="35022C0E"/>
    <w:rsid w:val="3509315E"/>
    <w:rsid w:val="351A4CC6"/>
    <w:rsid w:val="356B24AB"/>
    <w:rsid w:val="35AE299B"/>
    <w:rsid w:val="35C620C0"/>
    <w:rsid w:val="35CA47C2"/>
    <w:rsid w:val="371440A5"/>
    <w:rsid w:val="37705F34"/>
    <w:rsid w:val="377700B0"/>
    <w:rsid w:val="37857872"/>
    <w:rsid w:val="379C48BE"/>
    <w:rsid w:val="37AF7036"/>
    <w:rsid w:val="37C70937"/>
    <w:rsid w:val="37ED2901"/>
    <w:rsid w:val="37F7347F"/>
    <w:rsid w:val="380927B5"/>
    <w:rsid w:val="381F0B0E"/>
    <w:rsid w:val="382139EC"/>
    <w:rsid w:val="3876150B"/>
    <w:rsid w:val="38D03C78"/>
    <w:rsid w:val="38EF03A6"/>
    <w:rsid w:val="38F0125F"/>
    <w:rsid w:val="3900577A"/>
    <w:rsid w:val="39187A90"/>
    <w:rsid w:val="39202018"/>
    <w:rsid w:val="392739EA"/>
    <w:rsid w:val="392D38AD"/>
    <w:rsid w:val="3946679B"/>
    <w:rsid w:val="394D1646"/>
    <w:rsid w:val="39870C57"/>
    <w:rsid w:val="399A43EA"/>
    <w:rsid w:val="39AE5946"/>
    <w:rsid w:val="39D62AC1"/>
    <w:rsid w:val="3A0F1960"/>
    <w:rsid w:val="3A135535"/>
    <w:rsid w:val="3A166029"/>
    <w:rsid w:val="3A2A08FE"/>
    <w:rsid w:val="3A416AA0"/>
    <w:rsid w:val="3A431070"/>
    <w:rsid w:val="3A434F00"/>
    <w:rsid w:val="3A6B6F88"/>
    <w:rsid w:val="3A841F11"/>
    <w:rsid w:val="3A8B04D0"/>
    <w:rsid w:val="3A977F34"/>
    <w:rsid w:val="3AC125B3"/>
    <w:rsid w:val="3AF216E5"/>
    <w:rsid w:val="3B0B15C3"/>
    <w:rsid w:val="3B0F2999"/>
    <w:rsid w:val="3B30671A"/>
    <w:rsid w:val="3B5555F7"/>
    <w:rsid w:val="3B5662AC"/>
    <w:rsid w:val="3B981241"/>
    <w:rsid w:val="3BBB2E68"/>
    <w:rsid w:val="3BD120B9"/>
    <w:rsid w:val="3BDA3F2B"/>
    <w:rsid w:val="3BE71542"/>
    <w:rsid w:val="3BED4706"/>
    <w:rsid w:val="3C0B0D05"/>
    <w:rsid w:val="3C1B10BF"/>
    <w:rsid w:val="3C8823DF"/>
    <w:rsid w:val="3C9D0254"/>
    <w:rsid w:val="3C9F5B7F"/>
    <w:rsid w:val="3CA22406"/>
    <w:rsid w:val="3CC5729E"/>
    <w:rsid w:val="3CCE203C"/>
    <w:rsid w:val="3CD96C18"/>
    <w:rsid w:val="3CDC3348"/>
    <w:rsid w:val="3D02537F"/>
    <w:rsid w:val="3D042BD7"/>
    <w:rsid w:val="3D087EC6"/>
    <w:rsid w:val="3D0C1655"/>
    <w:rsid w:val="3D1C1E27"/>
    <w:rsid w:val="3D4E48C8"/>
    <w:rsid w:val="3D50421B"/>
    <w:rsid w:val="3D77737D"/>
    <w:rsid w:val="3D807C08"/>
    <w:rsid w:val="3DBF5349"/>
    <w:rsid w:val="3DC04E13"/>
    <w:rsid w:val="3DCC0A6F"/>
    <w:rsid w:val="3DD244E7"/>
    <w:rsid w:val="3DDC294B"/>
    <w:rsid w:val="3E0E5340"/>
    <w:rsid w:val="3E132617"/>
    <w:rsid w:val="3E1747FA"/>
    <w:rsid w:val="3E2E7EE8"/>
    <w:rsid w:val="3E4F76FB"/>
    <w:rsid w:val="3E5B41D6"/>
    <w:rsid w:val="3E964B98"/>
    <w:rsid w:val="3E9B2B8B"/>
    <w:rsid w:val="3EAD26A1"/>
    <w:rsid w:val="3EB01A0B"/>
    <w:rsid w:val="3ECE16FA"/>
    <w:rsid w:val="3F064C6A"/>
    <w:rsid w:val="3F201B40"/>
    <w:rsid w:val="3F322D0C"/>
    <w:rsid w:val="3F3542FD"/>
    <w:rsid w:val="3F4118C8"/>
    <w:rsid w:val="3F4334BB"/>
    <w:rsid w:val="3F4F35FB"/>
    <w:rsid w:val="3F5C676A"/>
    <w:rsid w:val="3F651AFB"/>
    <w:rsid w:val="3FF55768"/>
    <w:rsid w:val="40093B4F"/>
    <w:rsid w:val="40350A49"/>
    <w:rsid w:val="40460408"/>
    <w:rsid w:val="40462AC9"/>
    <w:rsid w:val="405313A9"/>
    <w:rsid w:val="40566CBF"/>
    <w:rsid w:val="40662F6F"/>
    <w:rsid w:val="40776BAF"/>
    <w:rsid w:val="407921CE"/>
    <w:rsid w:val="40C04FE0"/>
    <w:rsid w:val="40FA3D02"/>
    <w:rsid w:val="413E21D5"/>
    <w:rsid w:val="418530B3"/>
    <w:rsid w:val="41AA7137"/>
    <w:rsid w:val="41BF2F04"/>
    <w:rsid w:val="41CB7B05"/>
    <w:rsid w:val="41EC58FB"/>
    <w:rsid w:val="41F931F1"/>
    <w:rsid w:val="42157286"/>
    <w:rsid w:val="422A484C"/>
    <w:rsid w:val="422A51CF"/>
    <w:rsid w:val="4231331F"/>
    <w:rsid w:val="42381A71"/>
    <w:rsid w:val="423E6EC2"/>
    <w:rsid w:val="423F1C9D"/>
    <w:rsid w:val="426B0C9E"/>
    <w:rsid w:val="42841694"/>
    <w:rsid w:val="429266C7"/>
    <w:rsid w:val="42AF1322"/>
    <w:rsid w:val="42B30ACF"/>
    <w:rsid w:val="42D25CAE"/>
    <w:rsid w:val="42E73C10"/>
    <w:rsid w:val="42F708A9"/>
    <w:rsid w:val="42FC0B94"/>
    <w:rsid w:val="43364422"/>
    <w:rsid w:val="433B6093"/>
    <w:rsid w:val="43536857"/>
    <w:rsid w:val="43827440"/>
    <w:rsid w:val="43AA33DE"/>
    <w:rsid w:val="43BB7215"/>
    <w:rsid w:val="43BC4F26"/>
    <w:rsid w:val="43E762B0"/>
    <w:rsid w:val="43EE582E"/>
    <w:rsid w:val="43FB3DA4"/>
    <w:rsid w:val="440E1214"/>
    <w:rsid w:val="441C4006"/>
    <w:rsid w:val="44330E9F"/>
    <w:rsid w:val="443E7A53"/>
    <w:rsid w:val="44462D9E"/>
    <w:rsid w:val="445B61B0"/>
    <w:rsid w:val="44752C18"/>
    <w:rsid w:val="449E489D"/>
    <w:rsid w:val="44B24294"/>
    <w:rsid w:val="44CF520F"/>
    <w:rsid w:val="44D50483"/>
    <w:rsid w:val="451019FB"/>
    <w:rsid w:val="451A43EA"/>
    <w:rsid w:val="451B2715"/>
    <w:rsid w:val="45361837"/>
    <w:rsid w:val="4543370D"/>
    <w:rsid w:val="454F62D8"/>
    <w:rsid w:val="455B13AC"/>
    <w:rsid w:val="45CF3CD0"/>
    <w:rsid w:val="45F6393A"/>
    <w:rsid w:val="46037BDC"/>
    <w:rsid w:val="460567D8"/>
    <w:rsid w:val="4626023B"/>
    <w:rsid w:val="462F25DF"/>
    <w:rsid w:val="46566BF3"/>
    <w:rsid w:val="46620161"/>
    <w:rsid w:val="46C17C69"/>
    <w:rsid w:val="46E63986"/>
    <w:rsid w:val="46FC7DAE"/>
    <w:rsid w:val="470463F8"/>
    <w:rsid w:val="472F00D3"/>
    <w:rsid w:val="475A31AD"/>
    <w:rsid w:val="47777F88"/>
    <w:rsid w:val="47971B97"/>
    <w:rsid w:val="479A4E4A"/>
    <w:rsid w:val="479F63EE"/>
    <w:rsid w:val="47C304FD"/>
    <w:rsid w:val="47C357A6"/>
    <w:rsid w:val="47D77F02"/>
    <w:rsid w:val="4815186D"/>
    <w:rsid w:val="481C0488"/>
    <w:rsid w:val="481C4CBC"/>
    <w:rsid w:val="485A4BA7"/>
    <w:rsid w:val="486432D4"/>
    <w:rsid w:val="487C3875"/>
    <w:rsid w:val="48977283"/>
    <w:rsid w:val="48A90F1E"/>
    <w:rsid w:val="48B9644F"/>
    <w:rsid w:val="48DE3EAB"/>
    <w:rsid w:val="48FA3778"/>
    <w:rsid w:val="490A690E"/>
    <w:rsid w:val="49474FB2"/>
    <w:rsid w:val="495B6D68"/>
    <w:rsid w:val="4975258C"/>
    <w:rsid w:val="49896512"/>
    <w:rsid w:val="4996414B"/>
    <w:rsid w:val="49987D21"/>
    <w:rsid w:val="49BA3D71"/>
    <w:rsid w:val="49CC5B3C"/>
    <w:rsid w:val="49DB51FA"/>
    <w:rsid w:val="49FD54E4"/>
    <w:rsid w:val="4A143D9D"/>
    <w:rsid w:val="4A3011C6"/>
    <w:rsid w:val="4A5C70F1"/>
    <w:rsid w:val="4A6D545B"/>
    <w:rsid w:val="4AAD275D"/>
    <w:rsid w:val="4AAD3440"/>
    <w:rsid w:val="4AB61A05"/>
    <w:rsid w:val="4AF26B9D"/>
    <w:rsid w:val="4AF44055"/>
    <w:rsid w:val="4B2748C6"/>
    <w:rsid w:val="4B2B1C31"/>
    <w:rsid w:val="4B48494A"/>
    <w:rsid w:val="4B7E5274"/>
    <w:rsid w:val="4BB65435"/>
    <w:rsid w:val="4BCE1489"/>
    <w:rsid w:val="4BCE28BF"/>
    <w:rsid w:val="4BD44BDD"/>
    <w:rsid w:val="4BD60E9C"/>
    <w:rsid w:val="4BEA1EE4"/>
    <w:rsid w:val="4BEC6AE6"/>
    <w:rsid w:val="4BEE4C69"/>
    <w:rsid w:val="4BF830BC"/>
    <w:rsid w:val="4C293566"/>
    <w:rsid w:val="4C2C1C2C"/>
    <w:rsid w:val="4C3F2388"/>
    <w:rsid w:val="4C4E4313"/>
    <w:rsid w:val="4C553BEB"/>
    <w:rsid w:val="4C663381"/>
    <w:rsid w:val="4C723787"/>
    <w:rsid w:val="4C783FE1"/>
    <w:rsid w:val="4CF05EAC"/>
    <w:rsid w:val="4D102CB4"/>
    <w:rsid w:val="4D496F28"/>
    <w:rsid w:val="4D6A4B9B"/>
    <w:rsid w:val="4D7636CB"/>
    <w:rsid w:val="4D9E609E"/>
    <w:rsid w:val="4E0243C8"/>
    <w:rsid w:val="4E173831"/>
    <w:rsid w:val="4E345636"/>
    <w:rsid w:val="4E652C5C"/>
    <w:rsid w:val="4E9105E7"/>
    <w:rsid w:val="4EB053BD"/>
    <w:rsid w:val="4ED84E86"/>
    <w:rsid w:val="4FBC6FAF"/>
    <w:rsid w:val="4FDC68F3"/>
    <w:rsid w:val="4FE74185"/>
    <w:rsid w:val="4FF76FCE"/>
    <w:rsid w:val="4FFF46BE"/>
    <w:rsid w:val="50005DA1"/>
    <w:rsid w:val="5041435B"/>
    <w:rsid w:val="50564CCA"/>
    <w:rsid w:val="505A1CB0"/>
    <w:rsid w:val="506A5A36"/>
    <w:rsid w:val="5090049B"/>
    <w:rsid w:val="509778C7"/>
    <w:rsid w:val="50BD598F"/>
    <w:rsid w:val="50EF38E6"/>
    <w:rsid w:val="51287141"/>
    <w:rsid w:val="5170523B"/>
    <w:rsid w:val="51773E2A"/>
    <w:rsid w:val="519A116B"/>
    <w:rsid w:val="51A40397"/>
    <w:rsid w:val="51A74F81"/>
    <w:rsid w:val="51C53170"/>
    <w:rsid w:val="51E57489"/>
    <w:rsid w:val="51FE641B"/>
    <w:rsid w:val="5222212F"/>
    <w:rsid w:val="5236412D"/>
    <w:rsid w:val="524370D4"/>
    <w:rsid w:val="525027C6"/>
    <w:rsid w:val="526137D1"/>
    <w:rsid w:val="5280421D"/>
    <w:rsid w:val="52BF27F0"/>
    <w:rsid w:val="52DE7B77"/>
    <w:rsid w:val="530B5FC4"/>
    <w:rsid w:val="530F6914"/>
    <w:rsid w:val="531A5811"/>
    <w:rsid w:val="535E62F0"/>
    <w:rsid w:val="5361709F"/>
    <w:rsid w:val="53705401"/>
    <w:rsid w:val="537509F0"/>
    <w:rsid w:val="53752E8D"/>
    <w:rsid w:val="53832E83"/>
    <w:rsid w:val="53A24A91"/>
    <w:rsid w:val="53AA30EC"/>
    <w:rsid w:val="53C60E3E"/>
    <w:rsid w:val="53C81AC7"/>
    <w:rsid w:val="53D005D1"/>
    <w:rsid w:val="540D782C"/>
    <w:rsid w:val="541B7EBE"/>
    <w:rsid w:val="542F1421"/>
    <w:rsid w:val="54342D0E"/>
    <w:rsid w:val="543973F0"/>
    <w:rsid w:val="543B3AF3"/>
    <w:rsid w:val="544B51D2"/>
    <w:rsid w:val="544C3285"/>
    <w:rsid w:val="546C32BA"/>
    <w:rsid w:val="547733F4"/>
    <w:rsid w:val="54B156BA"/>
    <w:rsid w:val="54F516DC"/>
    <w:rsid w:val="550D4DCC"/>
    <w:rsid w:val="550D509F"/>
    <w:rsid w:val="55187C2D"/>
    <w:rsid w:val="551F0291"/>
    <w:rsid w:val="551F51F5"/>
    <w:rsid w:val="5553143F"/>
    <w:rsid w:val="557C5C50"/>
    <w:rsid w:val="55B42DC5"/>
    <w:rsid w:val="55B760AB"/>
    <w:rsid w:val="55C82763"/>
    <w:rsid w:val="55CE50F9"/>
    <w:rsid w:val="55E27E65"/>
    <w:rsid w:val="56063D06"/>
    <w:rsid w:val="560921FF"/>
    <w:rsid w:val="561E43E8"/>
    <w:rsid w:val="56243301"/>
    <w:rsid w:val="562F5C39"/>
    <w:rsid w:val="566D79F4"/>
    <w:rsid w:val="567964BE"/>
    <w:rsid w:val="567B20DA"/>
    <w:rsid w:val="56943FE8"/>
    <w:rsid w:val="56A306FD"/>
    <w:rsid w:val="56B04C07"/>
    <w:rsid w:val="56DA5A5F"/>
    <w:rsid w:val="573C3B69"/>
    <w:rsid w:val="57563E7B"/>
    <w:rsid w:val="57600E00"/>
    <w:rsid w:val="577E3F1D"/>
    <w:rsid w:val="57936B8F"/>
    <w:rsid w:val="57C70008"/>
    <w:rsid w:val="58082D66"/>
    <w:rsid w:val="58224292"/>
    <w:rsid w:val="58270690"/>
    <w:rsid w:val="584D0B76"/>
    <w:rsid w:val="584F2CED"/>
    <w:rsid w:val="586B2608"/>
    <w:rsid w:val="586D59B4"/>
    <w:rsid w:val="5879595C"/>
    <w:rsid w:val="588331BE"/>
    <w:rsid w:val="58D16F7B"/>
    <w:rsid w:val="592D287D"/>
    <w:rsid w:val="592D7AE2"/>
    <w:rsid w:val="593554F0"/>
    <w:rsid w:val="59BA5947"/>
    <w:rsid w:val="59F967B7"/>
    <w:rsid w:val="5A194DBF"/>
    <w:rsid w:val="5A1A7700"/>
    <w:rsid w:val="5A3078C5"/>
    <w:rsid w:val="5A3A24E6"/>
    <w:rsid w:val="5A7A4DB9"/>
    <w:rsid w:val="5AA277F3"/>
    <w:rsid w:val="5AC16AE9"/>
    <w:rsid w:val="5ADF3A74"/>
    <w:rsid w:val="5AE53367"/>
    <w:rsid w:val="5B0B0083"/>
    <w:rsid w:val="5B0B32DD"/>
    <w:rsid w:val="5B1254E6"/>
    <w:rsid w:val="5B2E5B59"/>
    <w:rsid w:val="5B4A6955"/>
    <w:rsid w:val="5BA65A0C"/>
    <w:rsid w:val="5BB2174D"/>
    <w:rsid w:val="5BC3228B"/>
    <w:rsid w:val="5BCB00D0"/>
    <w:rsid w:val="5BEE1FF7"/>
    <w:rsid w:val="5BF571B7"/>
    <w:rsid w:val="5BFC28DA"/>
    <w:rsid w:val="5C35787E"/>
    <w:rsid w:val="5C3B1FEA"/>
    <w:rsid w:val="5C550669"/>
    <w:rsid w:val="5C6A01BF"/>
    <w:rsid w:val="5C70174F"/>
    <w:rsid w:val="5C792CC0"/>
    <w:rsid w:val="5CEB6783"/>
    <w:rsid w:val="5D041ECD"/>
    <w:rsid w:val="5D5E1AC8"/>
    <w:rsid w:val="5D8276D8"/>
    <w:rsid w:val="5D9D2DC0"/>
    <w:rsid w:val="5DDA6F57"/>
    <w:rsid w:val="5DED5E63"/>
    <w:rsid w:val="5E051414"/>
    <w:rsid w:val="5E206741"/>
    <w:rsid w:val="5E2D4C21"/>
    <w:rsid w:val="5E551862"/>
    <w:rsid w:val="5E820037"/>
    <w:rsid w:val="5E9A188D"/>
    <w:rsid w:val="5EB45720"/>
    <w:rsid w:val="5EE41E2E"/>
    <w:rsid w:val="5F0C7F49"/>
    <w:rsid w:val="5F0F00DA"/>
    <w:rsid w:val="5F3B32F7"/>
    <w:rsid w:val="5F4B4581"/>
    <w:rsid w:val="5F98224D"/>
    <w:rsid w:val="5F9F42F8"/>
    <w:rsid w:val="5FBC07EC"/>
    <w:rsid w:val="5FFF02E1"/>
    <w:rsid w:val="60017F85"/>
    <w:rsid w:val="60032276"/>
    <w:rsid w:val="600C3AE0"/>
    <w:rsid w:val="602C236A"/>
    <w:rsid w:val="6045086B"/>
    <w:rsid w:val="60523595"/>
    <w:rsid w:val="607356CF"/>
    <w:rsid w:val="60745B63"/>
    <w:rsid w:val="609A141A"/>
    <w:rsid w:val="60AC01F6"/>
    <w:rsid w:val="60AD6E35"/>
    <w:rsid w:val="60BC1BBF"/>
    <w:rsid w:val="60E50451"/>
    <w:rsid w:val="60F55882"/>
    <w:rsid w:val="60F64A32"/>
    <w:rsid w:val="61051332"/>
    <w:rsid w:val="61637003"/>
    <w:rsid w:val="616A21E7"/>
    <w:rsid w:val="61824900"/>
    <w:rsid w:val="61856B0D"/>
    <w:rsid w:val="61B601DF"/>
    <w:rsid w:val="61D379C6"/>
    <w:rsid w:val="61F833BE"/>
    <w:rsid w:val="61FD4717"/>
    <w:rsid w:val="621F5265"/>
    <w:rsid w:val="623928B9"/>
    <w:rsid w:val="62812953"/>
    <w:rsid w:val="62B7743E"/>
    <w:rsid w:val="62B8352F"/>
    <w:rsid w:val="62BB48DA"/>
    <w:rsid w:val="62CC4BC6"/>
    <w:rsid w:val="62DD3C86"/>
    <w:rsid w:val="62E674AB"/>
    <w:rsid w:val="62EF63FA"/>
    <w:rsid w:val="62FA23A0"/>
    <w:rsid w:val="63061571"/>
    <w:rsid w:val="632B39DC"/>
    <w:rsid w:val="639D47D1"/>
    <w:rsid w:val="63B508EC"/>
    <w:rsid w:val="63C438C6"/>
    <w:rsid w:val="63C84437"/>
    <w:rsid w:val="64116858"/>
    <w:rsid w:val="642B0065"/>
    <w:rsid w:val="64310139"/>
    <w:rsid w:val="64550D9E"/>
    <w:rsid w:val="646311BF"/>
    <w:rsid w:val="646F5452"/>
    <w:rsid w:val="648727EC"/>
    <w:rsid w:val="648D5222"/>
    <w:rsid w:val="649D0CB0"/>
    <w:rsid w:val="64B2258D"/>
    <w:rsid w:val="64DE359C"/>
    <w:rsid w:val="64E30C9E"/>
    <w:rsid w:val="64E86D2F"/>
    <w:rsid w:val="65666F13"/>
    <w:rsid w:val="657C25FC"/>
    <w:rsid w:val="65997784"/>
    <w:rsid w:val="65A976E6"/>
    <w:rsid w:val="65C64C37"/>
    <w:rsid w:val="65CB560D"/>
    <w:rsid w:val="65D01190"/>
    <w:rsid w:val="66197BB5"/>
    <w:rsid w:val="6649332E"/>
    <w:rsid w:val="66685007"/>
    <w:rsid w:val="66937BBB"/>
    <w:rsid w:val="66AB371C"/>
    <w:rsid w:val="66AE1192"/>
    <w:rsid w:val="66CA69C3"/>
    <w:rsid w:val="672F1708"/>
    <w:rsid w:val="6736431B"/>
    <w:rsid w:val="6749368B"/>
    <w:rsid w:val="67594DFB"/>
    <w:rsid w:val="6794708A"/>
    <w:rsid w:val="67CE0CE2"/>
    <w:rsid w:val="67DA4215"/>
    <w:rsid w:val="67E42DFA"/>
    <w:rsid w:val="67ED44CB"/>
    <w:rsid w:val="6811170E"/>
    <w:rsid w:val="681D58BA"/>
    <w:rsid w:val="6833352E"/>
    <w:rsid w:val="686A6ECC"/>
    <w:rsid w:val="68946F88"/>
    <w:rsid w:val="68EB3ADC"/>
    <w:rsid w:val="6901490D"/>
    <w:rsid w:val="69240005"/>
    <w:rsid w:val="69462386"/>
    <w:rsid w:val="694C2162"/>
    <w:rsid w:val="696D5ECE"/>
    <w:rsid w:val="697206C8"/>
    <w:rsid w:val="698624ED"/>
    <w:rsid w:val="69A406C2"/>
    <w:rsid w:val="69B60CF8"/>
    <w:rsid w:val="69C96ADD"/>
    <w:rsid w:val="69DC5A3B"/>
    <w:rsid w:val="69E50464"/>
    <w:rsid w:val="69F94050"/>
    <w:rsid w:val="6A12713E"/>
    <w:rsid w:val="6A2F06BE"/>
    <w:rsid w:val="6A4811D1"/>
    <w:rsid w:val="6A575201"/>
    <w:rsid w:val="6A7016FE"/>
    <w:rsid w:val="6AFC6812"/>
    <w:rsid w:val="6B017ECC"/>
    <w:rsid w:val="6B51227B"/>
    <w:rsid w:val="6B5E2EC6"/>
    <w:rsid w:val="6B7575DB"/>
    <w:rsid w:val="6BAB4ED2"/>
    <w:rsid w:val="6BFB3F37"/>
    <w:rsid w:val="6C42065A"/>
    <w:rsid w:val="6C6F44FD"/>
    <w:rsid w:val="6C8C6D07"/>
    <w:rsid w:val="6C9E7796"/>
    <w:rsid w:val="6CB53A27"/>
    <w:rsid w:val="6CB759F8"/>
    <w:rsid w:val="6CD4731D"/>
    <w:rsid w:val="6D10062D"/>
    <w:rsid w:val="6D121910"/>
    <w:rsid w:val="6D1B4473"/>
    <w:rsid w:val="6D3205F0"/>
    <w:rsid w:val="6D4C048E"/>
    <w:rsid w:val="6D5C5991"/>
    <w:rsid w:val="6D681BA3"/>
    <w:rsid w:val="6D862B60"/>
    <w:rsid w:val="6DB702B4"/>
    <w:rsid w:val="6DB9368E"/>
    <w:rsid w:val="6E2A7F0A"/>
    <w:rsid w:val="6E4462CC"/>
    <w:rsid w:val="6E500ECF"/>
    <w:rsid w:val="6E504618"/>
    <w:rsid w:val="6E6C428D"/>
    <w:rsid w:val="6EB20078"/>
    <w:rsid w:val="6EB70A1D"/>
    <w:rsid w:val="6F301CB2"/>
    <w:rsid w:val="6F3F4352"/>
    <w:rsid w:val="6F450F4D"/>
    <w:rsid w:val="6F5579D7"/>
    <w:rsid w:val="6F6D111D"/>
    <w:rsid w:val="6F740513"/>
    <w:rsid w:val="6F801AF8"/>
    <w:rsid w:val="6F8D5AAE"/>
    <w:rsid w:val="6F9C4786"/>
    <w:rsid w:val="6FB57303"/>
    <w:rsid w:val="6FB7010B"/>
    <w:rsid w:val="6FFF59CB"/>
    <w:rsid w:val="70160759"/>
    <w:rsid w:val="70200B37"/>
    <w:rsid w:val="7037013D"/>
    <w:rsid w:val="703B274B"/>
    <w:rsid w:val="704E4A67"/>
    <w:rsid w:val="70995673"/>
    <w:rsid w:val="70AA0AC2"/>
    <w:rsid w:val="70AA24EA"/>
    <w:rsid w:val="70B97CE8"/>
    <w:rsid w:val="70D46C56"/>
    <w:rsid w:val="70EA7511"/>
    <w:rsid w:val="71143E21"/>
    <w:rsid w:val="71424983"/>
    <w:rsid w:val="7150640B"/>
    <w:rsid w:val="71616F10"/>
    <w:rsid w:val="71C77CDA"/>
    <w:rsid w:val="71C93578"/>
    <w:rsid w:val="71CF5A3A"/>
    <w:rsid w:val="71DB1C81"/>
    <w:rsid w:val="71DB3B44"/>
    <w:rsid w:val="71E636DC"/>
    <w:rsid w:val="72042857"/>
    <w:rsid w:val="72516D64"/>
    <w:rsid w:val="72744030"/>
    <w:rsid w:val="72867A39"/>
    <w:rsid w:val="72C14D7E"/>
    <w:rsid w:val="72E532C0"/>
    <w:rsid w:val="72EE3608"/>
    <w:rsid w:val="72F37E30"/>
    <w:rsid w:val="7318185D"/>
    <w:rsid w:val="7322549D"/>
    <w:rsid w:val="7327462F"/>
    <w:rsid w:val="732F59FD"/>
    <w:rsid w:val="734B5574"/>
    <w:rsid w:val="7355417D"/>
    <w:rsid w:val="736C3FBB"/>
    <w:rsid w:val="73821201"/>
    <w:rsid w:val="73832905"/>
    <w:rsid w:val="738C0987"/>
    <w:rsid w:val="739F768E"/>
    <w:rsid w:val="73A75983"/>
    <w:rsid w:val="73A85DC8"/>
    <w:rsid w:val="73C54686"/>
    <w:rsid w:val="73D14742"/>
    <w:rsid w:val="73E217DB"/>
    <w:rsid w:val="73ED43C1"/>
    <w:rsid w:val="73FB25F2"/>
    <w:rsid w:val="740F6E24"/>
    <w:rsid w:val="741866C3"/>
    <w:rsid w:val="741D30D0"/>
    <w:rsid w:val="74285611"/>
    <w:rsid w:val="7430057A"/>
    <w:rsid w:val="7451673A"/>
    <w:rsid w:val="74573DE9"/>
    <w:rsid w:val="74626087"/>
    <w:rsid w:val="747F0795"/>
    <w:rsid w:val="7483582D"/>
    <w:rsid w:val="74901AB7"/>
    <w:rsid w:val="749D37F7"/>
    <w:rsid w:val="74BC6C8B"/>
    <w:rsid w:val="74D53B99"/>
    <w:rsid w:val="754C1AAF"/>
    <w:rsid w:val="76270935"/>
    <w:rsid w:val="762B3711"/>
    <w:rsid w:val="76566326"/>
    <w:rsid w:val="76696B17"/>
    <w:rsid w:val="76696D01"/>
    <w:rsid w:val="767A6966"/>
    <w:rsid w:val="76991F3B"/>
    <w:rsid w:val="76BD4E1F"/>
    <w:rsid w:val="76D8737F"/>
    <w:rsid w:val="76E279D7"/>
    <w:rsid w:val="76FC2715"/>
    <w:rsid w:val="7718204C"/>
    <w:rsid w:val="772E0626"/>
    <w:rsid w:val="773460AA"/>
    <w:rsid w:val="7752184A"/>
    <w:rsid w:val="7754709D"/>
    <w:rsid w:val="776821D3"/>
    <w:rsid w:val="776E285A"/>
    <w:rsid w:val="77B02D8D"/>
    <w:rsid w:val="77B23404"/>
    <w:rsid w:val="77C0093D"/>
    <w:rsid w:val="77C80FE0"/>
    <w:rsid w:val="77C90B9C"/>
    <w:rsid w:val="77DB4D3A"/>
    <w:rsid w:val="77EF22D8"/>
    <w:rsid w:val="7811438D"/>
    <w:rsid w:val="78204380"/>
    <w:rsid w:val="7823088B"/>
    <w:rsid w:val="78384CBC"/>
    <w:rsid w:val="784140B2"/>
    <w:rsid w:val="784258BF"/>
    <w:rsid w:val="7862008E"/>
    <w:rsid w:val="786C0DC0"/>
    <w:rsid w:val="78723138"/>
    <w:rsid w:val="78C070AB"/>
    <w:rsid w:val="78FD1105"/>
    <w:rsid w:val="791D7901"/>
    <w:rsid w:val="79340E93"/>
    <w:rsid w:val="793758F2"/>
    <w:rsid w:val="7938371E"/>
    <w:rsid w:val="79AB1E6C"/>
    <w:rsid w:val="79BB100C"/>
    <w:rsid w:val="79C0590F"/>
    <w:rsid w:val="79EE0B28"/>
    <w:rsid w:val="7A080BBF"/>
    <w:rsid w:val="7A0E1DB4"/>
    <w:rsid w:val="7A11214D"/>
    <w:rsid w:val="7A1C3197"/>
    <w:rsid w:val="7A4F2396"/>
    <w:rsid w:val="7A516C18"/>
    <w:rsid w:val="7A787ECB"/>
    <w:rsid w:val="7A875FC6"/>
    <w:rsid w:val="7A8B51CB"/>
    <w:rsid w:val="7A984514"/>
    <w:rsid w:val="7AB507FA"/>
    <w:rsid w:val="7AC634CB"/>
    <w:rsid w:val="7ACB482C"/>
    <w:rsid w:val="7AE7260F"/>
    <w:rsid w:val="7AEA6401"/>
    <w:rsid w:val="7AEB331B"/>
    <w:rsid w:val="7AF137EF"/>
    <w:rsid w:val="7B100283"/>
    <w:rsid w:val="7B193819"/>
    <w:rsid w:val="7B2531D6"/>
    <w:rsid w:val="7B3D3F94"/>
    <w:rsid w:val="7B5B11D8"/>
    <w:rsid w:val="7B5D71AA"/>
    <w:rsid w:val="7B8E193F"/>
    <w:rsid w:val="7B947C9E"/>
    <w:rsid w:val="7BAE3C2D"/>
    <w:rsid w:val="7BF90DBF"/>
    <w:rsid w:val="7C41564D"/>
    <w:rsid w:val="7C5F0EF8"/>
    <w:rsid w:val="7C8A0448"/>
    <w:rsid w:val="7C8E16C9"/>
    <w:rsid w:val="7C91123B"/>
    <w:rsid w:val="7CA10AF6"/>
    <w:rsid w:val="7CB561C0"/>
    <w:rsid w:val="7CCC277F"/>
    <w:rsid w:val="7CCD3BF4"/>
    <w:rsid w:val="7CE3033A"/>
    <w:rsid w:val="7CE87D91"/>
    <w:rsid w:val="7D0A2590"/>
    <w:rsid w:val="7D550752"/>
    <w:rsid w:val="7D6A7A29"/>
    <w:rsid w:val="7D702076"/>
    <w:rsid w:val="7D712B47"/>
    <w:rsid w:val="7DA0035E"/>
    <w:rsid w:val="7DBE0A6E"/>
    <w:rsid w:val="7DCC5A45"/>
    <w:rsid w:val="7DED6343"/>
    <w:rsid w:val="7E3F65EE"/>
    <w:rsid w:val="7E401756"/>
    <w:rsid w:val="7E630B4F"/>
    <w:rsid w:val="7E642324"/>
    <w:rsid w:val="7E831180"/>
    <w:rsid w:val="7E8B6D0C"/>
    <w:rsid w:val="7E905E0D"/>
    <w:rsid w:val="7EDA5831"/>
    <w:rsid w:val="7EFA29D7"/>
    <w:rsid w:val="7F007923"/>
    <w:rsid w:val="7F1F02F6"/>
    <w:rsid w:val="7F285EA4"/>
    <w:rsid w:val="7F3E6A44"/>
    <w:rsid w:val="7F5B1662"/>
    <w:rsid w:val="7F5F055A"/>
    <w:rsid w:val="7F694BC8"/>
    <w:rsid w:val="7F71142C"/>
    <w:rsid w:val="7F787EDB"/>
    <w:rsid w:val="7FA464F2"/>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paragraph" w:customStyle="1" w:styleId="68">
    <w:name w:val="TF"/>
    <w:basedOn w:val="6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70EBA-560E-4E7C-A664-22A449C60D13}">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9</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ZTE</cp:lastModifiedBy>
  <cp:lastPrinted>2019-04-29T06:52:00Z</cp:lastPrinted>
  <dcterms:modified xsi:type="dcterms:W3CDTF">2022-02-14T16:52:13Z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