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18400" w14:textId="4EDF2FBE" w:rsidR="00B97575" w:rsidRPr="00C94DBE" w:rsidRDefault="00B97575" w:rsidP="00B97575">
      <w:pPr>
        <w:pStyle w:val="a5"/>
        <w:rPr>
          <w:rFonts w:eastAsia="宋体" w:cs="Arial"/>
          <w:lang w:eastAsia="zh-CN"/>
        </w:rPr>
      </w:pPr>
      <w:r w:rsidRPr="00C94DBE">
        <w:rPr>
          <w:rFonts w:cs="Arial"/>
        </w:rPr>
        <w:t>3GPP TSG-RAN WG4 Meeting #</w:t>
      </w:r>
      <w:r>
        <w:rPr>
          <w:rFonts w:eastAsia="宋体" w:cs="Arial"/>
          <w:lang w:eastAsia="zh-CN"/>
        </w:rPr>
        <w:t>101-e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11</w:t>
      </w:r>
      <w:r w:rsidR="00413E98">
        <w:rPr>
          <w:rFonts w:eastAsia="宋体" w:cs="Arial"/>
          <w:lang w:eastAsia="zh-CN"/>
        </w:rPr>
        <w:t>8232</w:t>
      </w:r>
      <w:r w:rsidRPr="00C94DBE">
        <w:rPr>
          <w:rFonts w:eastAsia="宋体" w:cs="Arial"/>
          <w:lang w:eastAsia="zh-CN"/>
        </w:rPr>
        <w:t xml:space="preserve">                                     </w:t>
      </w:r>
      <w:r>
        <w:rPr>
          <w:rFonts w:eastAsia="宋体" w:cs="Arial"/>
          <w:lang w:eastAsia="zh-CN"/>
        </w:rPr>
        <w:t xml:space="preserve">                             </w:t>
      </w:r>
    </w:p>
    <w:p w14:paraId="3EE1BCC1" w14:textId="77777777" w:rsidR="00B97575" w:rsidRDefault="00B97575" w:rsidP="00B97575">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w:t>
      </w:r>
      <w:r>
        <w:rPr>
          <w:rFonts w:cs="Arial"/>
          <w:vertAlign w:val="superscript"/>
        </w:rPr>
        <w:t>st</w:t>
      </w:r>
      <w:r w:rsidRPr="00051CD8">
        <w:rPr>
          <w:rFonts w:cs="Arial"/>
        </w:rPr>
        <w:t>–</w:t>
      </w:r>
      <w:r w:rsidRPr="00051CD8">
        <w:rPr>
          <w:rFonts w:cs="Arial" w:hint="eastAsia"/>
        </w:rPr>
        <w:t xml:space="preserve"> </w:t>
      </w:r>
      <w:r>
        <w:rPr>
          <w:rFonts w:cs="Arial"/>
        </w:rPr>
        <w:t>1</w:t>
      </w:r>
      <w:r>
        <w:rPr>
          <w:rFonts w:eastAsiaTheme="minorEastAsia" w:cs="Arial"/>
          <w:lang w:eastAsia="zh-CN"/>
        </w:rPr>
        <w:t>2</w:t>
      </w:r>
      <w:r w:rsidRPr="00F51A98">
        <w:rPr>
          <w:rFonts w:eastAsiaTheme="minorEastAsia" w:cs="Arial" w:hint="eastAsia"/>
          <w:vertAlign w:val="superscript"/>
          <w:lang w:eastAsia="zh-CN"/>
        </w:rPr>
        <w:t>th</w:t>
      </w:r>
      <w:r>
        <w:rPr>
          <w:rFonts w:eastAsiaTheme="minorEastAsia" w:cs="Arial"/>
          <w:lang w:eastAsia="zh-CN"/>
        </w:rPr>
        <w:t xml:space="preserve"> Nov</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B97575"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79C9969C"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B97575">
        <w:rPr>
          <w:rFonts w:ascii="Arial" w:eastAsia="宋体" w:hAnsi="Arial" w:cs="Arial"/>
          <w:b/>
          <w:noProof/>
          <w:kern w:val="0"/>
          <w:sz w:val="22"/>
          <w:szCs w:val="22"/>
          <w:lang w:val="en-GB"/>
        </w:rPr>
        <w:t>8</w:t>
      </w:r>
      <w:r w:rsidR="00427987">
        <w:rPr>
          <w:rFonts w:ascii="Arial" w:eastAsia="宋体" w:hAnsi="Arial" w:cs="Arial"/>
          <w:b/>
          <w:noProof/>
          <w:kern w:val="0"/>
          <w:sz w:val="22"/>
          <w:szCs w:val="22"/>
          <w:lang w:val="en-GB"/>
        </w:rPr>
        <w:t>.</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2.1</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069731DB"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9549A7">
        <w:rPr>
          <w:rFonts w:ascii="Arial" w:eastAsia="宋体" w:hAnsi="Arial" w:cs="Arial"/>
          <w:b/>
          <w:noProof/>
          <w:kern w:val="0"/>
          <w:sz w:val="22"/>
          <w:lang w:val="en-GB"/>
        </w:rPr>
        <w:t>Simultan</w:t>
      </w:r>
      <w:r w:rsidR="00413E98">
        <w:rPr>
          <w:rFonts w:ascii="Arial" w:eastAsia="宋体" w:hAnsi="Arial" w:cs="Arial"/>
          <w:b/>
          <w:noProof/>
          <w:kern w:val="0"/>
          <w:sz w:val="22"/>
          <w:lang w:val="en-GB"/>
        </w:rPr>
        <w:t>e</w:t>
      </w:r>
      <w:r w:rsidR="009549A7">
        <w:rPr>
          <w:rFonts w:ascii="Arial" w:eastAsia="宋体" w:hAnsi="Arial" w:cs="Arial"/>
          <w:b/>
          <w:noProof/>
          <w:kern w:val="0"/>
          <w:sz w:val="22"/>
          <w:lang w:val="en-GB"/>
        </w:rPr>
        <w:t>ous operation</w:t>
      </w:r>
      <w:r w:rsidR="006C3751">
        <w:rPr>
          <w:rFonts w:ascii="Arial" w:eastAsia="宋体" w:hAnsi="Arial" w:cs="Arial"/>
          <w:b/>
          <w:noProof/>
          <w:kern w:val="0"/>
          <w:sz w:val="22"/>
          <w:lang w:val="en-GB"/>
        </w:rPr>
        <w:t xml:space="preserve"> </w:t>
      </w:r>
      <w:r w:rsidR="009549A7">
        <w:rPr>
          <w:rFonts w:ascii="Arial" w:eastAsia="宋体" w:hAnsi="Arial" w:cs="Arial"/>
          <w:b/>
          <w:noProof/>
          <w:kern w:val="0"/>
          <w:sz w:val="22"/>
          <w:lang w:val="en-GB"/>
        </w:rPr>
        <w:t>on</w:t>
      </w:r>
      <w:r w:rsidR="006C3751">
        <w:rPr>
          <w:rFonts w:ascii="Arial" w:eastAsia="宋体" w:hAnsi="Arial" w:cs="Arial"/>
          <w:b/>
          <w:noProof/>
          <w:kern w:val="0"/>
          <w:sz w:val="22"/>
          <w:lang w:val="en-GB"/>
        </w:rPr>
        <w:t xml:space="preserve"> IAB</w:t>
      </w:r>
      <w:r w:rsidR="009549A7">
        <w:rPr>
          <w:rFonts w:ascii="Arial" w:eastAsia="宋体" w:hAnsi="Arial" w:cs="Arial"/>
          <w:b/>
          <w:noProof/>
          <w:kern w:val="0"/>
          <w:sz w:val="22"/>
          <w:lang w:val="en-GB"/>
        </w:rPr>
        <w:t>-node’s child and parent links</w:t>
      </w:r>
      <w:r>
        <w:rPr>
          <w:rFonts w:ascii="Arial" w:eastAsia="宋体" w:hAnsi="Arial" w:cs="Arial"/>
          <w:b/>
          <w:noProof/>
          <w:kern w:val="0"/>
          <w:sz w:val="22"/>
          <w:lang w:val="en-GB"/>
        </w:rPr>
        <w:t xml:space="preserve">  </w:t>
      </w:r>
    </w:p>
    <w:p w14:paraId="460F64DD" w14:textId="17BCEEA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805A5C">
        <w:rPr>
          <w:rFonts w:ascii="Arial" w:eastAsia="宋体" w:hAnsi="Arial" w:cs="Arial"/>
          <w:b/>
          <w:noProof/>
          <w:kern w:val="0"/>
          <w:sz w:val="22"/>
          <w:szCs w:val="22"/>
          <w:lang w:val="en-GB"/>
        </w:rPr>
        <w:t>Discussion</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61AC7A22" w14:textId="7F49C11C" w:rsidR="006C3751" w:rsidRPr="006C3751" w:rsidRDefault="006C3751" w:rsidP="004E338D">
      <w:r w:rsidRPr="006C3751">
        <w:t>In RAN4#</w:t>
      </w:r>
      <w:r w:rsidR="00943817">
        <w:t>100</w:t>
      </w:r>
      <w:r w:rsidRPr="006C3751">
        <w:t xml:space="preserve">e meeting it is concluded that for </w:t>
      </w:r>
      <w:r w:rsidRPr="006C3751">
        <w:rPr>
          <w:color w:val="000000" w:themeColor="text1"/>
          <w:lang w:eastAsia="ko-KR"/>
        </w:rPr>
        <w:t xml:space="preserve">simultaneous operation of IAB-node’s child and parent links </w:t>
      </w:r>
      <w:r w:rsidR="00515626">
        <w:rPr>
          <w:color w:val="000000" w:themeColor="text1"/>
          <w:lang w:eastAsia="ko-KR"/>
        </w:rPr>
        <w:t xml:space="preserve">RAN4 will investigate the potential specification impact on below </w:t>
      </w:r>
      <w:r w:rsidR="00743DE0">
        <w:rPr>
          <w:color w:val="000000" w:themeColor="text1"/>
          <w:lang w:eastAsia="ko-KR"/>
        </w:rPr>
        <w:t>direction</w:t>
      </w:r>
      <w:r w:rsidR="00515626">
        <w:rPr>
          <w:color w:val="000000" w:themeColor="text1"/>
          <w:lang w:eastAsia="ko-KR"/>
        </w:rPr>
        <w:t>:</w:t>
      </w:r>
    </w:p>
    <w:p w14:paraId="68E8BDC9" w14:textId="5B008865" w:rsidR="006C3751" w:rsidRPr="00515626" w:rsidRDefault="006C3751" w:rsidP="006C3751">
      <w:pPr>
        <w:rPr>
          <w:rFonts w:eastAsia="Malgun Gothic"/>
        </w:rPr>
      </w:pPr>
    </w:p>
    <w:tbl>
      <w:tblPr>
        <w:tblStyle w:val="a6"/>
        <w:tblW w:w="0" w:type="auto"/>
        <w:tblLook w:val="04A0" w:firstRow="1" w:lastRow="0" w:firstColumn="1" w:lastColumn="0" w:noHBand="0" w:noVBand="1"/>
      </w:tblPr>
      <w:tblGrid>
        <w:gridCol w:w="10456"/>
      </w:tblGrid>
      <w:tr w:rsidR="006C3751" w14:paraId="4EF976CD" w14:textId="77777777" w:rsidTr="006A75F3">
        <w:tc>
          <w:tcPr>
            <w:tcW w:w="10456" w:type="dxa"/>
          </w:tcPr>
          <w:p w14:paraId="16DC6270" w14:textId="77777777" w:rsidR="00515626" w:rsidRPr="00515626" w:rsidRDefault="00515626" w:rsidP="00515626">
            <w:pPr>
              <w:spacing w:after="120"/>
              <w:rPr>
                <w:rFonts w:ascii="Arial" w:eastAsia="宋体" w:hAnsi="Arial" w:cs="Arial"/>
                <w:b/>
                <w:color w:val="000000" w:themeColor="text1"/>
                <w:sz w:val="16"/>
                <w:szCs w:val="16"/>
              </w:rPr>
            </w:pPr>
            <w:r w:rsidRPr="00515626">
              <w:rPr>
                <w:rFonts w:ascii="Arial" w:hAnsi="Arial" w:cs="Arial"/>
                <w:b/>
                <w:sz w:val="16"/>
                <w:szCs w:val="16"/>
                <w:lang w:val="en-GB"/>
              </w:rPr>
              <w:t xml:space="preserve">Way forward: </w:t>
            </w:r>
            <w:r w:rsidRPr="00515626">
              <w:rPr>
                <w:rFonts w:ascii="Arial" w:eastAsia="宋体" w:hAnsi="Arial" w:cs="Arial"/>
                <w:b/>
                <w:color w:val="000000" w:themeColor="text1"/>
                <w:sz w:val="16"/>
                <w:szCs w:val="16"/>
              </w:rPr>
              <w:t xml:space="preserve"> </w:t>
            </w:r>
          </w:p>
          <w:p w14:paraId="1FB9139E" w14:textId="77777777" w:rsidR="00515626" w:rsidRPr="00515626" w:rsidRDefault="00515626" w:rsidP="00515626">
            <w:pPr>
              <w:spacing w:after="120"/>
              <w:rPr>
                <w:rFonts w:ascii="Arial" w:hAnsi="Arial" w:cs="Arial"/>
                <w:sz w:val="16"/>
                <w:szCs w:val="16"/>
                <w:u w:val="single"/>
                <w:lang w:eastAsia="ko-KR"/>
              </w:rPr>
            </w:pPr>
            <w:r w:rsidRPr="00515626">
              <w:rPr>
                <w:rFonts w:ascii="Arial" w:hAnsi="Arial" w:cs="Arial"/>
                <w:sz w:val="16"/>
                <w:szCs w:val="16"/>
                <w:u w:val="single"/>
                <w:lang w:eastAsia="ko-KR"/>
              </w:rPr>
              <w:t>RAN4 RF specification impact due to Simultaneous MT TX/DU TX for FDM operation</w:t>
            </w:r>
          </w:p>
          <w:p w14:paraId="1A325F54" w14:textId="77777777" w:rsidR="00515626" w:rsidRPr="00515626" w:rsidRDefault="00515626" w:rsidP="00515626">
            <w:pPr>
              <w:pStyle w:val="a7"/>
              <w:numPr>
                <w:ilvl w:val="0"/>
                <w:numId w:val="2"/>
              </w:numPr>
              <w:spacing w:after="120"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No RF core requirement impact for MT TX/DU TX simultaneous operation in FDM mode  in point of view of coexistence between IAB and existing NR network</w:t>
            </w:r>
          </w:p>
          <w:p w14:paraId="197FE592" w14:textId="77777777" w:rsidR="00515626" w:rsidRPr="00515626" w:rsidRDefault="00515626" w:rsidP="00515626">
            <w:pPr>
              <w:pStyle w:val="a7"/>
              <w:numPr>
                <w:ilvl w:val="2"/>
                <w:numId w:val="2"/>
              </w:numPr>
              <w:spacing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There is no need for additional coexistence simulation.</w:t>
            </w:r>
          </w:p>
          <w:p w14:paraId="5A96D386" w14:textId="77777777" w:rsidR="00515626" w:rsidRPr="00515626" w:rsidRDefault="00515626" w:rsidP="00515626">
            <w:pPr>
              <w:pStyle w:val="a7"/>
              <w:numPr>
                <w:ilvl w:val="2"/>
                <w:numId w:val="2"/>
              </w:numPr>
              <w:spacing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No additional effort is needed on RF impact except issues listed below</w:t>
            </w:r>
          </w:p>
          <w:p w14:paraId="673DB270" w14:textId="77777777" w:rsidR="00515626" w:rsidRPr="00515626" w:rsidRDefault="00515626" w:rsidP="00515626">
            <w:pPr>
              <w:pStyle w:val="a7"/>
              <w:ind w:left="1680" w:firstLine="320"/>
              <w:rPr>
                <w:rFonts w:ascii="Arial" w:hAnsi="Arial" w:cs="Arial"/>
                <w:color w:val="000000" w:themeColor="text1"/>
                <w:sz w:val="16"/>
                <w:szCs w:val="16"/>
              </w:rPr>
            </w:pPr>
          </w:p>
          <w:p w14:paraId="44F36F12" w14:textId="77777777" w:rsidR="00515626" w:rsidRPr="00515626" w:rsidRDefault="00515626" w:rsidP="00515626">
            <w:pPr>
              <w:pStyle w:val="a7"/>
              <w:numPr>
                <w:ilvl w:val="0"/>
                <w:numId w:val="2"/>
              </w:numPr>
              <w:spacing w:after="120"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FFS on intra-node (i.e. transmissions from the same node interfering each other) interference considering MT/DU simultaneous transmission operation with unbalanced transmitting power with below cases:</w:t>
            </w:r>
          </w:p>
          <w:p w14:paraId="49F8CD18" w14:textId="77777777" w:rsidR="00515626" w:rsidRPr="00515626" w:rsidRDefault="00515626" w:rsidP="00515626">
            <w:pPr>
              <w:pStyle w:val="a7"/>
              <w:ind w:left="1680" w:firstLine="320"/>
              <w:rPr>
                <w:rFonts w:ascii="Arial" w:hAnsi="Arial" w:cs="Arial"/>
                <w:color w:val="000000" w:themeColor="text1"/>
                <w:sz w:val="16"/>
                <w:szCs w:val="16"/>
              </w:rPr>
            </w:pPr>
            <w:r w:rsidRPr="00515626">
              <w:rPr>
                <w:rFonts w:ascii="Arial" w:hAnsi="Arial" w:cs="Arial"/>
                <w:color w:val="000000" w:themeColor="text1"/>
                <w:sz w:val="16"/>
                <w:szCs w:val="16"/>
              </w:rPr>
              <w:t xml:space="preserve">Case 1: MT and DU using the same antenna panel </w:t>
            </w:r>
          </w:p>
          <w:p w14:paraId="68E0FD77" w14:textId="77777777" w:rsidR="00515626" w:rsidRPr="00515626" w:rsidRDefault="00515626" w:rsidP="00515626">
            <w:pPr>
              <w:pStyle w:val="a7"/>
              <w:ind w:left="1680" w:firstLine="320"/>
              <w:rPr>
                <w:rFonts w:ascii="Arial" w:hAnsi="Arial" w:cs="Arial"/>
                <w:color w:val="000000" w:themeColor="text1"/>
                <w:sz w:val="16"/>
                <w:szCs w:val="16"/>
              </w:rPr>
            </w:pPr>
            <w:r w:rsidRPr="00515626">
              <w:rPr>
                <w:rFonts w:ascii="Arial" w:hAnsi="Arial" w:cs="Arial"/>
                <w:color w:val="000000" w:themeColor="text1"/>
                <w:sz w:val="16"/>
                <w:szCs w:val="16"/>
              </w:rPr>
              <w:t>Case 2: MT and DU using different antenna panes</w:t>
            </w:r>
          </w:p>
          <w:p w14:paraId="1A689FB7" w14:textId="77777777" w:rsidR="00515626" w:rsidRPr="00515626" w:rsidRDefault="00515626" w:rsidP="00515626">
            <w:pPr>
              <w:pStyle w:val="a7"/>
              <w:ind w:left="1680" w:firstLine="320"/>
              <w:rPr>
                <w:rFonts w:ascii="Arial" w:hAnsi="Arial" w:cs="Arial"/>
                <w:color w:val="000000" w:themeColor="text1"/>
                <w:sz w:val="16"/>
                <w:szCs w:val="16"/>
              </w:rPr>
            </w:pPr>
            <w:r w:rsidRPr="00515626">
              <w:rPr>
                <w:rFonts w:ascii="Arial" w:hAnsi="Arial" w:cs="Arial"/>
                <w:color w:val="000000" w:themeColor="text1"/>
                <w:sz w:val="16"/>
                <w:szCs w:val="16"/>
              </w:rPr>
              <w:t>Case 3: other possibility is not excluded.</w:t>
            </w:r>
          </w:p>
          <w:p w14:paraId="3AC3EF05" w14:textId="77777777" w:rsidR="00515626" w:rsidRPr="00515626" w:rsidRDefault="00515626" w:rsidP="00515626">
            <w:pPr>
              <w:pStyle w:val="a7"/>
              <w:numPr>
                <w:ilvl w:val="0"/>
                <w:numId w:val="2"/>
              </w:numPr>
              <w:spacing w:after="120"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Based on the investigation of the intra-node (i.e. transmissions from the same node interfering each other) interference, RAN4 could decide whether exception on unwanted emission or restriction on scenario can be addressed in core spec, conformance spec or TR with below options</w:t>
            </w:r>
          </w:p>
          <w:p w14:paraId="09B56DDC" w14:textId="77777777" w:rsidR="00515626" w:rsidRPr="00515626" w:rsidRDefault="00515626" w:rsidP="00515626">
            <w:pPr>
              <w:pStyle w:val="a7"/>
              <w:numPr>
                <w:ilvl w:val="2"/>
                <w:numId w:val="2"/>
              </w:numPr>
              <w:spacing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Option 1: exception on unwanted emission: EVM, relative and absolute ACLR are not applied for power controlled link</w:t>
            </w:r>
          </w:p>
          <w:p w14:paraId="104438A3" w14:textId="77777777" w:rsidR="00515626" w:rsidRPr="00515626" w:rsidRDefault="00515626" w:rsidP="00515626">
            <w:pPr>
              <w:pStyle w:val="a7"/>
              <w:numPr>
                <w:ilvl w:val="2"/>
                <w:numId w:val="2"/>
              </w:numPr>
              <w:spacing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Option 2:  restriction on scenario: FDM operation with shared beam case is assumed/considered for the same class and/or similar power capability between IAB-DU and IAB-MT only in RAN4 spec.</w:t>
            </w:r>
          </w:p>
          <w:p w14:paraId="243D8308" w14:textId="77777777" w:rsidR="00515626" w:rsidRPr="00515626" w:rsidRDefault="00515626" w:rsidP="00515626">
            <w:pPr>
              <w:pStyle w:val="a7"/>
              <w:numPr>
                <w:ilvl w:val="2"/>
                <w:numId w:val="2"/>
              </w:numPr>
              <w:spacing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Option 3: other options are not excluded.</w:t>
            </w:r>
          </w:p>
          <w:p w14:paraId="1448FC08" w14:textId="678DA5CE" w:rsidR="006C3751" w:rsidRPr="00515626" w:rsidRDefault="00515626" w:rsidP="00515626">
            <w:pPr>
              <w:pStyle w:val="a7"/>
              <w:numPr>
                <w:ilvl w:val="0"/>
                <w:numId w:val="2"/>
              </w:numPr>
              <w:spacing w:after="120" w:line="259" w:lineRule="auto"/>
              <w:ind w:firstLineChars="0"/>
              <w:contextualSpacing/>
              <w:rPr>
                <w:rFonts w:ascii="Arial" w:hAnsi="Arial" w:cs="Arial"/>
                <w:color w:val="000000" w:themeColor="text1"/>
                <w:sz w:val="16"/>
                <w:szCs w:val="16"/>
              </w:rPr>
            </w:pPr>
            <w:r w:rsidRPr="00515626">
              <w:rPr>
                <w:rFonts w:ascii="Arial" w:hAnsi="Arial" w:cs="Arial"/>
                <w:color w:val="000000" w:themeColor="text1"/>
                <w:sz w:val="16"/>
                <w:szCs w:val="16"/>
              </w:rPr>
              <w:t xml:space="preserve">Further study on conformance testing detail on this case is not precluded in perf. part such as testability, test coverage and test configuration </w:t>
            </w:r>
          </w:p>
        </w:tc>
      </w:tr>
    </w:tbl>
    <w:p w14:paraId="2D8F3B05" w14:textId="03A3D629" w:rsidR="004E338D" w:rsidRPr="00E13B5F" w:rsidRDefault="009549A7" w:rsidP="004E338D">
      <w:r>
        <w:t xml:space="preserve">This contribution discusses further on the simultaneous operation of IAB-node’s child and parent link based on above agreement </w:t>
      </w:r>
      <w:r w:rsidR="00966966">
        <w:t>t</w:t>
      </w:r>
      <w:r w:rsidR="00956879">
        <w:t xml:space="preserve">ogether with corresponding RAN1 </w:t>
      </w:r>
      <w:r>
        <w:t xml:space="preserve">progress. </w:t>
      </w:r>
    </w:p>
    <w:p w14:paraId="41220C08" w14:textId="4940AFA6" w:rsidR="005A7DC5" w:rsidRDefault="006C3751" w:rsidP="005A7DC5">
      <w:pPr>
        <w:pStyle w:val="1"/>
        <w:rPr>
          <w:rFonts w:cs="Arial"/>
          <w:lang w:eastAsia="zh-CN"/>
        </w:rPr>
      </w:pPr>
      <w:r>
        <w:rPr>
          <w:rFonts w:cs="Arial"/>
          <w:lang w:eastAsia="zh-CN"/>
        </w:rPr>
        <w:t>Discussion</w:t>
      </w:r>
      <w:r w:rsidR="00276C66">
        <w:rPr>
          <w:rFonts w:cs="Arial"/>
          <w:lang w:eastAsia="zh-CN"/>
        </w:rPr>
        <w:t xml:space="preserve">   </w:t>
      </w:r>
    </w:p>
    <w:p w14:paraId="51099833" w14:textId="53051B66" w:rsidR="00966966" w:rsidRDefault="00966966" w:rsidP="001A696A">
      <w:pPr>
        <w:spacing w:beforeLines="50" w:before="156" w:after="240"/>
        <w:contextualSpacing/>
      </w:pPr>
      <w:r w:rsidRPr="00966966">
        <w:rPr>
          <w:rFonts w:hint="eastAsia"/>
        </w:rPr>
        <w:t>A</w:t>
      </w:r>
      <w:r w:rsidRPr="00966966">
        <w:t xml:space="preserve">ccording to WF agreed in last meeting the only </w:t>
      </w:r>
      <w:r w:rsidR="000C10F3">
        <w:t>leftover</w:t>
      </w:r>
      <w:r w:rsidR="00096229">
        <w:t xml:space="preserve"> case</w:t>
      </w:r>
      <w:r w:rsidRPr="00966966">
        <w:t xml:space="preserve"> to support simultaneous operation between IAB-DU and IAB-MT</w:t>
      </w:r>
      <w:r>
        <w:t xml:space="preserve"> in RAN4</w:t>
      </w:r>
      <w:r w:rsidRPr="00966966">
        <w:t xml:space="preserve"> is regarding to </w:t>
      </w:r>
      <w:r>
        <w:t>s</w:t>
      </w:r>
      <w:r w:rsidRPr="00966966">
        <w:t>imultaneous transmission of IAB-MT and IAB-DU</w:t>
      </w:r>
      <w:r>
        <w:t xml:space="preserve"> with unbalance output power condition. </w:t>
      </w:r>
    </w:p>
    <w:p w14:paraId="4E626FB4" w14:textId="05090676" w:rsidR="008A65B9" w:rsidRDefault="008A65B9" w:rsidP="001A696A">
      <w:pPr>
        <w:spacing w:beforeLines="50" w:before="156" w:after="240"/>
        <w:contextualSpacing/>
      </w:pPr>
      <w:r>
        <w:t>In context of TX power imbalance,</w:t>
      </w:r>
      <w:r w:rsidRPr="008A65B9">
        <w:t xml:space="preserve"> it’s desired that the difference of power to or from each logical interface would be in reasonable range to avoid the weaker one to be blocked or inferenced by </w:t>
      </w:r>
      <w:r w:rsidR="00067F55">
        <w:t>the other signal with larger level.</w:t>
      </w:r>
      <w:r>
        <w:t xml:space="preserve"> </w:t>
      </w:r>
      <w:r w:rsidR="00297892">
        <w:t>With this target</w:t>
      </w:r>
      <w:r w:rsidR="00297892" w:rsidRPr="00297892">
        <w:t xml:space="preserve"> RAN1 studied on the mechanism on how to mitigate the power imbalance between MT and DU by assistance information </w:t>
      </w:r>
      <w:r w:rsidR="00297892" w:rsidRPr="00297892">
        <w:lastRenderedPageBreak/>
        <w:t xml:space="preserve">to adjust TX power as example shown in figure1. </w:t>
      </w:r>
    </w:p>
    <w:p w14:paraId="159CA2F2" w14:textId="3523DDD4" w:rsidR="00297892" w:rsidRDefault="00297892" w:rsidP="00297892">
      <w:pPr>
        <w:spacing w:after="120"/>
        <w:contextualSpacing/>
        <w:jc w:val="center"/>
      </w:pPr>
      <w:r w:rsidRPr="00E21CDC">
        <w:rPr>
          <w:noProof/>
          <w:szCs w:val="21"/>
        </w:rPr>
        <w:drawing>
          <wp:inline distT="0" distB="0" distL="0" distR="0" wp14:anchorId="3C01E588" wp14:editId="2FCF723E">
            <wp:extent cx="4244708" cy="1844200"/>
            <wp:effectExtent l="0" t="0" r="381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44708" cy="1844200"/>
                    </a:xfrm>
                    <a:prstGeom prst="rect">
                      <a:avLst/>
                    </a:prstGeom>
                  </pic:spPr>
                </pic:pic>
              </a:graphicData>
            </a:graphic>
          </wp:inline>
        </w:drawing>
      </w:r>
    </w:p>
    <w:p w14:paraId="73C1896B" w14:textId="77777777" w:rsidR="00297892" w:rsidRPr="00B11DCD" w:rsidRDefault="00297892" w:rsidP="00297892">
      <w:pPr>
        <w:jc w:val="center"/>
        <w:rPr>
          <w:szCs w:val="21"/>
        </w:rPr>
      </w:pPr>
      <w:r w:rsidRPr="007A5BFF">
        <w:rPr>
          <w:rFonts w:hint="eastAsia"/>
          <w:b/>
          <w:szCs w:val="21"/>
        </w:rPr>
        <w:t>F</w:t>
      </w:r>
      <w:r w:rsidRPr="007A5BFF">
        <w:rPr>
          <w:b/>
          <w:szCs w:val="21"/>
        </w:rPr>
        <w:t>igure 1</w:t>
      </w:r>
      <w:r>
        <w:rPr>
          <w:szCs w:val="21"/>
        </w:rPr>
        <w:t>: Indication on power control (example only)</w:t>
      </w:r>
    </w:p>
    <w:p w14:paraId="0591A10E" w14:textId="77777777" w:rsidR="00297892" w:rsidRDefault="00297892" w:rsidP="00297892">
      <w:pPr>
        <w:spacing w:after="120"/>
        <w:contextualSpacing/>
        <w:jc w:val="center"/>
      </w:pPr>
    </w:p>
    <w:p w14:paraId="62C1CFDF" w14:textId="316E0281" w:rsidR="00297892" w:rsidRDefault="00297892" w:rsidP="00736975">
      <w:pPr>
        <w:spacing w:after="120"/>
        <w:contextualSpacing/>
      </w:pPr>
      <w:r>
        <w:rPr>
          <w:rFonts w:hint="eastAsia"/>
        </w:rPr>
        <w:t>The</w:t>
      </w:r>
      <w:r>
        <w:t xml:space="preserve"> </w:t>
      </w:r>
      <w:r w:rsidR="00665729">
        <w:t>rough</w:t>
      </w:r>
      <w:r>
        <w:t xml:space="preserve"> procedure to enable simultaneous operation is</w:t>
      </w:r>
      <w:r w:rsidR="00736975">
        <w:t xml:space="preserve"> understood as below. The detail RAN1 agreement in RAN1#106bis-e can be checked in [3].</w:t>
      </w:r>
    </w:p>
    <w:p w14:paraId="7B320B66" w14:textId="5BF4C8FC" w:rsidR="00297892" w:rsidRPr="00297892" w:rsidRDefault="00297892" w:rsidP="00297892">
      <w:pPr>
        <w:pStyle w:val="a7"/>
        <w:numPr>
          <w:ilvl w:val="0"/>
          <w:numId w:val="2"/>
        </w:numPr>
        <w:spacing w:after="120"/>
        <w:ind w:firstLineChars="0"/>
        <w:contextualSpacing/>
        <w:rPr>
          <w:rFonts w:asciiTheme="minorHAnsi" w:eastAsiaTheme="minorEastAsia" w:hAnsiTheme="minorHAnsi" w:cstheme="minorBidi"/>
          <w:kern w:val="2"/>
          <w:sz w:val="21"/>
          <w:szCs w:val="22"/>
        </w:rPr>
      </w:pPr>
      <w:r w:rsidRPr="00297892">
        <w:rPr>
          <w:rFonts w:asciiTheme="minorHAnsi" w:eastAsiaTheme="minorEastAsia" w:hAnsiTheme="minorHAnsi" w:cstheme="minorBidi" w:hint="eastAsia"/>
          <w:kern w:val="2"/>
          <w:sz w:val="21"/>
          <w:szCs w:val="22"/>
        </w:rPr>
        <w:t>C</w:t>
      </w:r>
      <w:r w:rsidRPr="00297892">
        <w:rPr>
          <w:rFonts w:asciiTheme="minorHAnsi" w:eastAsiaTheme="minorEastAsia" w:hAnsiTheme="minorHAnsi" w:cstheme="minorBidi"/>
          <w:kern w:val="2"/>
          <w:sz w:val="21"/>
          <w:szCs w:val="22"/>
        </w:rPr>
        <w:t>hild IAB node reports on operational capability on simultaneous operation</w:t>
      </w:r>
      <w:r w:rsidR="00F45DB6">
        <w:rPr>
          <w:rFonts w:asciiTheme="minorHAnsi" w:eastAsiaTheme="minorEastAsia" w:hAnsiTheme="minorHAnsi" w:cstheme="minorBidi"/>
          <w:kern w:val="2"/>
          <w:sz w:val="21"/>
          <w:szCs w:val="22"/>
        </w:rPr>
        <w:t xml:space="preserve"> or makes parent aware its capability by other alternative way.</w:t>
      </w:r>
    </w:p>
    <w:p w14:paraId="50E054EE" w14:textId="44665148" w:rsidR="00297892" w:rsidRDefault="00297892" w:rsidP="00297892">
      <w:pPr>
        <w:pStyle w:val="a7"/>
        <w:numPr>
          <w:ilvl w:val="0"/>
          <w:numId w:val="2"/>
        </w:numPr>
        <w:spacing w:after="120"/>
        <w:ind w:firstLineChars="0"/>
        <w:contextualSpacing/>
        <w:rPr>
          <w:rFonts w:asciiTheme="minorHAnsi" w:eastAsiaTheme="minorEastAsia" w:hAnsiTheme="minorHAnsi" w:cstheme="minorBidi"/>
          <w:kern w:val="2"/>
          <w:sz w:val="21"/>
          <w:szCs w:val="22"/>
        </w:rPr>
      </w:pPr>
      <w:r w:rsidRPr="00297892">
        <w:rPr>
          <w:rFonts w:asciiTheme="minorHAnsi" w:eastAsiaTheme="minorEastAsia" w:hAnsiTheme="minorHAnsi" w:cstheme="minorBidi" w:hint="eastAsia"/>
          <w:kern w:val="2"/>
          <w:sz w:val="21"/>
          <w:szCs w:val="22"/>
        </w:rPr>
        <w:t>A</w:t>
      </w:r>
      <w:r w:rsidRPr="00297892">
        <w:rPr>
          <w:rFonts w:asciiTheme="minorHAnsi" w:eastAsiaTheme="minorEastAsia" w:hAnsiTheme="minorHAnsi" w:cstheme="minorBidi"/>
          <w:kern w:val="2"/>
          <w:sz w:val="21"/>
          <w:szCs w:val="22"/>
        </w:rPr>
        <w:t xml:space="preserve">ll </w:t>
      </w:r>
      <w:r w:rsidR="00736975">
        <w:rPr>
          <w:rFonts w:asciiTheme="minorHAnsi" w:eastAsiaTheme="minorEastAsia" w:hAnsiTheme="minorHAnsi" w:cstheme="minorBidi"/>
          <w:kern w:val="2"/>
          <w:sz w:val="21"/>
          <w:szCs w:val="22"/>
        </w:rPr>
        <w:t xml:space="preserve">other </w:t>
      </w:r>
      <w:r w:rsidRPr="00297892">
        <w:rPr>
          <w:rFonts w:asciiTheme="minorHAnsi" w:eastAsiaTheme="minorEastAsia" w:hAnsiTheme="minorHAnsi" w:cstheme="minorBidi"/>
          <w:kern w:val="2"/>
          <w:sz w:val="21"/>
          <w:szCs w:val="22"/>
        </w:rPr>
        <w:t xml:space="preserve">required </w:t>
      </w:r>
      <w:r w:rsidR="00736975">
        <w:rPr>
          <w:rFonts w:asciiTheme="minorHAnsi" w:eastAsiaTheme="minorEastAsia" w:hAnsiTheme="minorHAnsi" w:cstheme="minorBidi"/>
          <w:kern w:val="2"/>
          <w:sz w:val="21"/>
          <w:szCs w:val="22"/>
        </w:rPr>
        <w:t>conditions and parameters to enable certain non-TDM operation which have been requested by parent node are acknowledged by parent(or determined by child node)</w:t>
      </w:r>
    </w:p>
    <w:p w14:paraId="24491545" w14:textId="68829CFC" w:rsidR="00736975" w:rsidRDefault="00736975" w:rsidP="00297892">
      <w:pPr>
        <w:pStyle w:val="a7"/>
        <w:numPr>
          <w:ilvl w:val="0"/>
          <w:numId w:val="2"/>
        </w:numPr>
        <w:spacing w:after="120"/>
        <w:ind w:firstLineChars="0"/>
        <w:contextualSpacing/>
        <w:rPr>
          <w:rFonts w:asciiTheme="minorHAnsi" w:eastAsiaTheme="minorEastAsia" w:hAnsiTheme="minorHAnsi" w:cstheme="minorBidi"/>
          <w:kern w:val="2"/>
          <w:sz w:val="21"/>
          <w:szCs w:val="22"/>
        </w:rPr>
      </w:pPr>
      <w:r>
        <w:rPr>
          <w:rFonts w:asciiTheme="minorHAnsi" w:eastAsiaTheme="minorEastAsia" w:hAnsiTheme="minorHAnsi" w:cstheme="minorBidi"/>
          <w:kern w:val="2"/>
          <w:sz w:val="21"/>
          <w:szCs w:val="22"/>
        </w:rPr>
        <w:t>Child node MT interface provides below information separately according to its own condition with associated configuration to its parent node</w:t>
      </w:r>
    </w:p>
    <w:p w14:paraId="3E185A70" w14:textId="11A1E42C" w:rsidR="00736975" w:rsidRPr="00736975" w:rsidRDefault="00736975" w:rsidP="00736975">
      <w:pPr>
        <w:pStyle w:val="a7"/>
        <w:numPr>
          <w:ilvl w:val="1"/>
          <w:numId w:val="2"/>
        </w:numPr>
        <w:spacing w:after="120"/>
        <w:ind w:firstLineChars="0"/>
        <w:contextualSpacing/>
      </w:pPr>
      <w:r w:rsidRPr="00736975">
        <w:rPr>
          <w:rFonts w:asciiTheme="minorHAnsi" w:eastAsiaTheme="minorEastAsia" w:hAnsiTheme="minorHAnsi" w:cstheme="minorBidi"/>
          <w:bCs/>
          <w:kern w:val="2"/>
          <w:sz w:val="21"/>
          <w:szCs w:val="22"/>
        </w:rPr>
        <w:t>The desired parent-node’s DL TX power adjustment</w:t>
      </w:r>
      <w:r>
        <w:rPr>
          <w:rFonts w:asciiTheme="minorHAnsi" w:eastAsiaTheme="minorEastAsia" w:hAnsiTheme="minorHAnsi" w:cstheme="minorBidi"/>
          <w:bCs/>
          <w:kern w:val="2"/>
          <w:sz w:val="21"/>
          <w:szCs w:val="22"/>
        </w:rPr>
        <w:t xml:space="preserve"> for RX imbalance</w:t>
      </w:r>
    </w:p>
    <w:p w14:paraId="3FFF1CDE" w14:textId="396B856A" w:rsidR="00736975" w:rsidRPr="00736975" w:rsidRDefault="00736975" w:rsidP="00736975">
      <w:pPr>
        <w:pStyle w:val="a7"/>
        <w:numPr>
          <w:ilvl w:val="1"/>
          <w:numId w:val="2"/>
        </w:numPr>
        <w:spacing w:after="120"/>
        <w:ind w:firstLineChars="0"/>
        <w:contextualSpacing/>
        <w:rPr>
          <w:rFonts w:asciiTheme="minorHAnsi" w:eastAsiaTheme="minorEastAsia" w:hAnsiTheme="minorHAnsi" w:cstheme="minorBidi"/>
          <w:kern w:val="2"/>
          <w:sz w:val="21"/>
          <w:szCs w:val="22"/>
        </w:rPr>
      </w:pPr>
      <w:r w:rsidRPr="00736975">
        <w:rPr>
          <w:rFonts w:asciiTheme="minorHAnsi" w:eastAsiaTheme="minorEastAsia" w:hAnsiTheme="minorHAnsi" w:cstheme="minorBidi"/>
          <w:bCs/>
          <w:kern w:val="2"/>
          <w:sz w:val="21"/>
          <w:szCs w:val="22"/>
        </w:rPr>
        <w:t>desired IAB-MT’s UL PSD range</w:t>
      </w:r>
      <w:r>
        <w:rPr>
          <w:rFonts w:asciiTheme="minorHAnsi" w:eastAsiaTheme="minorEastAsia" w:hAnsiTheme="minorHAnsi" w:cstheme="minorBidi"/>
          <w:bCs/>
          <w:kern w:val="2"/>
          <w:sz w:val="21"/>
          <w:szCs w:val="22"/>
        </w:rPr>
        <w:t xml:space="preserve"> for TX imbalance</w:t>
      </w:r>
    </w:p>
    <w:p w14:paraId="5C16A4DC" w14:textId="456A85F6" w:rsidR="00736975" w:rsidRDefault="00736975" w:rsidP="00736975">
      <w:pPr>
        <w:pStyle w:val="a7"/>
        <w:numPr>
          <w:ilvl w:val="0"/>
          <w:numId w:val="2"/>
        </w:numPr>
        <w:spacing w:after="120"/>
        <w:ind w:firstLineChars="0"/>
        <w:contextualSpacing/>
        <w:rPr>
          <w:rFonts w:asciiTheme="minorHAnsi" w:eastAsiaTheme="minorEastAsia" w:hAnsiTheme="minorHAnsi" w:cstheme="minorBidi"/>
          <w:kern w:val="2"/>
          <w:sz w:val="21"/>
          <w:szCs w:val="22"/>
        </w:rPr>
      </w:pPr>
      <w:r>
        <w:rPr>
          <w:rFonts w:asciiTheme="minorHAnsi" w:eastAsiaTheme="minorEastAsia" w:hAnsiTheme="minorHAnsi" w:cstheme="minorBidi"/>
          <w:bCs/>
          <w:kern w:val="2"/>
          <w:sz w:val="21"/>
          <w:szCs w:val="22"/>
        </w:rPr>
        <w:t>Parent node DU interface ind</w:t>
      </w:r>
      <w:r w:rsidRPr="00736975">
        <w:rPr>
          <w:rFonts w:asciiTheme="minorHAnsi" w:eastAsiaTheme="minorEastAsia" w:hAnsiTheme="minorHAnsi" w:cstheme="minorBidi"/>
          <w:kern w:val="2"/>
          <w:sz w:val="21"/>
          <w:szCs w:val="22"/>
        </w:rPr>
        <w:t xml:space="preserve">icated the </w:t>
      </w:r>
      <w:r w:rsidRPr="00736975">
        <w:rPr>
          <w:rFonts w:asciiTheme="minorHAnsi" w:eastAsiaTheme="minorEastAsia" w:hAnsiTheme="minorHAnsi" w:cstheme="minorBidi"/>
          <w:bCs/>
          <w:kern w:val="2"/>
          <w:sz w:val="21"/>
          <w:szCs w:val="22"/>
        </w:rPr>
        <w:t>DL TX power adjustment</w:t>
      </w:r>
      <w:r w:rsidRPr="00736975">
        <w:rPr>
          <w:rFonts w:asciiTheme="minorHAnsi" w:eastAsiaTheme="minorEastAsia" w:hAnsiTheme="minorHAnsi" w:cstheme="minorBidi"/>
          <w:kern w:val="2"/>
          <w:sz w:val="21"/>
          <w:szCs w:val="22"/>
        </w:rPr>
        <w:t xml:space="preserve"> w</w:t>
      </w:r>
      <w:r>
        <w:rPr>
          <w:rFonts w:asciiTheme="minorHAnsi" w:eastAsiaTheme="minorEastAsia" w:hAnsiTheme="minorHAnsi" w:cstheme="minorBidi"/>
          <w:kern w:val="2"/>
          <w:sz w:val="21"/>
          <w:szCs w:val="22"/>
        </w:rPr>
        <w:t>ith associated configuration to its child IAB-MT</w:t>
      </w:r>
    </w:p>
    <w:p w14:paraId="578B8305" w14:textId="09E9A439" w:rsidR="001A696A" w:rsidRDefault="00981056" w:rsidP="001A696A">
      <w:pPr>
        <w:spacing w:after="120"/>
        <w:contextualSpacing/>
      </w:pPr>
      <w:r>
        <w:t xml:space="preserve">For specific IAB node </w:t>
      </w:r>
      <w:r w:rsidR="001A696A">
        <w:t>the DL transmission</w:t>
      </w:r>
      <w:r w:rsidR="00F45DB6">
        <w:t xml:space="preserve"> of IAB-DU</w:t>
      </w:r>
      <w:r w:rsidR="001A696A">
        <w:t xml:space="preserve"> to UE should be always on stable condition to maintain the same cell coverage range</w:t>
      </w:r>
      <w:r w:rsidR="000272A2">
        <w:t xml:space="preserve">, whereas for the case of DL transmission to its child IAB the DL transmission </w:t>
      </w:r>
      <w:r w:rsidR="00335FCA">
        <w:t>associated modification is not precluded</w:t>
      </w:r>
      <w:r w:rsidR="000272A2">
        <w:t>.</w:t>
      </w:r>
      <w:r w:rsidR="001A696A">
        <w:t xml:space="preserve"> And the desired UL PSD range for its IAB-MT</w:t>
      </w:r>
      <w:r w:rsidR="00F45DB6">
        <w:t xml:space="preserve"> could be provided for its donor to</w:t>
      </w:r>
      <w:r w:rsidR="001A696A">
        <w:t xml:space="preserve"> judg</w:t>
      </w:r>
      <w:r w:rsidR="00F45DB6">
        <w:t>e</w:t>
      </w:r>
      <w:r w:rsidR="00337ED4">
        <w:t xml:space="preserve"> whether UL power control could be updated according to request </w:t>
      </w:r>
      <w:r w:rsidR="00F45DB6">
        <w:t xml:space="preserve">by </w:t>
      </w:r>
      <w:r w:rsidR="00337ED4">
        <w:t xml:space="preserve">legacy </w:t>
      </w:r>
      <w:r w:rsidR="00335FCA">
        <w:t>mechanism</w:t>
      </w:r>
      <w:r w:rsidR="00337ED4">
        <w:t xml:space="preserve"> on UL power control. </w:t>
      </w:r>
    </w:p>
    <w:p w14:paraId="11B162ED" w14:textId="4CEF8F67" w:rsidR="00981056" w:rsidRDefault="00981056" w:rsidP="001A696A">
      <w:pPr>
        <w:spacing w:after="120"/>
        <w:contextualSpacing/>
      </w:pPr>
      <w:r>
        <w:t>For simultaneous reception of IAB-DU and IAB-MT, the UL PSD of UE transmission</w:t>
      </w:r>
      <w:r w:rsidR="002F6868">
        <w:t xml:space="preserve"> or its child IAB-MT</w:t>
      </w:r>
      <w:r>
        <w:t xml:space="preserve"> can be adjusted by IAB-DU. And the desired DL TX adjustment can be suggested to parent IAB-DU. Based on parent node configuration, t</w:t>
      </w:r>
      <w:r w:rsidR="002F6868">
        <w:t xml:space="preserve">he final DL TX power adjustment </w:t>
      </w:r>
      <w:r>
        <w:t xml:space="preserve">will </w:t>
      </w:r>
      <w:r w:rsidR="00335FCA">
        <w:t xml:space="preserve">be </w:t>
      </w:r>
      <w:r>
        <w:t>inform</w:t>
      </w:r>
      <w:r w:rsidR="00335FCA">
        <w:t>ed to</w:t>
      </w:r>
      <w:r>
        <w:t xml:space="preserve"> target IAB-MT. </w:t>
      </w:r>
    </w:p>
    <w:p w14:paraId="642E7A4F" w14:textId="63D8E7BD" w:rsidR="0034061A" w:rsidRDefault="00981056" w:rsidP="001A696A">
      <w:pPr>
        <w:spacing w:after="120"/>
        <w:contextualSpacing/>
      </w:pPr>
      <w:r>
        <w:rPr>
          <w:rFonts w:hint="eastAsia"/>
        </w:rPr>
        <w:t>In</w:t>
      </w:r>
      <w:r>
        <w:t xml:space="preserve"> short, for both simultaneous transmission and simultaneous reception of IAB-DU and IAB-MT, the possible range for power imbalance would be different case by case dependent on </w:t>
      </w:r>
      <w:r w:rsidR="002F6868">
        <w:t>configuration,</w:t>
      </w:r>
      <w:r w:rsidR="0034061A">
        <w:t xml:space="preserve"> capability of IAB node and</w:t>
      </w:r>
      <w:r w:rsidR="002F6868">
        <w:t xml:space="preserve"> capability of</w:t>
      </w:r>
      <w:r w:rsidR="0034061A">
        <w:t xml:space="preserve"> its associated downstream and upstream node. Hence it would be difficult to decide the universal minimum requirement applicable for all possible case considering the </w:t>
      </w:r>
      <w:r w:rsidR="0034061A" w:rsidRPr="0034061A">
        <w:t>miscellaneous</w:t>
      </w:r>
      <w:r w:rsidR="0034061A">
        <w:t xml:space="preserve"> conditions involving in so many factors. </w:t>
      </w:r>
    </w:p>
    <w:p w14:paraId="541BE88E" w14:textId="37425170" w:rsidR="00E4120F" w:rsidRDefault="0034061A" w:rsidP="001A696A">
      <w:pPr>
        <w:spacing w:after="120"/>
        <w:contextualSpacing/>
      </w:pPr>
      <w:r w:rsidRPr="00425AB7">
        <w:rPr>
          <w:b/>
        </w:rPr>
        <w:t>Observation 1</w:t>
      </w:r>
      <w:r>
        <w:t>:</w:t>
      </w:r>
      <w:r w:rsidR="00425AB7">
        <w:t xml:space="preserve"> </w:t>
      </w:r>
      <w:r w:rsidR="00E4120F">
        <w:t>According to RAN1 agreement, the procedure</w:t>
      </w:r>
      <w:r w:rsidR="00251009">
        <w:t xml:space="preserve"> on power control can be applied to allow </w:t>
      </w:r>
      <w:r w:rsidR="00E4120F">
        <w:t xml:space="preserve">TX power </w:t>
      </w:r>
      <w:r w:rsidR="00251009">
        <w:t xml:space="preserve">configured for </w:t>
      </w:r>
      <w:r w:rsidR="00E4120F">
        <w:t xml:space="preserve">simultaneous transmission </w:t>
      </w:r>
      <w:r w:rsidR="00251009">
        <w:t>within</w:t>
      </w:r>
      <w:r w:rsidR="00E4120F">
        <w:t xml:space="preserve"> transmitter </w:t>
      </w:r>
      <w:r w:rsidR="002C09EB">
        <w:t>capability</w:t>
      </w:r>
      <w:r w:rsidR="00E4120F">
        <w:t xml:space="preserve">. </w:t>
      </w:r>
    </w:p>
    <w:p w14:paraId="056F2FEA" w14:textId="0CF1E54B" w:rsidR="0034061A" w:rsidRDefault="00E4120F" w:rsidP="001A696A">
      <w:pPr>
        <w:spacing w:after="120"/>
        <w:contextualSpacing/>
      </w:pPr>
      <w:r w:rsidRPr="00E4120F">
        <w:rPr>
          <w:b/>
        </w:rPr>
        <w:t>Observation 2</w:t>
      </w:r>
      <w:r>
        <w:t xml:space="preserve">: </w:t>
      </w:r>
      <w:r w:rsidR="00425AB7" w:rsidRPr="00425AB7">
        <w:t xml:space="preserve">RAN1 agreements </w:t>
      </w:r>
      <w:r w:rsidR="002C09EB">
        <w:t xml:space="preserve">on </w:t>
      </w:r>
      <w:r w:rsidR="00425AB7" w:rsidRPr="00425AB7">
        <w:t>power control applicable to mitigate power imbalance issue are</w:t>
      </w:r>
      <w:r w:rsidR="00CD01CC">
        <w:t xml:space="preserve"> dependent on many factors which </w:t>
      </w:r>
      <w:r w:rsidR="00251009">
        <w:t xml:space="preserve">makes it </w:t>
      </w:r>
      <w:r w:rsidR="00CD01CC">
        <w:t>may not be straightforward to derive related universal minimum requirement other than existing ones.</w:t>
      </w:r>
      <w:r w:rsidR="00425AB7" w:rsidRPr="00425AB7">
        <w:t xml:space="preserve">  </w:t>
      </w:r>
    </w:p>
    <w:p w14:paraId="016593B8" w14:textId="41ED136D" w:rsidR="00CD01CC" w:rsidRDefault="00CD01CC" w:rsidP="001A696A">
      <w:pPr>
        <w:spacing w:after="120"/>
        <w:contextualSpacing/>
      </w:pPr>
      <w:r w:rsidRPr="00CD01CC">
        <w:rPr>
          <w:b/>
        </w:rPr>
        <w:t xml:space="preserve">Observation </w:t>
      </w:r>
      <w:r w:rsidR="00E4120F">
        <w:rPr>
          <w:b/>
        </w:rPr>
        <w:t>3</w:t>
      </w:r>
      <w:r>
        <w:t>: as long as the RAN1 design</w:t>
      </w:r>
      <w:r w:rsidR="002F6868">
        <w:t xml:space="preserve"> contain</w:t>
      </w:r>
      <w:r>
        <w:t xml:space="preserve"> enough margin on top of current </w:t>
      </w:r>
      <w:r w:rsidR="002F6868">
        <w:t>baseline</w:t>
      </w:r>
      <w:r w:rsidR="00251009">
        <w:t xml:space="preserve"> for desired PSD range</w:t>
      </w:r>
      <w:r>
        <w:t xml:space="preserve">, forward compatible </w:t>
      </w:r>
      <w:r w:rsidR="00E4120F">
        <w:t xml:space="preserve">and implementation flexibility </w:t>
      </w:r>
      <w:r>
        <w:t>could be ensure</w:t>
      </w:r>
      <w:r w:rsidR="00E4120F">
        <w:t>d.</w:t>
      </w:r>
    </w:p>
    <w:p w14:paraId="3FFCEBCC" w14:textId="61EBBDFF" w:rsidR="00337ED4" w:rsidRDefault="00337ED4" w:rsidP="001A696A">
      <w:pPr>
        <w:spacing w:after="120"/>
        <w:contextualSpacing/>
      </w:pPr>
    </w:p>
    <w:p w14:paraId="3CABDFDE" w14:textId="31B97D78" w:rsidR="00284941" w:rsidRDefault="00D12B22" w:rsidP="001A696A">
      <w:pPr>
        <w:spacing w:after="120"/>
        <w:contextualSpacing/>
      </w:pPr>
      <w:r>
        <w:t>Based on above RAN1 agreement and related observation,</w:t>
      </w:r>
      <w:r w:rsidR="004B6D31">
        <w:t xml:space="preserve"> we can</w:t>
      </w:r>
      <w:r>
        <w:t xml:space="preserve"> turn back to RAN4 remaining issue on </w:t>
      </w:r>
      <w:r w:rsidR="00FD6EBA">
        <w:t xml:space="preserve">intra-node </w:t>
      </w:r>
      <w:r w:rsidR="005F243F">
        <w:t xml:space="preserve">self-interference. </w:t>
      </w:r>
      <w:r w:rsidR="00C953E7">
        <w:t xml:space="preserve">With </w:t>
      </w:r>
      <w:r w:rsidR="00C953E7">
        <w:rPr>
          <w:rFonts w:ascii="Calibri" w:hAnsi="Calibri"/>
        </w:rPr>
        <w:t xml:space="preserve">separated </w:t>
      </w:r>
      <w:r w:rsidR="00037665">
        <w:rPr>
          <w:rFonts w:ascii="Calibri" w:hAnsi="Calibri"/>
        </w:rPr>
        <w:t xml:space="preserve">antenna </w:t>
      </w:r>
      <w:r w:rsidR="00C953E7">
        <w:rPr>
          <w:rFonts w:ascii="Calibri" w:hAnsi="Calibri"/>
        </w:rPr>
        <w:t>panels and array geometries to spatial separation of beams for IAB-DU and IAB-MT could obtain potentially</w:t>
      </w:r>
      <w:r w:rsidR="00265906">
        <w:rPr>
          <w:rFonts w:ascii="Calibri" w:hAnsi="Calibri"/>
        </w:rPr>
        <w:t xml:space="preserve"> necessary</w:t>
      </w:r>
      <w:r w:rsidR="00C953E7">
        <w:rPr>
          <w:rFonts w:ascii="Calibri" w:hAnsi="Calibri"/>
        </w:rPr>
        <w:t xml:space="preserve"> levels of isolation</w:t>
      </w:r>
      <w:r w:rsidR="00037665">
        <w:rPr>
          <w:rFonts w:ascii="Calibri" w:hAnsi="Calibri"/>
        </w:rPr>
        <w:t xml:space="preserve"> by </w:t>
      </w:r>
      <w:r w:rsidR="00265906">
        <w:rPr>
          <w:rFonts w:ascii="Calibri" w:hAnsi="Calibri"/>
        </w:rPr>
        <w:t>commercially feasible</w:t>
      </w:r>
      <w:r w:rsidR="00037665">
        <w:rPr>
          <w:rFonts w:ascii="Calibri" w:hAnsi="Calibri"/>
        </w:rPr>
        <w:t xml:space="preserve"> implementation</w:t>
      </w:r>
      <w:r w:rsidR="00C953E7">
        <w:rPr>
          <w:rFonts w:ascii="Calibri" w:hAnsi="Calibri"/>
        </w:rPr>
        <w:t>.</w:t>
      </w:r>
      <w:r w:rsidR="00037665">
        <w:rPr>
          <w:rFonts w:ascii="Calibri" w:hAnsi="Calibri"/>
        </w:rPr>
        <w:t xml:space="preserve"> However, this would be quite challenging for sharing </w:t>
      </w:r>
      <w:r w:rsidR="00265906">
        <w:rPr>
          <w:rFonts w:ascii="Calibri" w:hAnsi="Calibri"/>
        </w:rPr>
        <w:t xml:space="preserve">beam </w:t>
      </w:r>
      <w:r w:rsidR="00037665">
        <w:rPr>
          <w:rFonts w:ascii="Calibri" w:hAnsi="Calibri"/>
        </w:rPr>
        <w:t>case</w:t>
      </w:r>
      <w:r w:rsidR="00265906">
        <w:rPr>
          <w:rFonts w:ascii="Calibri" w:hAnsi="Calibri"/>
        </w:rPr>
        <w:t xml:space="preserve"> to achieve adequate isolation between IAB-DU and IAB-MT</w:t>
      </w:r>
      <w:r w:rsidR="00037665">
        <w:t xml:space="preserve">. </w:t>
      </w:r>
      <w:r w:rsidR="00A36170">
        <w:t>Even though it is not intended to preclude the any possible implementation in specification, at least that should not be</w:t>
      </w:r>
      <w:r w:rsidR="002F6868">
        <w:t xml:space="preserve"> allowed</w:t>
      </w:r>
      <w:r w:rsidR="00A36170">
        <w:t xml:space="preserve"> by the cost of relaxation </w:t>
      </w:r>
      <w:r w:rsidR="00A36170">
        <w:lastRenderedPageBreak/>
        <w:t>on requirement especially on wanted signal quality.</w:t>
      </w:r>
      <w:r w:rsidR="00265906">
        <w:t xml:space="preserve"> </w:t>
      </w:r>
      <w:r w:rsidR="00A36170">
        <w:t>However, for simultaneous transmission of IAB-MT and IAB-DU the ACLR, OBUE and spurious emission</w:t>
      </w:r>
      <w:r w:rsidR="00284941">
        <w:t xml:space="preserve"> could</w:t>
      </w:r>
      <w:r w:rsidR="00A36170">
        <w:t xml:space="preserve"> be </w:t>
      </w:r>
      <w:r w:rsidR="00284941">
        <w:t xml:space="preserve">reconsidered if the power imbalance assumed. </w:t>
      </w:r>
    </w:p>
    <w:p w14:paraId="6018565B" w14:textId="7C2173CA" w:rsidR="00B160FF" w:rsidRDefault="00284941" w:rsidP="001A696A">
      <w:pPr>
        <w:spacing w:after="120"/>
        <w:contextualSpacing/>
        <w:rPr>
          <w:iCs/>
        </w:rPr>
      </w:pPr>
      <w:r>
        <w:t>For ACLR including both absolute and relative ACLR, the most</w:t>
      </w:r>
      <w:r w:rsidR="00B160FF">
        <w:t xml:space="preserve"> problematic</w:t>
      </w:r>
      <w:r>
        <w:t xml:space="preserve"> case would be two carriers with imbalance</w:t>
      </w:r>
      <w:r w:rsidR="002F6868">
        <w:t>d power</w:t>
      </w:r>
      <w:r>
        <w:t xml:space="preserve"> adjacent to each other, for this case the</w:t>
      </w:r>
      <w:r w:rsidR="00B160FF">
        <w:t xml:space="preserve"> emission level besides the lower power carrier may exceed the specified limit. The case is similar to OBUE requirement. But for two carriers with gap, the existing specification could be still valid as the cumulative sum of the </w:t>
      </w:r>
      <w:r w:rsidR="00B160FF">
        <w:rPr>
          <w:iCs/>
        </w:rPr>
        <w:t>limits</w:t>
      </w:r>
      <w:r w:rsidR="000B21CA">
        <w:rPr>
          <w:iCs/>
        </w:rPr>
        <w:t xml:space="preserve"> would be </w:t>
      </w:r>
      <w:r w:rsidR="00B160FF">
        <w:rPr>
          <w:iCs/>
        </w:rPr>
        <w:t>applied.</w:t>
      </w:r>
      <w:r w:rsidR="000B21CA">
        <w:rPr>
          <w:iCs/>
        </w:rPr>
        <w:t xml:space="preserve"> Please note that the case on MT and DU FDM within the same carrier is not assessed in this contribution. </w:t>
      </w:r>
    </w:p>
    <w:p w14:paraId="16D9F9B4" w14:textId="6BD2B7D5" w:rsidR="001641B3" w:rsidRDefault="00B160FF" w:rsidP="001A696A">
      <w:pPr>
        <w:spacing w:after="120"/>
        <w:contextualSpacing/>
      </w:pPr>
      <w:r>
        <w:rPr>
          <w:iCs/>
        </w:rPr>
        <w:t xml:space="preserve">Regarding the spurious emission, it’s supposed no problem since most </w:t>
      </w:r>
      <w:r w:rsidR="001641B3">
        <w:rPr>
          <w:iCs/>
        </w:rPr>
        <w:t>requirements are generic and agonistic to IAB class except the FR1 co-located one with statement as”</w:t>
      </w:r>
      <w:r w:rsidR="001641B3" w:rsidRPr="001641B3">
        <w:rPr>
          <w:rFonts w:cs="v5.0.0"/>
        </w:rPr>
        <w:t xml:space="preserve"> </w:t>
      </w:r>
      <w:r w:rsidR="001641B3" w:rsidRPr="001641B3">
        <w:rPr>
          <w:rFonts w:ascii="Times New Roman" w:hAnsi="Times New Roman" w:cs="Times New Roman"/>
        </w:rPr>
        <w:t>The requirements assume a 30 dB coupling loss between transmitter and receiver and are based on co-location with same class</w:t>
      </w:r>
      <w:r w:rsidR="001641B3">
        <w:t>.”</w:t>
      </w:r>
      <w:r w:rsidR="00956DB9">
        <w:t xml:space="preserve"> In the other word, the co-location with different class is not covered by current specification. But </w:t>
      </w:r>
      <w:r w:rsidR="000B21CA">
        <w:t xml:space="preserve">in </w:t>
      </w:r>
      <w:r w:rsidR="00956DB9">
        <w:t>th</w:t>
      </w:r>
      <w:r w:rsidR="000B21CA">
        <w:t>is table the requirement the most</w:t>
      </w:r>
      <w:r w:rsidR="00956DB9">
        <w:t xml:space="preserve"> </w:t>
      </w:r>
      <w:r w:rsidR="00755625">
        <w:t xml:space="preserve">stringent </w:t>
      </w:r>
      <w:r w:rsidR="000B21CA">
        <w:t xml:space="preserve">one is </w:t>
      </w:r>
      <w:r w:rsidR="00755625">
        <w:t>for WA class.</w:t>
      </w:r>
    </w:p>
    <w:p w14:paraId="38D0BCEF" w14:textId="4CDAA382" w:rsidR="004C56E5" w:rsidRDefault="004B2EBF" w:rsidP="001A696A">
      <w:pPr>
        <w:spacing w:after="120"/>
        <w:contextualSpacing/>
        <w:rPr>
          <w:iCs/>
        </w:rPr>
      </w:pPr>
      <w:r>
        <w:t>It can be observed that that the case for which the requirement to be impacted is mainly on area just besides contiguous two carriers. And o</w:t>
      </w:r>
      <w:r w:rsidR="004C56E5">
        <w:t xml:space="preserve">ur preference is not to make requirement exception for certain implementation as implied </w:t>
      </w:r>
      <w:r>
        <w:t>in</w:t>
      </w:r>
      <w:r w:rsidR="004C56E5">
        <w:t xml:space="preserve"> option1. One alternative way is to apply most stringent requirement for power imbalance case. However, it’s still not convinced for the necessity and feasibility yet. Hence the tradeoff could be scenario restriction as option 2 suggested in the WF. </w:t>
      </w:r>
      <w:r>
        <w:t>Furthermore,</w:t>
      </w:r>
      <w:r w:rsidR="004C56E5">
        <w:t xml:space="preserve"> as in legacy specification the cross class co-location case is not considered, we believe this kind of scenario restriction could be applied for both shared beam and separated beam case. It doesn’t mean this could not be applied in real deployment but thi</w:t>
      </w:r>
      <w:r w:rsidR="00DE3030">
        <w:t xml:space="preserve">s is just not considered to define specific requirement. And it’s open to consider this as a note in core specification or captured somewhere implicitly in conformance testing spec. </w:t>
      </w:r>
    </w:p>
    <w:p w14:paraId="7D7BEE44" w14:textId="434D1D25" w:rsidR="00284941" w:rsidRDefault="00B160FF" w:rsidP="001A696A">
      <w:pPr>
        <w:spacing w:after="120"/>
        <w:contextualSpacing/>
      </w:pPr>
      <w:r>
        <w:rPr>
          <w:iCs/>
        </w:rPr>
        <w:t xml:space="preserve"> </w:t>
      </w:r>
      <w:r>
        <w:t xml:space="preserve">  </w:t>
      </w:r>
      <w:r w:rsidR="00284941">
        <w:t xml:space="preserve"> </w:t>
      </w:r>
    </w:p>
    <w:p w14:paraId="23F2DE25" w14:textId="77777777" w:rsidR="00284941" w:rsidRDefault="00284941" w:rsidP="001A696A">
      <w:pPr>
        <w:spacing w:after="120"/>
        <w:contextualSpacing/>
      </w:pPr>
      <w:r w:rsidRPr="00284941">
        <w:rPr>
          <w:b/>
        </w:rPr>
        <w:t>Proposal 1</w:t>
      </w:r>
      <w:r>
        <w:t xml:space="preserve">: existing EVM requirement should not be impact due to simultaneous transmission. </w:t>
      </w:r>
    </w:p>
    <w:p w14:paraId="2BE4C730" w14:textId="60FE9364" w:rsidR="00D12B22" w:rsidRDefault="00251009" w:rsidP="004C56E5">
      <w:pPr>
        <w:spacing w:after="120"/>
        <w:contextualSpacing/>
      </w:pPr>
      <w:r>
        <w:rPr>
          <w:b/>
        </w:rPr>
        <w:t>Proposal</w:t>
      </w:r>
      <w:r w:rsidRPr="00284941">
        <w:rPr>
          <w:b/>
        </w:rPr>
        <w:t xml:space="preserve"> </w:t>
      </w:r>
      <w:r w:rsidR="00284941" w:rsidRPr="00284941">
        <w:rPr>
          <w:b/>
        </w:rPr>
        <w:t>2</w:t>
      </w:r>
      <w:r w:rsidR="00284941">
        <w:t xml:space="preserve">: </w:t>
      </w:r>
      <w:r w:rsidR="004C56E5">
        <w:t xml:space="preserve">It’s suggested to take further discussion based option2 with agnostic to implementation solution for simultaneous operation on MT TX/DU TX. </w:t>
      </w:r>
    </w:p>
    <w:p w14:paraId="7B6F16A9" w14:textId="5E352B73" w:rsidR="00472B91" w:rsidRPr="0095519B" w:rsidRDefault="00472B91" w:rsidP="00472B91">
      <w:pPr>
        <w:rPr>
          <w:sz w:val="20"/>
          <w:szCs w:val="20"/>
          <w:lang w:val="en-GB"/>
        </w:rPr>
      </w:pPr>
    </w:p>
    <w:p w14:paraId="4B5CBA1E" w14:textId="63DFEDD9" w:rsidR="00781F52" w:rsidRDefault="00781F52" w:rsidP="00781F52">
      <w:pPr>
        <w:pStyle w:val="1"/>
        <w:rPr>
          <w:rFonts w:cs="Arial"/>
          <w:lang w:eastAsia="zh-CN"/>
        </w:rPr>
      </w:pPr>
      <w:r>
        <w:rPr>
          <w:rFonts w:cs="Arial"/>
          <w:lang w:eastAsia="zh-CN"/>
        </w:rPr>
        <w:t xml:space="preserve">Conclusion   </w:t>
      </w:r>
    </w:p>
    <w:p w14:paraId="6461CF7C" w14:textId="4C722200" w:rsidR="00755625" w:rsidRPr="00096229" w:rsidRDefault="00727A32" w:rsidP="0095519B">
      <w:pPr>
        <w:rPr>
          <w:szCs w:val="21"/>
        </w:rPr>
      </w:pPr>
      <w:r w:rsidRPr="00096229">
        <w:rPr>
          <w:szCs w:val="21"/>
        </w:rPr>
        <w:t xml:space="preserve">In this contribution we shared our understanding regarding to IAB node simultaneous operation </w:t>
      </w:r>
      <w:r w:rsidR="00755625" w:rsidRPr="00096229">
        <w:rPr>
          <w:szCs w:val="21"/>
        </w:rPr>
        <w:t>according to latest RAN1 agreement and WF agreed in Aug RAN4 meeting with below observations and proposals.</w:t>
      </w:r>
    </w:p>
    <w:p w14:paraId="43DDE31A" w14:textId="21B5FE04" w:rsidR="00755625" w:rsidRPr="00096229" w:rsidRDefault="00755625" w:rsidP="00755625">
      <w:pPr>
        <w:rPr>
          <w:szCs w:val="21"/>
          <w:lang w:val="en-GB"/>
        </w:rPr>
      </w:pPr>
      <w:r w:rsidRPr="00096229">
        <w:rPr>
          <w:szCs w:val="21"/>
        </w:rPr>
        <w:t>For</w:t>
      </w:r>
      <w:r w:rsidR="00727A32" w:rsidRPr="00096229">
        <w:rPr>
          <w:szCs w:val="21"/>
        </w:rPr>
        <w:t xml:space="preserve"> RAN1 discussion on power control</w:t>
      </w:r>
      <w:r w:rsidRPr="00096229">
        <w:rPr>
          <w:szCs w:val="21"/>
        </w:rPr>
        <w:t>:</w:t>
      </w:r>
      <w:r w:rsidR="00727A32" w:rsidRPr="00096229">
        <w:rPr>
          <w:szCs w:val="21"/>
        </w:rPr>
        <w:t xml:space="preserve"> </w:t>
      </w:r>
    </w:p>
    <w:p w14:paraId="17AAA80F" w14:textId="77777777" w:rsidR="00251009" w:rsidRDefault="00251009" w:rsidP="00251009">
      <w:pPr>
        <w:spacing w:after="120"/>
        <w:contextualSpacing/>
      </w:pPr>
      <w:r w:rsidRPr="00425AB7">
        <w:rPr>
          <w:b/>
        </w:rPr>
        <w:t>Observation 1</w:t>
      </w:r>
      <w:r>
        <w:t xml:space="preserve">: According to RAN1 agreement, the procedure on power control can be applied to allow TX power configured for simultaneous transmission within transmitter capability. </w:t>
      </w:r>
    </w:p>
    <w:p w14:paraId="08FE0EDC" w14:textId="77777777" w:rsidR="00251009" w:rsidRDefault="00251009" w:rsidP="00251009">
      <w:pPr>
        <w:spacing w:after="120"/>
        <w:contextualSpacing/>
      </w:pPr>
      <w:r w:rsidRPr="00E4120F">
        <w:rPr>
          <w:b/>
        </w:rPr>
        <w:t>Observation 2</w:t>
      </w:r>
      <w:r>
        <w:t xml:space="preserve">: </w:t>
      </w:r>
      <w:r w:rsidRPr="00425AB7">
        <w:t xml:space="preserve">RAN1 agreements </w:t>
      </w:r>
      <w:r>
        <w:t xml:space="preserve">on </w:t>
      </w:r>
      <w:r w:rsidRPr="00425AB7">
        <w:t>power control applicable to mitigate power imbalance issue are</w:t>
      </w:r>
      <w:r>
        <w:t xml:space="preserve"> dependent on many factors which makes it may not be straightforward to derive related universal minimum requirement other than existing ones.</w:t>
      </w:r>
      <w:r w:rsidRPr="00425AB7">
        <w:t xml:space="preserve">  </w:t>
      </w:r>
    </w:p>
    <w:p w14:paraId="158CC55F" w14:textId="77777777" w:rsidR="00251009" w:rsidRDefault="00251009" w:rsidP="00251009">
      <w:pPr>
        <w:spacing w:after="120"/>
        <w:contextualSpacing/>
      </w:pPr>
      <w:r w:rsidRPr="00CD01CC">
        <w:rPr>
          <w:b/>
        </w:rPr>
        <w:t xml:space="preserve">Observation </w:t>
      </w:r>
      <w:r>
        <w:rPr>
          <w:b/>
        </w:rPr>
        <w:t>3</w:t>
      </w:r>
      <w:r>
        <w:t>: as long as the RAN1 design contain enough margin on top of current baseline for desired PSD range, forward compatible and implementation flexibility could be ensured.</w:t>
      </w:r>
    </w:p>
    <w:p w14:paraId="4243031E" w14:textId="0D11D40C" w:rsidR="0095519B" w:rsidRPr="00251009" w:rsidRDefault="0095519B" w:rsidP="0095519B">
      <w:pPr>
        <w:rPr>
          <w:szCs w:val="21"/>
        </w:rPr>
      </w:pPr>
    </w:p>
    <w:p w14:paraId="289DDE0F" w14:textId="2E8EA165" w:rsidR="00781F52" w:rsidRPr="00096229" w:rsidRDefault="00755625" w:rsidP="00F011DD">
      <w:pPr>
        <w:rPr>
          <w:szCs w:val="21"/>
          <w:lang w:val="en-GB"/>
        </w:rPr>
      </w:pPr>
      <w:r w:rsidRPr="00096229">
        <w:rPr>
          <w:rFonts w:hint="eastAsia"/>
          <w:szCs w:val="21"/>
          <w:lang w:val="en-GB"/>
        </w:rPr>
        <w:t>F</w:t>
      </w:r>
      <w:r w:rsidRPr="00096229">
        <w:rPr>
          <w:szCs w:val="21"/>
          <w:lang w:val="en-GB"/>
        </w:rPr>
        <w:t>or remaining issue in RAN4:</w:t>
      </w:r>
    </w:p>
    <w:p w14:paraId="3CD8FAB6" w14:textId="77777777" w:rsidR="00DE3030" w:rsidRPr="00096229" w:rsidRDefault="00DE3030" w:rsidP="00DE3030">
      <w:pPr>
        <w:spacing w:after="120"/>
        <w:contextualSpacing/>
        <w:rPr>
          <w:szCs w:val="21"/>
        </w:rPr>
      </w:pPr>
      <w:r w:rsidRPr="00096229">
        <w:rPr>
          <w:b/>
          <w:szCs w:val="21"/>
        </w:rPr>
        <w:t>Proposal 1</w:t>
      </w:r>
      <w:r w:rsidRPr="00096229">
        <w:rPr>
          <w:szCs w:val="21"/>
        </w:rPr>
        <w:t xml:space="preserve">: existing EVM requirement should not be impact due to simultaneous transmission. </w:t>
      </w:r>
    </w:p>
    <w:p w14:paraId="6B16F194" w14:textId="5FEEB790" w:rsidR="00DE3030" w:rsidRDefault="00A10B34" w:rsidP="00DE3030">
      <w:pPr>
        <w:spacing w:after="120"/>
        <w:contextualSpacing/>
      </w:pPr>
      <w:r w:rsidRPr="00096229">
        <w:rPr>
          <w:b/>
          <w:szCs w:val="21"/>
        </w:rPr>
        <w:t xml:space="preserve">Proposal </w:t>
      </w:r>
      <w:r w:rsidR="00DE3030" w:rsidRPr="00096229">
        <w:rPr>
          <w:b/>
          <w:szCs w:val="21"/>
        </w:rPr>
        <w:t>2</w:t>
      </w:r>
      <w:r w:rsidR="00DE3030" w:rsidRPr="00096229">
        <w:rPr>
          <w:szCs w:val="21"/>
        </w:rPr>
        <w:t>: It’s suggested to take further d</w:t>
      </w:r>
      <w:r w:rsidR="00DE3030">
        <w:t xml:space="preserve">iscussion based option2 with agnostic to implementation solution for simultaneous operation on MT TX/DU TX.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2D0366E7" w:rsidR="007B41E7" w:rsidRDefault="005F1418" w:rsidP="007B41E7">
      <w:pPr>
        <w:rPr>
          <w:szCs w:val="21"/>
        </w:rPr>
      </w:pPr>
      <w:r>
        <w:rPr>
          <w:rFonts w:ascii="Calibri" w:hAnsi="Calibri" w:cs="Calibri"/>
          <w:iCs/>
          <w:szCs w:val="21"/>
        </w:rPr>
        <w:t>[1]</w:t>
      </w:r>
      <w:r w:rsidR="00A70B6C">
        <w:rPr>
          <w:szCs w:val="21"/>
        </w:rPr>
        <w:t xml:space="preserve"> </w:t>
      </w:r>
      <w:r w:rsidR="005C14D7" w:rsidRPr="005606CF">
        <w:rPr>
          <w:rFonts w:eastAsia="宋体" w:cstheme="minorHAnsi"/>
          <w:sz w:val="20"/>
          <w:szCs w:val="20"/>
          <w:lang w:eastAsia="ja-JP"/>
        </w:rPr>
        <w:t>R4-21</w:t>
      </w:r>
      <w:r w:rsidR="007A5BFF">
        <w:rPr>
          <w:rFonts w:eastAsia="宋体" w:cstheme="minorHAnsi"/>
          <w:sz w:val="20"/>
          <w:szCs w:val="20"/>
          <w:lang w:eastAsia="ja-JP"/>
        </w:rPr>
        <w:t>1</w:t>
      </w:r>
      <w:r w:rsidR="00DA6BB5">
        <w:rPr>
          <w:rFonts w:eastAsia="宋体" w:cstheme="minorHAnsi"/>
          <w:sz w:val="20"/>
          <w:szCs w:val="20"/>
          <w:lang w:eastAsia="ja-JP"/>
        </w:rPr>
        <w:t>5645</w:t>
      </w:r>
      <w:r w:rsidR="005C14D7">
        <w:rPr>
          <w:rFonts w:eastAsia="宋体" w:cstheme="minorHAnsi"/>
          <w:sz w:val="20"/>
          <w:szCs w:val="20"/>
          <w:lang w:eastAsia="ja-JP"/>
        </w:rPr>
        <w:t>，</w:t>
      </w:r>
      <w:r w:rsidR="005C14D7" w:rsidRPr="005606CF">
        <w:rPr>
          <w:rFonts w:eastAsia="宋体" w:cstheme="minorHAnsi"/>
          <w:sz w:val="20"/>
          <w:szCs w:val="20"/>
          <w:lang w:eastAsia="ja-JP"/>
        </w:rPr>
        <w:t>WF on simultaneous operating and timing case#6/7 for enhanced IAB</w:t>
      </w:r>
    </w:p>
    <w:p w14:paraId="4E57FC56" w14:textId="25A0065E" w:rsidR="000C10F3" w:rsidRPr="000C10F3" w:rsidRDefault="007A5BFF" w:rsidP="00EA6189">
      <w:pPr>
        <w:rPr>
          <w:rFonts w:eastAsia="MS Mincho" w:cstheme="minorHAnsi"/>
          <w:sz w:val="20"/>
          <w:szCs w:val="20"/>
          <w:lang w:eastAsia="ja-JP"/>
        </w:rPr>
      </w:pPr>
      <w:r>
        <w:rPr>
          <w:rFonts w:hint="eastAsia"/>
          <w:szCs w:val="21"/>
        </w:rPr>
        <w:t>[</w:t>
      </w:r>
      <w:r>
        <w:rPr>
          <w:szCs w:val="21"/>
        </w:rPr>
        <w:t xml:space="preserve">2] </w:t>
      </w:r>
      <w:r w:rsidRPr="007A5BFF">
        <w:rPr>
          <w:rFonts w:eastAsia="宋体" w:cstheme="minorHAnsi"/>
          <w:sz w:val="20"/>
          <w:szCs w:val="20"/>
          <w:lang w:eastAsia="ja-JP"/>
        </w:rPr>
        <w:t>R1-2109916</w:t>
      </w:r>
      <w:r>
        <w:rPr>
          <w:rFonts w:eastAsia="宋体" w:cstheme="minorHAnsi"/>
          <w:sz w:val="20"/>
          <w:szCs w:val="20"/>
          <w:lang w:eastAsia="ja-JP"/>
        </w:rPr>
        <w:t xml:space="preserve">, </w:t>
      </w:r>
      <w:r w:rsidRPr="007A5BFF">
        <w:rPr>
          <w:rFonts w:eastAsia="宋体" w:cstheme="minorHAnsi"/>
          <w:sz w:val="20"/>
          <w:szCs w:val="20"/>
          <w:lang w:eastAsia="ja-JP"/>
        </w:rPr>
        <w:t>Summary of UE features for IAB enhancements</w:t>
      </w:r>
    </w:p>
    <w:p w14:paraId="072113BA" w14:textId="216951B3" w:rsidR="000C10F3" w:rsidRPr="00251009" w:rsidRDefault="0065761B" w:rsidP="00EA6189">
      <w:pPr>
        <w:rPr>
          <w:rFonts w:eastAsia="MS Mincho" w:cstheme="minorHAnsi" w:hint="eastAsia"/>
          <w:sz w:val="20"/>
          <w:szCs w:val="20"/>
          <w:lang w:eastAsia="ja-JP"/>
        </w:rPr>
      </w:pPr>
      <w:r>
        <w:rPr>
          <w:rFonts w:eastAsia="宋体" w:cstheme="minorHAnsi"/>
          <w:sz w:val="20"/>
          <w:szCs w:val="20"/>
          <w:lang w:eastAsia="ja-JP"/>
        </w:rPr>
        <w:t xml:space="preserve">[3] Chair’s notes RAN1#106bis-e </w:t>
      </w:r>
      <w:bookmarkStart w:id="0" w:name="_GoBack"/>
      <w:bookmarkEnd w:id="0"/>
    </w:p>
    <w:sectPr w:rsidR="000C10F3" w:rsidRPr="00251009"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3B493" w14:textId="77777777" w:rsidR="00623859" w:rsidRDefault="00623859" w:rsidP="006C170D">
      <w:r>
        <w:separator/>
      </w:r>
    </w:p>
  </w:endnote>
  <w:endnote w:type="continuationSeparator" w:id="0">
    <w:p w14:paraId="419CD2F5" w14:textId="77777777" w:rsidR="00623859" w:rsidRDefault="00623859"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B98BDD" w14:textId="77777777" w:rsidR="00623859" w:rsidRDefault="00623859" w:rsidP="006C170D">
      <w:r>
        <w:separator/>
      </w:r>
    </w:p>
  </w:footnote>
  <w:footnote w:type="continuationSeparator" w:id="0">
    <w:p w14:paraId="702C94EF" w14:textId="77777777" w:rsidR="00623859" w:rsidRDefault="00623859"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245F7"/>
    <w:multiLevelType w:val="hybridMultilevel"/>
    <w:tmpl w:val="9D7E5A1A"/>
    <w:lvl w:ilvl="0" w:tplc="FD460902">
      <w:start w:val="3"/>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87774ED"/>
    <w:multiLevelType w:val="multilevel"/>
    <w:tmpl w:val="1E4CAF42"/>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2" w15:restartNumberingAfterBreak="0">
    <w:nsid w:val="29C10DA1"/>
    <w:multiLevelType w:val="multilevel"/>
    <w:tmpl w:val="13FAC7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A3145E7"/>
    <w:multiLevelType w:val="multilevel"/>
    <w:tmpl w:val="DC44A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A18796D"/>
    <w:multiLevelType w:val="multilevel"/>
    <w:tmpl w:val="3A18796D"/>
    <w:lvl w:ilvl="0">
      <w:start w:val="2018"/>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ADD6176"/>
    <w:multiLevelType w:val="multilevel"/>
    <w:tmpl w:val="E47E660A"/>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7D0831"/>
    <w:multiLevelType w:val="multilevel"/>
    <w:tmpl w:val="4D2CF91A"/>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2844F7F"/>
    <w:multiLevelType w:val="multilevel"/>
    <w:tmpl w:val="98C0A078"/>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2" w15:restartNumberingAfterBreak="0">
    <w:nsid w:val="53011676"/>
    <w:multiLevelType w:val="multilevel"/>
    <w:tmpl w:val="5A24A362"/>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3" w15:restartNumberingAfterBreak="0">
    <w:nsid w:val="5C0C7284"/>
    <w:multiLevelType w:val="multilevel"/>
    <w:tmpl w:val="BC6CEB00"/>
    <w:lvl w:ilvl="0">
      <w:start w:val="1"/>
      <w:numFmt w:val="bullet"/>
      <w:lvlText w:val="•"/>
      <w:lvlJc w:val="left"/>
      <w:pPr>
        <w:tabs>
          <w:tab w:val="num" w:pos="720"/>
        </w:tabs>
        <w:ind w:left="720" w:hanging="360"/>
      </w:pPr>
      <w:rPr>
        <w:rFonts w:ascii="Arial" w:hAnsi="Arial" w:hint="default"/>
      </w:rPr>
    </w:lvl>
    <w:lvl w:ilvl="1">
      <w:start w:val="1"/>
      <w:numFmt w:val="decimal"/>
      <w:lvlText w:val="%2."/>
      <w:lvlJc w:val="left"/>
      <w:pPr>
        <w:tabs>
          <w:tab w:val="num" w:pos="1440"/>
        </w:tabs>
        <w:ind w:left="1440" w:hanging="360"/>
      </w:pPr>
      <w:rPr>
        <w:rFonts w:hint="eastAsia"/>
      </w:rPr>
    </w:lvl>
    <w:lvl w:ilvl="2">
      <w:start w:val="1"/>
      <w:numFmt w:val="decimal"/>
      <w:lvlText w:val="%3."/>
      <w:lvlJc w:val="left"/>
      <w:pPr>
        <w:tabs>
          <w:tab w:val="num" w:pos="2160"/>
        </w:tabs>
        <w:ind w:left="2160" w:hanging="360"/>
      </w:pPr>
      <w:rPr>
        <w:rFonts w:hint="eastAsia"/>
      </w:rPr>
    </w:lvl>
    <w:lvl w:ilvl="3">
      <w:start w:val="1"/>
      <w:numFmt w:val="decimal"/>
      <w:lvlText w:val="%4."/>
      <w:lvlJc w:val="left"/>
      <w:pPr>
        <w:tabs>
          <w:tab w:val="num" w:pos="2880"/>
        </w:tabs>
        <w:ind w:left="2880" w:hanging="360"/>
      </w:pPr>
      <w:rPr>
        <w:rFonts w:hint="eastAsia"/>
      </w:rPr>
    </w:lvl>
    <w:lvl w:ilvl="4">
      <w:start w:val="1"/>
      <w:numFmt w:val="decimal"/>
      <w:lvlText w:val="%5."/>
      <w:lvlJc w:val="left"/>
      <w:pPr>
        <w:tabs>
          <w:tab w:val="num" w:pos="3600"/>
        </w:tabs>
        <w:ind w:left="3600" w:hanging="360"/>
      </w:pPr>
      <w:rPr>
        <w:rFonts w:hint="eastAsia"/>
      </w:rPr>
    </w:lvl>
    <w:lvl w:ilvl="5">
      <w:start w:val="1"/>
      <w:numFmt w:val="decimal"/>
      <w:lvlText w:val="%6."/>
      <w:lvlJc w:val="left"/>
      <w:pPr>
        <w:tabs>
          <w:tab w:val="num" w:pos="4320"/>
        </w:tabs>
        <w:ind w:left="4320" w:hanging="360"/>
      </w:pPr>
      <w:rPr>
        <w:rFonts w:hint="eastAsia"/>
      </w:rPr>
    </w:lvl>
    <w:lvl w:ilvl="6">
      <w:start w:val="1"/>
      <w:numFmt w:val="decimal"/>
      <w:lvlText w:val="%7."/>
      <w:lvlJc w:val="left"/>
      <w:pPr>
        <w:tabs>
          <w:tab w:val="num" w:pos="5040"/>
        </w:tabs>
        <w:ind w:left="5040" w:hanging="360"/>
      </w:pPr>
      <w:rPr>
        <w:rFonts w:hint="eastAsia"/>
      </w:rPr>
    </w:lvl>
    <w:lvl w:ilvl="7">
      <w:start w:val="1"/>
      <w:numFmt w:val="decimal"/>
      <w:lvlText w:val="%8."/>
      <w:lvlJc w:val="left"/>
      <w:pPr>
        <w:tabs>
          <w:tab w:val="num" w:pos="5760"/>
        </w:tabs>
        <w:ind w:left="5760" w:hanging="360"/>
      </w:pPr>
      <w:rPr>
        <w:rFonts w:hint="eastAsia"/>
      </w:rPr>
    </w:lvl>
    <w:lvl w:ilvl="8">
      <w:start w:val="1"/>
      <w:numFmt w:val="decimal"/>
      <w:lvlText w:val="%9."/>
      <w:lvlJc w:val="left"/>
      <w:pPr>
        <w:tabs>
          <w:tab w:val="num" w:pos="6480"/>
        </w:tabs>
        <w:ind w:left="6480" w:hanging="360"/>
      </w:pPr>
      <w:rPr>
        <w:rFonts w:hint="eastAsia"/>
      </w:rPr>
    </w:lvl>
  </w:abstractNum>
  <w:abstractNum w:abstractNumId="14"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7"/>
  </w:num>
  <w:num w:numId="3">
    <w:abstractNumId w:val="18"/>
  </w:num>
  <w:num w:numId="4">
    <w:abstractNumId w:val="10"/>
  </w:num>
  <w:num w:numId="5">
    <w:abstractNumId w:val="14"/>
  </w:num>
  <w:num w:numId="6">
    <w:abstractNumId w:val="17"/>
  </w:num>
  <w:num w:numId="7">
    <w:abstractNumId w:val="16"/>
  </w:num>
  <w:num w:numId="8">
    <w:abstractNumId w:val="8"/>
  </w:num>
  <w:num w:numId="9">
    <w:abstractNumId w:val="6"/>
  </w:num>
  <w:num w:numId="10">
    <w:abstractNumId w:val="0"/>
  </w:num>
  <w:num w:numId="11">
    <w:abstractNumId w:val="4"/>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2"/>
  </w:num>
  <w:num w:numId="16">
    <w:abstractNumId w:val="5"/>
  </w:num>
  <w:num w:numId="17">
    <w:abstractNumId w:val="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3FDE"/>
    <w:rsid w:val="00020FDD"/>
    <w:rsid w:val="000226EE"/>
    <w:rsid w:val="00022E69"/>
    <w:rsid w:val="000244E9"/>
    <w:rsid w:val="00026A0C"/>
    <w:rsid w:val="000272A2"/>
    <w:rsid w:val="00031126"/>
    <w:rsid w:val="00031BE6"/>
    <w:rsid w:val="000374FB"/>
    <w:rsid w:val="00037665"/>
    <w:rsid w:val="00056B30"/>
    <w:rsid w:val="000639A9"/>
    <w:rsid w:val="00064492"/>
    <w:rsid w:val="00067F55"/>
    <w:rsid w:val="000716AF"/>
    <w:rsid w:val="000740B8"/>
    <w:rsid w:val="00075039"/>
    <w:rsid w:val="00081BFA"/>
    <w:rsid w:val="00096229"/>
    <w:rsid w:val="000A17BF"/>
    <w:rsid w:val="000B062C"/>
    <w:rsid w:val="000B21CA"/>
    <w:rsid w:val="000B59F8"/>
    <w:rsid w:val="000B7FE5"/>
    <w:rsid w:val="000C10F3"/>
    <w:rsid w:val="000C59E1"/>
    <w:rsid w:val="000D5600"/>
    <w:rsid w:val="000E1986"/>
    <w:rsid w:val="000E71C0"/>
    <w:rsid w:val="000F4059"/>
    <w:rsid w:val="0010013A"/>
    <w:rsid w:val="00124E9A"/>
    <w:rsid w:val="00144530"/>
    <w:rsid w:val="00156FC2"/>
    <w:rsid w:val="0016269A"/>
    <w:rsid w:val="00162A85"/>
    <w:rsid w:val="001641B3"/>
    <w:rsid w:val="00175ABF"/>
    <w:rsid w:val="00191EED"/>
    <w:rsid w:val="001931EF"/>
    <w:rsid w:val="001A696A"/>
    <w:rsid w:val="001B49E4"/>
    <w:rsid w:val="001B562C"/>
    <w:rsid w:val="001C2F89"/>
    <w:rsid w:val="001C3269"/>
    <w:rsid w:val="001C589B"/>
    <w:rsid w:val="001C7D79"/>
    <w:rsid w:val="001E0D2E"/>
    <w:rsid w:val="001E22FB"/>
    <w:rsid w:val="001E2FF0"/>
    <w:rsid w:val="001E6AC5"/>
    <w:rsid w:val="001F08C9"/>
    <w:rsid w:val="001F2FD2"/>
    <w:rsid w:val="001F58DE"/>
    <w:rsid w:val="001F595B"/>
    <w:rsid w:val="002044AE"/>
    <w:rsid w:val="002230D3"/>
    <w:rsid w:val="0023035B"/>
    <w:rsid w:val="00245DF1"/>
    <w:rsid w:val="00250687"/>
    <w:rsid w:val="00251009"/>
    <w:rsid w:val="0025315D"/>
    <w:rsid w:val="00265906"/>
    <w:rsid w:val="00276C66"/>
    <w:rsid w:val="00284941"/>
    <w:rsid w:val="00297892"/>
    <w:rsid w:val="002C09EB"/>
    <w:rsid w:val="002C243D"/>
    <w:rsid w:val="002C40CC"/>
    <w:rsid w:val="002D0FEA"/>
    <w:rsid w:val="002D7F8B"/>
    <w:rsid w:val="002E1038"/>
    <w:rsid w:val="002E210A"/>
    <w:rsid w:val="002F0E43"/>
    <w:rsid w:val="002F4DE9"/>
    <w:rsid w:val="002F6868"/>
    <w:rsid w:val="0031428B"/>
    <w:rsid w:val="00333C86"/>
    <w:rsid w:val="00335FCA"/>
    <w:rsid w:val="00337ED4"/>
    <w:rsid w:val="0034061A"/>
    <w:rsid w:val="00340E10"/>
    <w:rsid w:val="003455CD"/>
    <w:rsid w:val="0035218B"/>
    <w:rsid w:val="00353186"/>
    <w:rsid w:val="003678B8"/>
    <w:rsid w:val="003704DB"/>
    <w:rsid w:val="0037789C"/>
    <w:rsid w:val="00380AD4"/>
    <w:rsid w:val="0038791C"/>
    <w:rsid w:val="003928ED"/>
    <w:rsid w:val="003D197B"/>
    <w:rsid w:val="003D38C1"/>
    <w:rsid w:val="003D3A8B"/>
    <w:rsid w:val="003D4B96"/>
    <w:rsid w:val="003D5584"/>
    <w:rsid w:val="003E6FA5"/>
    <w:rsid w:val="003F3FD9"/>
    <w:rsid w:val="00403AFC"/>
    <w:rsid w:val="00413E98"/>
    <w:rsid w:val="00425AB7"/>
    <w:rsid w:val="00427987"/>
    <w:rsid w:val="00460858"/>
    <w:rsid w:val="0046481D"/>
    <w:rsid w:val="004648DA"/>
    <w:rsid w:val="00467CB6"/>
    <w:rsid w:val="004713B8"/>
    <w:rsid w:val="00471B56"/>
    <w:rsid w:val="00472B91"/>
    <w:rsid w:val="00473B89"/>
    <w:rsid w:val="004A4F80"/>
    <w:rsid w:val="004B12DC"/>
    <w:rsid w:val="004B2EBF"/>
    <w:rsid w:val="004B40D6"/>
    <w:rsid w:val="004B6D31"/>
    <w:rsid w:val="004C4B12"/>
    <w:rsid w:val="004C56E5"/>
    <w:rsid w:val="004D2976"/>
    <w:rsid w:val="004D6748"/>
    <w:rsid w:val="004E338D"/>
    <w:rsid w:val="004E4598"/>
    <w:rsid w:val="004F16CC"/>
    <w:rsid w:val="00502A45"/>
    <w:rsid w:val="0050306C"/>
    <w:rsid w:val="0051554F"/>
    <w:rsid w:val="00515626"/>
    <w:rsid w:val="00516406"/>
    <w:rsid w:val="00524487"/>
    <w:rsid w:val="00527D79"/>
    <w:rsid w:val="0053006D"/>
    <w:rsid w:val="00552A72"/>
    <w:rsid w:val="00552F9D"/>
    <w:rsid w:val="005537ED"/>
    <w:rsid w:val="00566AD2"/>
    <w:rsid w:val="00574163"/>
    <w:rsid w:val="005766C7"/>
    <w:rsid w:val="0058741D"/>
    <w:rsid w:val="00597443"/>
    <w:rsid w:val="00597495"/>
    <w:rsid w:val="005A04DA"/>
    <w:rsid w:val="005A7DC5"/>
    <w:rsid w:val="005B42B0"/>
    <w:rsid w:val="005B4331"/>
    <w:rsid w:val="005B6A03"/>
    <w:rsid w:val="005C14D7"/>
    <w:rsid w:val="005C1B2D"/>
    <w:rsid w:val="005C23C4"/>
    <w:rsid w:val="005C3A74"/>
    <w:rsid w:val="005E52EE"/>
    <w:rsid w:val="005E55F2"/>
    <w:rsid w:val="005F1418"/>
    <w:rsid w:val="005F243F"/>
    <w:rsid w:val="0060793E"/>
    <w:rsid w:val="00623859"/>
    <w:rsid w:val="00624BBC"/>
    <w:rsid w:val="00626CF0"/>
    <w:rsid w:val="00632133"/>
    <w:rsid w:val="00633A50"/>
    <w:rsid w:val="0063529B"/>
    <w:rsid w:val="00657138"/>
    <w:rsid w:val="0065761B"/>
    <w:rsid w:val="0066201A"/>
    <w:rsid w:val="0066418A"/>
    <w:rsid w:val="00665729"/>
    <w:rsid w:val="006806A7"/>
    <w:rsid w:val="00682372"/>
    <w:rsid w:val="0069011F"/>
    <w:rsid w:val="00696B3F"/>
    <w:rsid w:val="006B35D2"/>
    <w:rsid w:val="006C170D"/>
    <w:rsid w:val="006C3751"/>
    <w:rsid w:val="006C40E6"/>
    <w:rsid w:val="006C501A"/>
    <w:rsid w:val="006C61CE"/>
    <w:rsid w:val="006D3C78"/>
    <w:rsid w:val="006F2345"/>
    <w:rsid w:val="00704D67"/>
    <w:rsid w:val="00711A6E"/>
    <w:rsid w:val="0072094A"/>
    <w:rsid w:val="00727A32"/>
    <w:rsid w:val="00736975"/>
    <w:rsid w:val="00743DE0"/>
    <w:rsid w:val="00755625"/>
    <w:rsid w:val="00757381"/>
    <w:rsid w:val="007619D9"/>
    <w:rsid w:val="0077304F"/>
    <w:rsid w:val="00775005"/>
    <w:rsid w:val="00781F52"/>
    <w:rsid w:val="007A133A"/>
    <w:rsid w:val="007A5BFF"/>
    <w:rsid w:val="007B41E7"/>
    <w:rsid w:val="007C0FAC"/>
    <w:rsid w:val="007C4688"/>
    <w:rsid w:val="007C7CBE"/>
    <w:rsid w:val="007D1875"/>
    <w:rsid w:val="007D5A2F"/>
    <w:rsid w:val="007E3A74"/>
    <w:rsid w:val="007F2CE8"/>
    <w:rsid w:val="007F5EAE"/>
    <w:rsid w:val="008017D8"/>
    <w:rsid w:val="0080333A"/>
    <w:rsid w:val="00805A5C"/>
    <w:rsid w:val="0080710F"/>
    <w:rsid w:val="008149BD"/>
    <w:rsid w:val="0081568D"/>
    <w:rsid w:val="00831E3D"/>
    <w:rsid w:val="00832F12"/>
    <w:rsid w:val="00853742"/>
    <w:rsid w:val="00867742"/>
    <w:rsid w:val="00880126"/>
    <w:rsid w:val="0088215A"/>
    <w:rsid w:val="00882E64"/>
    <w:rsid w:val="00884208"/>
    <w:rsid w:val="008A0E61"/>
    <w:rsid w:val="008A5091"/>
    <w:rsid w:val="008A65B9"/>
    <w:rsid w:val="008B2966"/>
    <w:rsid w:val="008B7A3A"/>
    <w:rsid w:val="008D4FBD"/>
    <w:rsid w:val="008E50F4"/>
    <w:rsid w:val="008F2DA0"/>
    <w:rsid w:val="00904EA1"/>
    <w:rsid w:val="009116F1"/>
    <w:rsid w:val="00930D15"/>
    <w:rsid w:val="009326A3"/>
    <w:rsid w:val="00942548"/>
    <w:rsid w:val="00943817"/>
    <w:rsid w:val="00943A47"/>
    <w:rsid w:val="009512B7"/>
    <w:rsid w:val="009549A7"/>
    <w:rsid w:val="0095519B"/>
    <w:rsid w:val="00956879"/>
    <w:rsid w:val="00956DB9"/>
    <w:rsid w:val="00960C16"/>
    <w:rsid w:val="00966966"/>
    <w:rsid w:val="009676EF"/>
    <w:rsid w:val="009746CF"/>
    <w:rsid w:val="00981056"/>
    <w:rsid w:val="0098605C"/>
    <w:rsid w:val="00986839"/>
    <w:rsid w:val="009B09E5"/>
    <w:rsid w:val="009C2147"/>
    <w:rsid w:val="009D1509"/>
    <w:rsid w:val="009E31A4"/>
    <w:rsid w:val="009E5FEE"/>
    <w:rsid w:val="00A04774"/>
    <w:rsid w:val="00A10B34"/>
    <w:rsid w:val="00A143EC"/>
    <w:rsid w:val="00A1628D"/>
    <w:rsid w:val="00A2282F"/>
    <w:rsid w:val="00A36170"/>
    <w:rsid w:val="00A36CAB"/>
    <w:rsid w:val="00A45137"/>
    <w:rsid w:val="00A46680"/>
    <w:rsid w:val="00A5135D"/>
    <w:rsid w:val="00A61425"/>
    <w:rsid w:val="00A625FC"/>
    <w:rsid w:val="00A63619"/>
    <w:rsid w:val="00A70B6C"/>
    <w:rsid w:val="00A84ED9"/>
    <w:rsid w:val="00A95C06"/>
    <w:rsid w:val="00AA37A9"/>
    <w:rsid w:val="00AA59F7"/>
    <w:rsid w:val="00AA795B"/>
    <w:rsid w:val="00AB2105"/>
    <w:rsid w:val="00AB3ECA"/>
    <w:rsid w:val="00AC0590"/>
    <w:rsid w:val="00AC08D9"/>
    <w:rsid w:val="00AC78EA"/>
    <w:rsid w:val="00AD063B"/>
    <w:rsid w:val="00AE3D05"/>
    <w:rsid w:val="00AF0EC9"/>
    <w:rsid w:val="00AF2856"/>
    <w:rsid w:val="00AF6035"/>
    <w:rsid w:val="00B1000E"/>
    <w:rsid w:val="00B12B9A"/>
    <w:rsid w:val="00B144B1"/>
    <w:rsid w:val="00B160FF"/>
    <w:rsid w:val="00B20A3D"/>
    <w:rsid w:val="00B24C81"/>
    <w:rsid w:val="00B304E2"/>
    <w:rsid w:val="00B61D6D"/>
    <w:rsid w:val="00B65C2C"/>
    <w:rsid w:val="00B7587D"/>
    <w:rsid w:val="00B80751"/>
    <w:rsid w:val="00B918F7"/>
    <w:rsid w:val="00B92F2E"/>
    <w:rsid w:val="00B97575"/>
    <w:rsid w:val="00BA04EF"/>
    <w:rsid w:val="00BA5612"/>
    <w:rsid w:val="00BB4AD8"/>
    <w:rsid w:val="00BC23CC"/>
    <w:rsid w:val="00BC36D0"/>
    <w:rsid w:val="00BC6689"/>
    <w:rsid w:val="00BD5415"/>
    <w:rsid w:val="00BD54C4"/>
    <w:rsid w:val="00BF60CD"/>
    <w:rsid w:val="00C01FF2"/>
    <w:rsid w:val="00C04C38"/>
    <w:rsid w:val="00C07605"/>
    <w:rsid w:val="00C113ED"/>
    <w:rsid w:val="00C135ED"/>
    <w:rsid w:val="00C16E57"/>
    <w:rsid w:val="00C210AC"/>
    <w:rsid w:val="00C3052B"/>
    <w:rsid w:val="00C405F5"/>
    <w:rsid w:val="00C46A73"/>
    <w:rsid w:val="00C62AE5"/>
    <w:rsid w:val="00C672F9"/>
    <w:rsid w:val="00C87B9E"/>
    <w:rsid w:val="00C953E7"/>
    <w:rsid w:val="00CA028A"/>
    <w:rsid w:val="00CA29CE"/>
    <w:rsid w:val="00CB3A45"/>
    <w:rsid w:val="00CB5566"/>
    <w:rsid w:val="00CC53B3"/>
    <w:rsid w:val="00CD01CC"/>
    <w:rsid w:val="00CD5680"/>
    <w:rsid w:val="00CD5855"/>
    <w:rsid w:val="00CF3428"/>
    <w:rsid w:val="00CF6307"/>
    <w:rsid w:val="00D0149E"/>
    <w:rsid w:val="00D07329"/>
    <w:rsid w:val="00D12B22"/>
    <w:rsid w:val="00D12F26"/>
    <w:rsid w:val="00D1536C"/>
    <w:rsid w:val="00D1727C"/>
    <w:rsid w:val="00D345FF"/>
    <w:rsid w:val="00D356AE"/>
    <w:rsid w:val="00D4401A"/>
    <w:rsid w:val="00D452C3"/>
    <w:rsid w:val="00D63006"/>
    <w:rsid w:val="00D630B4"/>
    <w:rsid w:val="00D74429"/>
    <w:rsid w:val="00DA01DE"/>
    <w:rsid w:val="00DA0838"/>
    <w:rsid w:val="00DA0FF8"/>
    <w:rsid w:val="00DA6BB5"/>
    <w:rsid w:val="00DB37EC"/>
    <w:rsid w:val="00DB548D"/>
    <w:rsid w:val="00DC3F61"/>
    <w:rsid w:val="00DD46E9"/>
    <w:rsid w:val="00DD49B2"/>
    <w:rsid w:val="00DE2561"/>
    <w:rsid w:val="00DE3030"/>
    <w:rsid w:val="00DF143E"/>
    <w:rsid w:val="00E01761"/>
    <w:rsid w:val="00E073DD"/>
    <w:rsid w:val="00E10EE5"/>
    <w:rsid w:val="00E13B5F"/>
    <w:rsid w:val="00E21802"/>
    <w:rsid w:val="00E21CDC"/>
    <w:rsid w:val="00E25D0F"/>
    <w:rsid w:val="00E4120F"/>
    <w:rsid w:val="00E455E3"/>
    <w:rsid w:val="00E538F6"/>
    <w:rsid w:val="00E54A06"/>
    <w:rsid w:val="00E554F6"/>
    <w:rsid w:val="00E56134"/>
    <w:rsid w:val="00E74E2E"/>
    <w:rsid w:val="00E7721F"/>
    <w:rsid w:val="00E951AB"/>
    <w:rsid w:val="00EA6189"/>
    <w:rsid w:val="00EB123A"/>
    <w:rsid w:val="00EC0528"/>
    <w:rsid w:val="00EC0D5B"/>
    <w:rsid w:val="00EC1A50"/>
    <w:rsid w:val="00EC341A"/>
    <w:rsid w:val="00EC341F"/>
    <w:rsid w:val="00ED4243"/>
    <w:rsid w:val="00ED7224"/>
    <w:rsid w:val="00EE0FFD"/>
    <w:rsid w:val="00EF0B8A"/>
    <w:rsid w:val="00F009E9"/>
    <w:rsid w:val="00F011DD"/>
    <w:rsid w:val="00F03AD1"/>
    <w:rsid w:val="00F05A24"/>
    <w:rsid w:val="00F06574"/>
    <w:rsid w:val="00F06B62"/>
    <w:rsid w:val="00F21189"/>
    <w:rsid w:val="00F30AD0"/>
    <w:rsid w:val="00F31156"/>
    <w:rsid w:val="00F37170"/>
    <w:rsid w:val="00F45DB6"/>
    <w:rsid w:val="00F57B61"/>
    <w:rsid w:val="00F6164C"/>
    <w:rsid w:val="00F713B6"/>
    <w:rsid w:val="00F74E2A"/>
    <w:rsid w:val="00F75311"/>
    <w:rsid w:val="00FA3B2A"/>
    <w:rsid w:val="00FC3F70"/>
    <w:rsid w:val="00FC56C0"/>
    <w:rsid w:val="00FD6704"/>
    <w:rsid w:val="00FD6EBA"/>
    <w:rsid w:val="00FE0306"/>
    <w:rsid w:val="00FF4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paragraph" w:customStyle="1" w:styleId="xmsonormal">
    <w:name w:val="xmsonormal"/>
    <w:basedOn w:val="a"/>
    <w:uiPriority w:val="99"/>
    <w:rsid w:val="007A5BFF"/>
    <w:pPr>
      <w:widowControl/>
      <w:spacing w:before="100" w:beforeAutospacing="1" w:after="100" w:afterAutospacing="1"/>
      <w:jc w:val="left"/>
    </w:pPr>
    <w:rPr>
      <w:rFonts w:ascii="Calibri" w:eastAsia="宋体" w:hAnsi="Calibri" w:cs="Calibr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8795993">
          <w:marLeft w:val="252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0E3D4-81B7-46F6-972A-2280015EB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692</TotalTime>
  <Pages>3</Pages>
  <Words>1470</Words>
  <Characters>8383</Characters>
  <Application>Microsoft Office Word</Application>
  <DocSecurity>0</DocSecurity>
  <Lines>69</Lines>
  <Paragraphs>19</Paragraphs>
  <ScaleCrop>false</ScaleCrop>
  <Company/>
  <LinksUpToDate>false</LinksUpToDate>
  <CharactersWithSpaces>9834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29</cp:revision>
  <dcterms:created xsi:type="dcterms:W3CDTF">2021-10-20T07:39:00Z</dcterms:created>
  <dcterms:modified xsi:type="dcterms:W3CDTF">2021-10-22T09:19:00Z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