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0"/>
          <w:tab w:val="right" w:pos="13323"/>
        </w:tabs>
        <w:spacing w:after="0"/>
        <w:rPr>
          <w:rFonts w:hint="default" w:ascii="Arial" w:hAnsi="Arial" w:eastAsia="宋体" w:cs="Arial"/>
          <w:b/>
          <w:sz w:val="24"/>
          <w:szCs w:val="24"/>
          <w:lang w:val="en-US" w:eastAsia="zh-CN"/>
        </w:rPr>
      </w:pPr>
      <w:bookmarkStart w:id="0" w:name="OLE_LINK6"/>
      <w:bookmarkStart w:id="1" w:name="OLE_LINK5"/>
      <w:r>
        <w:rPr>
          <w:rFonts w:ascii="Arial" w:hAnsi="Arial" w:cs="Arial"/>
          <w:b/>
          <w:sz w:val="24"/>
          <w:szCs w:val="24"/>
        </w:rPr>
        <w:t>3GPP TSG-RAN WG4 Meeting #101-bis-e</w:t>
      </w:r>
      <w:r>
        <w:rPr>
          <w:rFonts w:ascii="Arial" w:hAnsi="Arial" w:cs="Arial"/>
          <w:b/>
          <w:sz w:val="24"/>
          <w:szCs w:val="24"/>
        </w:rPr>
        <w:tab/>
      </w:r>
      <w:r>
        <w:rPr>
          <w:rFonts w:hint="eastAsia" w:ascii="Arial" w:hAnsi="Arial" w:cs="Arial"/>
          <w:b/>
          <w:color w:val="000000"/>
          <w:sz w:val="24"/>
          <w:szCs w:val="24"/>
        </w:rPr>
        <w:t>R4-</w:t>
      </w:r>
      <w:r>
        <w:rPr>
          <w:rFonts w:hint="eastAsia" w:ascii="Arial" w:hAnsi="Arial" w:cs="Arial"/>
          <w:b/>
          <w:color w:val="000000"/>
          <w:sz w:val="24"/>
          <w:szCs w:val="24"/>
          <w:lang w:val="en-US" w:eastAsia="zh-CN"/>
        </w:rPr>
        <w:t>2202569</w:t>
      </w: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b/>
          <w:sz w:val="24"/>
          <w:szCs w:val="24"/>
          <w:lang w:eastAsia="zh-CN"/>
        </w:rPr>
        <w:t xml:space="preserve">Online Meeting, </w:t>
      </w:r>
      <w:r>
        <w:rPr>
          <w:rFonts w:ascii="Arial" w:hAnsi="Arial" w:cs="Arial"/>
          <w:b/>
          <w:bCs/>
          <w:sz w:val="24"/>
          <w:szCs w:val="24"/>
        </w:rPr>
        <w:t>17 January – 25 January 2022</w:t>
      </w:r>
    </w:p>
    <w:bookmarkEnd w:id="0"/>
    <w:bookmarkEnd w:id="1"/>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6.17.3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101-bis</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218</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val="en-US" w:eastAsia="zh-CN"/>
        </w:rPr>
        <w:t>NR_IAB_enh_RRM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val="en-US" w:eastAsia="zh-CN"/>
        </w:rPr>
      </w:pPr>
      <w:r>
        <w:rPr>
          <w:rFonts w:hint="eastAsia"/>
          <w:iCs/>
          <w:lang w:val="en-US" w:eastAsia="zh-CN"/>
        </w:rPr>
        <w:t>TDocs submitted to the following agenda items will be treated:</w:t>
      </w:r>
    </w:p>
    <w:p>
      <w:pPr>
        <w:rPr>
          <w:iCs/>
          <w:lang w:val="en-US" w:eastAsia="zh-CN"/>
        </w:rPr>
      </w:pPr>
      <w:r>
        <w:rPr>
          <w:rFonts w:hint="eastAsia"/>
          <w:iCs/>
          <w:lang w:val="en-US" w:eastAsia="zh-CN"/>
        </w:rPr>
        <w:t>- 6.17.3 RRM core requirements</w:t>
      </w:r>
    </w:p>
    <w:p>
      <w:pPr>
        <w:rPr>
          <w:iCs/>
          <w:lang w:val="en-US" w:eastAsia="zh-CN"/>
        </w:rPr>
      </w:pPr>
    </w:p>
    <w:p>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pPr>
        <w:pStyle w:val="149"/>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hint="eastAsia" w:eastAsiaTheme="minorEastAsia"/>
          <w:iCs/>
          <w:lang w:val="en-US" w:eastAsia="zh-CN"/>
        </w:rPr>
        <w:t>Companies discuss open issues and provide comments on the CR/TP.</w:t>
      </w:r>
    </w:p>
    <w:p>
      <w:pPr>
        <w:pStyle w:val="149"/>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hint="eastAsia" w:eastAsiaTheme="minorEastAsia"/>
          <w:iCs/>
          <w:lang w:val="en-US" w:eastAsia="zh-CN"/>
        </w:rPr>
        <w:t xml:space="preserve">Finalize on the open issues and the CR/TP. </w:t>
      </w:r>
    </w:p>
    <w:p>
      <w:pPr>
        <w:pStyle w:val="2"/>
        <w:rPr>
          <w:lang w:val="en-US" w:eastAsia="ja-JP"/>
        </w:rPr>
      </w:pPr>
      <w:r>
        <w:rPr>
          <w:lang w:val="en-US" w:eastAsia="ja-JP"/>
        </w:rPr>
        <w:t xml:space="preserve">Topic #1: </w:t>
      </w:r>
      <w:r>
        <w:rPr>
          <w:rFonts w:hint="eastAsia"/>
          <w:lang w:val="en-US" w:eastAsia="zh-CN"/>
        </w:rPr>
        <w:t>RRM requirements related to timing and CLI</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fldChar w:fldCharType="begin"/>
            </w:r>
            <w:r>
              <w:instrText xml:space="preserve"> HYPERLINK "https://www.3gpp.org/ftp/TSG_RAN/WG4_Radio/TSGR4_101-bis-e/Docs/R4-2201206.zip" </w:instrText>
            </w:r>
            <w:r>
              <w:fldChar w:fldCharType="separate"/>
            </w:r>
            <w:r>
              <w:rPr>
                <w:rStyle w:val="55"/>
                <w:rFonts w:ascii="Arial" w:hAnsi="Arial" w:eastAsia="Yu Mincho" w:cs="Arial"/>
                <w:b/>
                <w:sz w:val="16"/>
                <w:szCs w:val="16"/>
              </w:rPr>
              <w:t>R4-2201206</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baseline"/>
              <w:rPr>
                <w:rFonts w:ascii="Times" w:hAnsi="Times" w:eastAsia="Calibri"/>
                <w:b/>
                <w:bCs/>
              </w:rPr>
            </w:pPr>
            <w:r>
              <w:rPr>
                <w:rFonts w:ascii="Times" w:hAnsi="Times" w:eastAsia="Calibri"/>
                <w:b/>
                <w:bCs/>
              </w:rPr>
              <w:t>Observation 1: According to RAN1’s spec, MT Tx timing in Case#6 is determined by its DU Tx timing regardless of which type of implementations.</w:t>
            </w:r>
          </w:p>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Observation 2: The legacy transmit timing requirement is to guarantee the performance of DL timing estimation accuracy.</w:t>
            </w:r>
          </w:p>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Proposal 1:</w:t>
            </w:r>
            <w:r>
              <w:rPr>
                <w:rFonts w:ascii="Times" w:hAnsi="Times" w:eastAsia="Calibri"/>
                <w:b/>
                <w:bCs/>
                <w:lang w:val="en-US"/>
              </w:rPr>
              <w:t xml:space="preserve"> Clarify that current transmit timing requirements apply to case#1 timing mode, and no other RRM impact of case#6 timing.</w:t>
            </w:r>
          </w:p>
          <w:p>
            <w:pPr>
              <w:overflowPunct w:val="0"/>
              <w:autoSpaceDE w:val="0"/>
              <w:autoSpaceDN w:val="0"/>
              <w:adjustRightInd w:val="0"/>
              <w:textAlignment w:val="baseline"/>
              <w:rPr>
                <w:rFonts w:eastAsia="Yu Mincho"/>
                <w:b/>
              </w:rPr>
            </w:pPr>
            <w:r>
              <w:rPr>
                <w:rFonts w:eastAsia="Yu Mincho"/>
                <w:b/>
              </w:rPr>
              <w:t>Observation 3: There is no enhancement on CLI measurement and reporting for Rel-17 eIAB compared with Rel-16 IAB based on RAN1/2 agreements.</w:t>
            </w:r>
          </w:p>
          <w:p>
            <w:pPr>
              <w:overflowPunct w:val="0"/>
              <w:autoSpaceDE w:val="0"/>
              <w:autoSpaceDN w:val="0"/>
              <w:adjustRightInd w:val="0"/>
              <w:textAlignment w:val="top"/>
              <w:rPr>
                <w:rFonts w:eastAsia="Yu Mincho"/>
              </w:rPr>
            </w:pPr>
            <w:r>
              <w:rPr>
                <w:rFonts w:eastAsia="Yu Mincho"/>
                <w:b/>
              </w:rPr>
              <w:t>Proposal 2: For CLI measurements by IAB-MT, no RRM requirements need to be specified as there is no enhancement on CLI measurement for Rel-17 eIAB compared with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"https://www.3gpp.org/ftp/TSG_RAN/WG4_Radio/TSGR4_101-bis-e/Docs/R4-2201207.zip" </w:instrText>
            </w:r>
            <w:r>
              <w:fldChar w:fldCharType="separate"/>
            </w:r>
            <w:r>
              <w:rPr>
                <w:rStyle w:val="55"/>
                <w:rFonts w:ascii="Arial" w:hAnsi="Arial" w:eastAsia="Yu Mincho" w:cs="Arial"/>
                <w:b/>
                <w:sz w:val="16"/>
                <w:szCs w:val="16"/>
              </w:rPr>
              <w:t>R4-2201207</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eastAsia="Yu Mincho"/>
                <w:lang w:eastAsia="zh-CN"/>
              </w:rPr>
              <w:t>Draft CR on timing requirements for Rel-17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"https://www.3gpp.org/ftp/TSG_RAN/WG4_Radio/TSGR4_101-bis-e/Docs/R4-2201405.zip" </w:instrText>
            </w:r>
            <w:r>
              <w:fldChar w:fldCharType="separate"/>
            </w:r>
            <w:r>
              <w:rPr>
                <w:rStyle w:val="55"/>
                <w:rFonts w:ascii="Arial" w:hAnsi="Arial" w:eastAsia="Yu Mincho" w:cs="Arial"/>
                <w:b/>
                <w:sz w:val="16"/>
                <w:szCs w:val="16"/>
              </w:rPr>
              <w:t>R4-2201405</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lang w:val="en-US" w:eastAsia="zh-CN"/>
              </w:rPr>
            </w:pPr>
            <w:r>
              <w:rPr>
                <w:rFonts w:hint="eastAsia" w:eastAsia="Yu Mincho"/>
                <w:b/>
                <w:sz w:val="22"/>
                <w:szCs w:val="22"/>
                <w:lang w:val="en-US" w:eastAsia="zh-CN"/>
              </w:rPr>
              <w:t xml:space="preserve">Proposal 1: </w:t>
            </w:r>
            <w:r>
              <w:rPr>
                <w:rFonts w:eastAsia="Yu Mincho"/>
                <w:sz w:val="22"/>
                <w:szCs w:val="22"/>
                <w:lang w:val="en-US" w:eastAsia="zh-CN"/>
              </w:rPr>
              <w:t>For CLI measurements by IAB-MT, no RRM requirements need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"https://www.3gpp.org/ftp/TSG_RAN/WG4_Radio/TSGR4_101-bis-e/Docs/R4-2201849.zip" </w:instrText>
            </w:r>
            <w:r>
              <w:fldChar w:fldCharType="separate"/>
            </w:r>
            <w:r>
              <w:rPr>
                <w:rStyle w:val="55"/>
                <w:rFonts w:ascii="Arial" w:hAnsi="Arial" w:eastAsia="Yu Mincho" w:cs="Arial"/>
                <w:b/>
                <w:sz w:val="16"/>
                <w:szCs w:val="16"/>
              </w:rPr>
              <w:t>R4-2201849</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baseline"/>
              <w:rPr>
                <w:rFonts w:eastAsia="Yu Mincho"/>
                <w:b/>
                <w:bCs/>
                <w:u w:val="single"/>
              </w:rPr>
            </w:pPr>
            <w:r>
              <w:rPr>
                <w:rFonts w:eastAsia="Yu Mincho"/>
                <w:b/>
                <w:bCs/>
                <w:u w:val="single"/>
              </w:rPr>
              <w:t>On Case#6 timing RRM requirements:</w:t>
            </w:r>
          </w:p>
          <w:p>
            <w:pPr>
              <w:pStyle w:val="155"/>
              <w:numPr>
                <w:ilvl w:val="0"/>
                <w:numId w:val="5"/>
              </w:numPr>
              <w:ind w:firstLine="400"/>
            </w:pPr>
            <w:r>
              <w:t>It is agreed in RAN4 that RF requirements for Timing error between own MT TX and DU TX should be defined for Case#6 timing. The discussion is still ongoing.</w:t>
            </w:r>
          </w:p>
          <w:p>
            <w:pPr>
              <w:pStyle w:val="156"/>
              <w:ind w:firstLine="400"/>
            </w:pPr>
          </w:p>
          <w:p>
            <w:pPr>
              <w:pStyle w:val="156"/>
              <w:numPr>
                <w:ilvl w:val="1"/>
                <w:numId w:val="3"/>
              </w:numPr>
              <w:ind w:firstLine="400"/>
            </w:pPr>
            <w:r>
              <w:t>At the last RAN1#107-e meeting, all of the RAN1 WID objectives were fulfilled.</w:t>
            </w:r>
          </w:p>
          <w:p>
            <w:pPr>
              <w:pStyle w:val="156"/>
              <w:numPr>
                <w:ilvl w:val="1"/>
                <w:numId w:val="3"/>
              </w:numPr>
              <w:ind w:firstLine="400"/>
            </w:pPr>
            <w:r>
              <w:t>Case#6 timing is supported in Rel-17 and can rely on an OTA timing synchronization mechanism.</w:t>
            </w:r>
          </w:p>
          <w:p>
            <w:pPr>
              <w:pStyle w:val="156"/>
              <w:numPr>
                <w:ilvl w:val="1"/>
                <w:numId w:val="3"/>
              </w:numPr>
              <w:ind w:firstLine="400"/>
            </w:pPr>
            <w:r>
              <w:t>The only RAN1 specification impact is that T_delta range is updated to support Case 6 timing.</w:t>
            </w:r>
          </w:p>
          <w:p>
            <w:pPr>
              <w:pStyle w:val="156"/>
              <w:numPr>
                <w:ilvl w:val="1"/>
                <w:numId w:val="3"/>
              </w:numPr>
              <w:ind w:firstLine="400"/>
            </w:pPr>
            <w:r>
              <w:t>IAB-MT is provided with a Timing Case Indication via MAC-CE i.e., one of {Case 1, Case 6, Case 7} for each slot.</w:t>
            </w:r>
          </w:p>
          <w:p>
            <w:pPr>
              <w:pStyle w:val="156"/>
              <w:ind w:firstLine="400"/>
            </w:pPr>
            <w:r>
              <w:t>The cell phase synchronisation accuracy for IAB-DUs is already specified in TS 38.174, Clause 12.2.42.</w:t>
            </w:r>
          </w:p>
          <w:p>
            <w:pPr>
              <w:pStyle w:val="153"/>
              <w:numPr>
                <w:ilvl w:val="0"/>
                <w:numId w:val="6"/>
              </w:numPr>
              <w:overflowPunct w:val="0"/>
              <w:autoSpaceDE w:val="0"/>
              <w:autoSpaceDN w:val="0"/>
              <w:adjustRightInd w:val="0"/>
              <w:textAlignment w:val="baseline"/>
              <w:rPr>
                <w:rFonts w:eastAsia="Yu Mincho"/>
              </w:rPr>
            </w:pPr>
            <w:r>
              <w:rPr>
                <w:rFonts w:eastAsia="Yu Mincho"/>
              </w:rPr>
              <w:t>RAN4 not to introduce any new RRM requirements for Case#6 timing scheme.</w:t>
            </w:r>
          </w:p>
          <w:p>
            <w:pPr>
              <w:pStyle w:val="156"/>
              <w:ind w:firstLine="400"/>
            </w:pPr>
            <w:r>
              <w:rPr>
                <w:lang w:val="en-US"/>
              </w:rPr>
              <w:t xml:space="preserve">In Case#6 scheme, the IAB-MT UL Tx </w:t>
            </w:r>
            <w:r>
              <w:t>is set by the node to the timing obtained for the node’s DL Tx</w:t>
            </w:r>
            <w:r>
              <w:rPr>
                <w:lang w:val="en-US"/>
              </w:rPr>
              <w:t xml:space="preserve">, i.e., it is not </w:t>
            </w:r>
            <w:r>
              <w:t>based directly on the first detected path (in time) of the corresponding downlink frame from the reference cell.</w:t>
            </w:r>
          </w:p>
          <w:p>
            <w:pPr>
              <w:pStyle w:val="156"/>
              <w:ind w:firstLine="400"/>
            </w:pPr>
            <w:r>
              <w:t>Current IAB-MT transmit timing requirements in TS 38.174, Clause 12.2.1 cover only legacy TA-based mechanism, i.e., when IAB-MT timing is controlled by timing adjustment command from the parent node.</w:t>
            </w:r>
          </w:p>
          <w:p>
            <w:pPr>
              <w:pStyle w:val="153"/>
              <w:overflowPunct w:val="0"/>
              <w:autoSpaceDE w:val="0"/>
              <w:autoSpaceDN w:val="0"/>
              <w:adjustRightInd w:val="0"/>
              <w:textAlignment w:val="baseline"/>
              <w:rPr>
                <w:rFonts w:eastAsia="Yu Mincho"/>
              </w:rPr>
            </w:pPr>
            <w:r>
              <w:rPr>
                <w:rFonts w:eastAsia="Yu Mincho"/>
              </w:rPr>
              <w:t>RAN4 to reflect in TS 38.174, that exiting IAB-MT transmit timing requirements are applicable to Case#1 timing only.</w:t>
            </w:r>
          </w:p>
          <w:p>
            <w:pPr>
              <w:overflowPunct w:val="0"/>
              <w:autoSpaceDE w:val="0"/>
              <w:autoSpaceDN w:val="0"/>
              <w:adjustRightInd w:val="0"/>
              <w:textAlignment w:val="baseline"/>
              <w:rPr>
                <w:rFonts w:eastAsia="Yu Mincho"/>
                <w:b/>
                <w:bCs/>
                <w:u w:val="single"/>
              </w:rPr>
            </w:pPr>
          </w:p>
          <w:p>
            <w:pPr>
              <w:overflowPunct w:val="0"/>
              <w:autoSpaceDE w:val="0"/>
              <w:autoSpaceDN w:val="0"/>
              <w:adjustRightInd w:val="0"/>
              <w:textAlignment w:val="baseline"/>
              <w:rPr>
                <w:rFonts w:eastAsia="Yu Mincho"/>
                <w:b/>
                <w:bCs/>
                <w:u w:val="single"/>
              </w:rPr>
            </w:pPr>
            <w:r>
              <w:rPr>
                <w:rFonts w:eastAsia="Yu Mincho"/>
                <w:b/>
                <w:bCs/>
                <w:u w:val="single"/>
              </w:rPr>
              <w:t>On CLI RRM requirements:</w:t>
            </w:r>
          </w:p>
          <w:p>
            <w:pPr>
              <w:pStyle w:val="156"/>
              <w:ind w:firstLine="400"/>
            </w:pPr>
            <w:r>
              <w:t>Rel-16 interference management frameworks (e.g. CLI, RIM) is used to handle IAB interference scenarios in Rel-17. The only agreed enhancement in RAN1 is that coordination signalling (Intended TDD DL-UL Configuration) is extended to support IAB specific UFD patterns. DFU patterns were already present in the Rel-16 IAB specifications without any impact on RAN4 RRM requirements.</w:t>
            </w:r>
          </w:p>
          <w:p>
            <w:pPr>
              <w:overflowPunct w:val="0"/>
              <w:autoSpaceDE w:val="0"/>
              <w:autoSpaceDN w:val="0"/>
              <w:adjustRightInd w:val="0"/>
              <w:textAlignment w:val="top"/>
              <w:rPr>
                <w:rFonts w:eastAsia="Yu Mincho"/>
              </w:rPr>
            </w:pPr>
            <w:r>
              <w:rPr>
                <w:rFonts w:hint="eastAsia" w:eastAsia="Yu Mincho"/>
                <w:b/>
                <w:bCs/>
                <w:lang w:val="en-US" w:eastAsia="zh-CN"/>
              </w:rPr>
              <w:t xml:space="preserve">Proposal 3: </w:t>
            </w:r>
            <w:r>
              <w:rPr>
                <w:rFonts w:eastAsia="Yu Mincho"/>
                <w:b/>
                <w:bCs/>
              </w:rPr>
              <w:t>For CLI measurements by IAB-MT, no new RRM requirements need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"https://www.3gpp.org/ftp/TSG_RAN/WG4_Radio/TSGR4_101-bis-e/Docs/R4-2201850.zip" </w:instrText>
            </w:r>
            <w:r>
              <w:fldChar w:fldCharType="separate"/>
            </w:r>
            <w:r>
              <w:rPr>
                <w:rStyle w:val="55"/>
                <w:rFonts w:ascii="Arial" w:hAnsi="Arial" w:eastAsia="Yu Mincho" w:cs="Arial"/>
                <w:b/>
                <w:sz w:val="16"/>
                <w:szCs w:val="16"/>
              </w:rPr>
              <w:t>R4-2201850</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hint="eastAsia" w:eastAsia="Yu Mincho"/>
              </w:rPr>
              <w:t>TP to TS 38.174 on RRM Timing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2" w:hRule="atLeast"/>
        </w:trPr>
        <w:tc>
          <w:tcPr>
            <w:tcW w:w="1648" w:type="dxa"/>
          </w:tcPr>
          <w:p>
            <w:pPr>
              <w:overflowPunct w:val="0"/>
              <w:autoSpaceDE w:val="0"/>
              <w:autoSpaceDN w:val="0"/>
              <w:adjustRightInd w:val="0"/>
              <w:textAlignment w:val="top"/>
              <w:rPr>
                <w:rFonts w:eastAsia="Yu Mincho"/>
                <w:lang w:val="en-US" w:eastAsia="zh-CN"/>
              </w:rPr>
            </w:pPr>
            <w:r>
              <w:fldChar w:fldCharType="begin"/>
            </w:r>
            <w:r>
              <w:instrText xml:space="preserve"> HYPERLINK "https://www.3gpp.org/ftp/TSG_RAN/WG4_Radio/TSGR4_101-bis-e/Docs/R4-2202019.zip" </w:instrText>
            </w:r>
            <w:r>
              <w:fldChar w:fldCharType="separate"/>
            </w:r>
            <w:r>
              <w:rPr>
                <w:rStyle w:val="55"/>
                <w:rFonts w:ascii="Arial" w:hAnsi="Arial" w:eastAsia="Yu Mincho" w:cs="Arial"/>
                <w:b/>
                <w:sz w:val="16"/>
                <w:szCs w:val="16"/>
              </w:rPr>
              <w:t>R4-2202019</w:t>
            </w:r>
            <w:r>
              <w:rPr>
                <w:rStyle w:val="55"/>
                <w:rFonts w:ascii="Arial" w:hAnsi="Arial" w:eastAsia="Yu Mincho" w:cs="Arial"/>
                <w:b/>
                <w:sz w:val="16"/>
                <w:szCs w:val="16"/>
              </w:rPr>
              <w:fldChar w:fldCharType="end"/>
            </w:r>
          </w:p>
        </w:tc>
        <w:tc>
          <w:tcPr>
            <w:tcW w:w="1437"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spacing w:before="240"/>
              <w:textAlignment w:val="baseline"/>
              <w:rPr>
                <w:rFonts w:eastAsia="Yu Mincho"/>
                <w:b/>
                <w:bCs/>
                <w:u w:val="single"/>
              </w:rPr>
            </w:pPr>
            <w:r>
              <w:rPr>
                <w:rFonts w:eastAsia="Yu Mincho"/>
                <w:b/>
                <w:bCs/>
                <w:u w:val="single"/>
              </w:rPr>
              <w:t>Case 1 and 7 timings:</w:t>
            </w:r>
          </w:p>
          <w:p>
            <w:pPr>
              <w:pStyle w:val="149"/>
              <w:numPr>
                <w:ilvl w:val="0"/>
                <w:numId w:val="7"/>
              </w:numPr>
              <w:spacing w:before="120"/>
              <w:ind w:left="357" w:firstLine="402"/>
            </w:pPr>
            <w:r>
              <w:rPr>
                <w:b/>
                <w:bCs/>
              </w:rPr>
              <w:t>Observation 1</w:t>
            </w:r>
            <w:r>
              <w:t>: RAN1 has specified procedures for Case #1, Case # 6 and Case #7 timings for IAB-MT transmission timing in TS 38.213 v17.0.0.</w:t>
            </w:r>
          </w:p>
          <w:p>
            <w:pPr>
              <w:pStyle w:val="149"/>
              <w:numPr>
                <w:ilvl w:val="0"/>
                <w:numId w:val="7"/>
              </w:numPr>
              <w:spacing w:before="120"/>
              <w:ind w:left="357" w:firstLine="402"/>
            </w:pPr>
            <w:r>
              <w:rPr>
                <w:b/>
                <w:bCs/>
              </w:rPr>
              <w:t>Observation 2</w:t>
            </w:r>
            <w:r>
              <w:t>: Case #1 timing for IAB-MT transmission timing is based on the existing UE timing advance mechanism as specified in clause 4.2, TS 38.213.</w:t>
            </w:r>
          </w:p>
          <w:p>
            <w:pPr>
              <w:pStyle w:val="149"/>
              <w:numPr>
                <w:ilvl w:val="0"/>
                <w:numId w:val="7"/>
              </w:numPr>
              <w:spacing w:before="120"/>
              <w:ind w:left="357" w:firstLine="402"/>
            </w:pPr>
            <w:r>
              <w:rPr>
                <w:b/>
                <w:bCs/>
              </w:rPr>
              <w:t>Observation 3</w:t>
            </w:r>
            <w:r>
              <w:t>: Case #7 timing for IAB-MT transmission timing is also fundamentally based on the existing UE timing advance mechanism as specified in clause 4.2, TS 38.213, except an additional configurable offset (</w:t>
            </w:r>
            <m:oMath>
              <m:sSub>
                <m:sSubPr>
                  <m:ctrlPr>
                    <w:rPr>
                      <w:rFonts w:ascii="Cambria Math" w:hAnsi="Cambria Math" w:eastAsia="宋体"/>
                      <w:szCs w:val="22"/>
                    </w:rPr>
                  </m:ctrlPr>
                </m:sSubPr>
                <m:e>
                  <m:r>
                    <m:rPr>
                      <m:sty m:val="p"/>
                    </m:rPr>
                    <w:rPr>
                      <w:rFonts w:ascii="Cambria Math" w:hAnsi="Cambria Math" w:eastAsia="宋体"/>
                      <w:szCs w:val="22"/>
                    </w:rPr>
                    <m:t>N</m:t>
                  </m:r>
                  <m:ctrlPr>
                    <w:rPr>
                      <w:rFonts w:ascii="Cambria Math" w:hAnsi="Cambria Math" w:eastAsia="宋体"/>
                      <w:szCs w:val="22"/>
                    </w:rPr>
                  </m:ctrlPr>
                </m:e>
                <m:sub>
                  <m:r>
                    <m:rPr>
                      <m:sty m:val="p"/>
                    </m:rPr>
                    <w:rPr>
                      <w:rFonts w:ascii="Cambria Math" w:hAnsi="Cambria Math" w:eastAsia="宋体"/>
                      <w:szCs w:val="22"/>
                    </w:rPr>
                    <m:t>TA,offset,2</m:t>
                  </m:r>
                  <m:ctrlPr>
                    <w:rPr>
                      <w:rFonts w:ascii="Cambria Math" w:hAnsi="Cambria Math" w:eastAsia="宋体"/>
                      <w:szCs w:val="22"/>
                    </w:rPr>
                  </m:ctrlPr>
                </m:sub>
              </m:sSub>
            </m:oMath>
            <w:r>
              <w:t>).</w:t>
            </w:r>
          </w:p>
          <w:p>
            <w:pPr>
              <w:pStyle w:val="149"/>
              <w:numPr>
                <w:ilvl w:val="0"/>
                <w:numId w:val="7"/>
              </w:numPr>
              <w:spacing w:before="120"/>
              <w:ind w:left="357" w:firstLine="402"/>
            </w:pPr>
            <w:r>
              <w:rPr>
                <w:b/>
                <w:bCs/>
              </w:rPr>
              <w:t>Observation 4</w:t>
            </w:r>
            <w:r>
              <w:t>: Timing advance step size accuracy requirements aready exist in clause 12.2.3, TS 38.174.</w:t>
            </w:r>
          </w:p>
          <w:p>
            <w:pPr>
              <w:pStyle w:val="149"/>
              <w:numPr>
                <w:ilvl w:val="0"/>
                <w:numId w:val="7"/>
              </w:numPr>
              <w:spacing w:before="120"/>
              <w:ind w:left="357" w:firstLine="402"/>
            </w:pPr>
            <w:r>
              <w:rPr>
                <w:b/>
                <w:bCs/>
              </w:rPr>
              <w:t>Proposal #1</w:t>
            </w:r>
            <w:r>
              <w:t xml:space="preserve">: The existing timing advance step size accuracy requirements in clause 12.2.3, TS 38.174, are applicable for Case #1 and Case # 7 timings. </w:t>
            </w:r>
          </w:p>
          <w:p>
            <w:pPr>
              <w:pStyle w:val="149"/>
              <w:numPr>
                <w:ilvl w:val="0"/>
                <w:numId w:val="7"/>
              </w:numPr>
              <w:spacing w:before="120"/>
              <w:ind w:left="357" w:firstLine="402"/>
            </w:pPr>
            <w:r>
              <w:rPr>
                <w:b/>
                <w:bCs/>
              </w:rPr>
              <w:t>Proposal #2</w:t>
            </w:r>
            <w:r>
              <w:t xml:space="preserve">: No new RRM requirements are needed for Case #1 and Case # 7 timing procedures. </w:t>
            </w:r>
          </w:p>
          <w:p>
            <w:pPr>
              <w:overflowPunct w:val="0"/>
              <w:autoSpaceDE w:val="0"/>
              <w:autoSpaceDN w:val="0"/>
              <w:adjustRightInd w:val="0"/>
              <w:spacing w:before="240"/>
              <w:textAlignment w:val="baseline"/>
              <w:rPr>
                <w:rFonts w:eastAsia="Yu Mincho"/>
                <w:b/>
                <w:bCs/>
                <w:u w:val="single"/>
              </w:rPr>
            </w:pPr>
            <w:r>
              <w:rPr>
                <w:rFonts w:eastAsia="Yu Mincho"/>
                <w:b/>
                <w:bCs/>
                <w:u w:val="single"/>
              </w:rPr>
              <w:t>Case 6 timing:</w:t>
            </w:r>
          </w:p>
          <w:p>
            <w:pPr>
              <w:pStyle w:val="149"/>
              <w:numPr>
                <w:ilvl w:val="0"/>
                <w:numId w:val="7"/>
              </w:numPr>
              <w:spacing w:before="120"/>
              <w:ind w:left="357" w:firstLine="402"/>
            </w:pPr>
            <w:r>
              <w:rPr>
                <w:b/>
                <w:bCs/>
              </w:rPr>
              <w:t>Observation 5</w:t>
            </w:r>
            <w:r>
              <w:t>: According to Case # 6 timing procedure, the transmission timing of the IAB-MT is set to the transmission timing of the IAB-DU in the same IAB-node</w:t>
            </w:r>
          </w:p>
          <w:p>
            <w:pPr>
              <w:pStyle w:val="149"/>
              <w:numPr>
                <w:ilvl w:val="0"/>
                <w:numId w:val="7"/>
              </w:numPr>
              <w:spacing w:before="120"/>
              <w:ind w:left="357" w:firstLine="402"/>
            </w:pPr>
            <w:r>
              <w:rPr>
                <w:b/>
                <w:bCs/>
              </w:rPr>
              <w:t>Observation 6</w:t>
            </w:r>
            <w:r>
              <w:t>: Any relative timing error between the transmission timings of IAB-MT and IAB-DU in the same IAB node depends on IAB internal architecture and depends on RF impairements inside the IAB. These issues are outside the scope of RRM.</w:t>
            </w:r>
          </w:p>
          <w:p>
            <w:pPr>
              <w:pStyle w:val="149"/>
              <w:numPr>
                <w:ilvl w:val="0"/>
                <w:numId w:val="7"/>
              </w:numPr>
              <w:spacing w:before="120"/>
              <w:ind w:left="357" w:firstLine="402"/>
            </w:pPr>
            <w:r>
              <w:rPr>
                <w:b/>
                <w:bCs/>
              </w:rPr>
              <w:t>Proposal #3</w:t>
            </w:r>
            <w:r>
              <w:t xml:space="preserve">: No RRM requirements are needed for Case # 6 timing procedure. </w:t>
            </w:r>
          </w:p>
          <w:p>
            <w:pPr>
              <w:overflowPunct w:val="0"/>
              <w:autoSpaceDE w:val="0"/>
              <w:autoSpaceDN w:val="0"/>
              <w:adjustRightInd w:val="0"/>
              <w:spacing w:before="240"/>
              <w:textAlignment w:val="baseline"/>
              <w:rPr>
                <w:rFonts w:eastAsia="Yu Mincho"/>
                <w:b/>
                <w:bCs/>
                <w:u w:val="single"/>
              </w:rPr>
            </w:pPr>
            <w:r>
              <w:rPr>
                <w:rFonts w:eastAsia="Yu Mincho"/>
                <w:b/>
                <w:bCs/>
                <w:u w:val="single"/>
              </w:rPr>
              <w:t>CLI for IAB:</w:t>
            </w:r>
          </w:p>
          <w:p>
            <w:pPr>
              <w:pStyle w:val="149"/>
              <w:numPr>
                <w:ilvl w:val="0"/>
                <w:numId w:val="7"/>
              </w:numPr>
              <w:spacing w:before="120"/>
              <w:ind w:left="357" w:firstLine="402"/>
            </w:pPr>
            <w:r>
              <w:rPr>
                <w:b/>
                <w:bCs/>
              </w:rPr>
              <w:t>Observation 7</w:t>
            </w:r>
            <w:r>
              <w:t>: According to RAN1 approved IAB CR, there is no new IAB specific CLI procedure for IAB is based on existing Rel-16 CLI solutions for UE.</w:t>
            </w:r>
          </w:p>
          <w:p>
            <w:pPr>
              <w:pStyle w:val="149"/>
              <w:numPr>
                <w:ilvl w:val="0"/>
                <w:numId w:val="7"/>
              </w:numPr>
              <w:spacing w:before="120"/>
              <w:ind w:left="357" w:firstLine="402"/>
            </w:pPr>
            <w:r>
              <w:rPr>
                <w:b/>
                <w:bCs/>
              </w:rPr>
              <w:t>Observation 8</w:t>
            </w:r>
            <w:r>
              <w:t>: It is expected that RAN2/RAN3 signaling for CLI for IAB will be based on the existing Rel-16 CLI solutions for UE.</w:t>
            </w:r>
          </w:p>
          <w:p>
            <w:pPr>
              <w:pStyle w:val="149"/>
              <w:numPr>
                <w:ilvl w:val="0"/>
                <w:numId w:val="7"/>
              </w:numPr>
              <w:spacing w:before="120"/>
              <w:ind w:left="357" w:firstLine="402"/>
            </w:pPr>
            <w:r>
              <w:rPr>
                <w:b/>
                <w:bCs/>
              </w:rPr>
              <w:t>Observation 9</w:t>
            </w:r>
            <w:r>
              <w:t>: Unlike, the UE, which moves around, the IAB is fixed node. Therefore, the need for CLI requirements (if CLI is needed) will depend on the actual deployment scenario.</w:t>
            </w:r>
          </w:p>
          <w:p>
            <w:pPr>
              <w:pStyle w:val="149"/>
              <w:numPr>
                <w:ilvl w:val="0"/>
                <w:numId w:val="7"/>
              </w:numPr>
              <w:spacing w:before="120"/>
              <w:ind w:left="357" w:firstLine="402"/>
              <w:rPr>
                <w:rFonts w:eastAsia="Yu Mincho"/>
              </w:rPr>
            </w:pPr>
            <w:r>
              <w:rPr>
                <w:b/>
                <w:bCs/>
              </w:rPr>
              <w:t>Observation 10</w:t>
            </w:r>
            <w:r>
              <w:t>: RAN4 concluded in Rel-16 not to define RRM measurement requirements for IAB-MT to prevent any implementation limitation.</w:t>
            </w:r>
          </w:p>
          <w:p>
            <w:pPr>
              <w:pStyle w:val="149"/>
              <w:numPr>
                <w:ilvl w:val="0"/>
                <w:numId w:val="7"/>
              </w:numPr>
              <w:spacing w:before="120"/>
              <w:ind w:left="357" w:firstLine="402"/>
              <w:rPr>
                <w:rFonts w:eastAsia="Yu Mincho"/>
              </w:rPr>
            </w:pPr>
            <w:r>
              <w:rPr>
                <w:b/>
                <w:bCs/>
              </w:rPr>
              <w:t>Proposal #4</w:t>
            </w:r>
            <w:r>
              <w:t xml:space="preserve">: For CLI measurements by IAB-MT, no RRM requirements need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top"/>
              <w:rPr>
                <w:rStyle w:val="55"/>
                <w:rFonts w:eastAsia="Yu Mincho"/>
                <w:b/>
                <w:bCs/>
              </w:rPr>
            </w:pPr>
            <w:r>
              <w:fldChar w:fldCharType="begin"/>
            </w:r>
            <w:r>
              <w:instrText xml:space="preserve"> HYPERLINK "https://www.3gpp.org/ftp/TSG_RAN/WG4_Radio/TSGR4_101-bis-e/Docs/R4-2203353.zip" </w:instrText>
            </w:r>
            <w:r>
              <w:fldChar w:fldCharType="separate"/>
            </w:r>
            <w:r>
              <w:rPr>
                <w:rStyle w:val="55"/>
                <w:rFonts w:eastAsia="Yu Mincho"/>
                <w:b/>
                <w:bCs/>
              </w:rPr>
              <w:t>R4-2203353</w:t>
            </w:r>
            <w:r>
              <w:rPr>
                <w:rStyle w:val="55"/>
                <w:rFonts w:eastAsia="Yu Mincho"/>
                <w:b/>
                <w:bCs/>
              </w:rPr>
              <w:fldChar w:fldCharType="end"/>
            </w:r>
          </w:p>
          <w:p>
            <w:pPr>
              <w:overflowPunct w:val="0"/>
              <w:autoSpaceDE w:val="0"/>
              <w:autoSpaceDN w:val="0"/>
              <w:adjustRightInd w:val="0"/>
              <w:textAlignment w:val="top"/>
              <w:rPr>
                <w:rStyle w:val="55"/>
                <w:rFonts w:eastAsia="Yu Mincho"/>
                <w:b/>
                <w:bCs/>
              </w:rPr>
            </w:pPr>
          </w:p>
          <w:p>
            <w:pPr>
              <w:overflowPunct w:val="0"/>
              <w:autoSpaceDE w:val="0"/>
              <w:autoSpaceDN w:val="0"/>
              <w:adjustRightInd w:val="0"/>
              <w:textAlignment w:val="top"/>
              <w:rPr>
                <w:rStyle w:val="55"/>
                <w:rFonts w:eastAsia="Yu Mincho"/>
                <w:b/>
                <w:bCs/>
                <w:lang w:val="en-US" w:eastAsia="zh-CN"/>
              </w:rPr>
            </w:pPr>
            <w:r>
              <w:rPr>
                <w:rStyle w:val="55"/>
                <w:rFonts w:hint="eastAsia" w:eastAsia="Yu Mincho"/>
                <w:b/>
                <w:bCs/>
                <w:lang w:val="en-US" w:eastAsia="zh-CN"/>
              </w:rPr>
              <w:t>(late contribution)</w:t>
            </w:r>
          </w:p>
        </w:tc>
        <w:tc>
          <w:tcPr>
            <w:tcW w:w="1437"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Qualcomm</w:t>
            </w:r>
          </w:p>
        </w:tc>
        <w:tc>
          <w:tcPr>
            <w:tcW w:w="6772" w:type="dxa"/>
          </w:tcPr>
          <w:p>
            <w:pPr>
              <w:overflowPunct w:val="0"/>
              <w:autoSpaceDE w:val="0"/>
              <w:autoSpaceDN w:val="0"/>
              <w:adjustRightInd w:val="0"/>
              <w:spacing w:before="240"/>
              <w:textAlignment w:val="baseline"/>
              <w:rPr>
                <w:rFonts w:eastAsia="Yu Mincho"/>
                <w:b/>
                <w:bCs/>
                <w:u w:val="single"/>
              </w:rPr>
            </w:pPr>
            <w:r>
              <w:rPr>
                <w:rFonts w:eastAsia="Yu Mincho"/>
                <w:b/>
                <w:bCs/>
                <w:u w:val="single"/>
              </w:rPr>
              <w:t>RAN1 agreement (</w:t>
            </w:r>
            <w:r>
              <w:rPr>
                <w:rFonts w:eastAsia="Yu Mincho"/>
                <w:lang w:eastAsia="ja-JP"/>
              </w:rPr>
              <w:t>RAN1 #103-e</w:t>
            </w:r>
            <w:r>
              <w:rPr>
                <w:rFonts w:eastAsia="Yu Mincho"/>
                <w:b/>
                <w:bCs/>
                <w:u w:val="single"/>
              </w:rPr>
              <w:t>) regarding CLI</w:t>
            </w:r>
          </w:p>
          <w:p>
            <w:pPr>
              <w:pStyle w:val="149"/>
              <w:numPr>
                <w:ilvl w:val="0"/>
                <w:numId w:val="8"/>
              </w:numPr>
              <w:spacing w:before="240"/>
              <w:ind w:firstLineChars="0"/>
              <w:rPr>
                <w:rFonts w:eastAsia="Yu Mincho"/>
                <w:b/>
                <w:bCs/>
                <w:u w:val="single"/>
              </w:rPr>
            </w:pPr>
            <w:r>
              <w:rPr>
                <w:rFonts w:eastAsia="Yu Mincho"/>
                <w:b/>
                <w:bCs/>
                <w:lang w:eastAsia="ja-JP"/>
              </w:rPr>
              <w:t>Use the Rel-16 interference management frameworks (e.g. CLI, RIM) to handle IAB interference scenarios,</w:t>
            </w:r>
          </w:p>
          <w:p>
            <w:pPr>
              <w:overflowPunct w:val="0"/>
              <w:autoSpaceDE w:val="0"/>
              <w:autoSpaceDN w:val="0"/>
              <w:adjustRightInd w:val="0"/>
              <w:textAlignment w:val="baseline"/>
              <w:rPr>
                <w:rFonts w:eastAsia="Yu Mincho"/>
                <w:b/>
                <w:bCs/>
                <w:lang w:eastAsia="zh-CN"/>
              </w:rPr>
            </w:pPr>
            <w:r>
              <w:rPr>
                <w:rFonts w:eastAsia="Yu Mincho"/>
                <w:b/>
                <w:bCs/>
                <w:lang w:eastAsia="zh-CN"/>
              </w:rPr>
              <w:t>Proposal 1: RAN4 needs to define CLI measurement requirements and Rel 16 UE CLI measurement requirement can be used as baseline.</w:t>
            </w:r>
          </w:p>
          <w:p>
            <w:pPr>
              <w:overflowPunct w:val="0"/>
              <w:autoSpaceDE w:val="0"/>
              <w:autoSpaceDN w:val="0"/>
              <w:adjustRightInd w:val="0"/>
              <w:spacing w:before="240"/>
              <w:textAlignment w:val="baseline"/>
              <w:rPr>
                <w:rFonts w:eastAsia="Yu Mincho"/>
                <w:b/>
                <w:bCs/>
                <w:u w:val="single"/>
              </w:rPr>
            </w:pPr>
            <w:r>
              <w:rPr>
                <w:rFonts w:eastAsia="Yu Mincho"/>
                <w:b/>
                <w:bCs/>
                <w:u w:val="single"/>
              </w:rPr>
              <w:t xml:space="preserve">Clarification: RAN4 does not need to define any new RRM requirement for Rel-17 eIAB CLI measurement but the already defined CLI measurement requirement for Rel-16 UE should be adopted.  </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1-1</w:t>
      </w:r>
      <w:r>
        <w:rPr>
          <w:rFonts w:hint="eastAsia"/>
          <w:sz w:val="24"/>
          <w:szCs w:val="16"/>
          <w:lang w:val="en-US"/>
        </w:rPr>
        <w:t xml:space="preserve"> </w:t>
      </w:r>
    </w:p>
    <w:p>
      <w:pPr>
        <w:rPr>
          <w:i/>
          <w:color w:val="0070C0"/>
          <w:lang w:val="en-US" w:eastAsia="zh-CN"/>
        </w:rPr>
      </w:pPr>
      <w:r>
        <w:rPr>
          <w:i/>
          <w:color w:val="0070C0"/>
          <w:lang w:val="en-US" w:eastAsia="zh-CN"/>
        </w:rPr>
        <w:t>Open issues and candidate options before e-meeting:</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Case 1</w:t>
      </w:r>
      <w:r>
        <w:rPr>
          <w:b/>
          <w:color w:val="0070C0"/>
          <w:u w:val="single"/>
          <w:lang w:val="en-US" w:eastAsia="zh-CN"/>
        </w:rPr>
        <w:t xml:space="preserve"> </w:t>
      </w:r>
      <w:r>
        <w:rPr>
          <w:rFonts w:hint="eastAsia"/>
          <w:b/>
          <w:color w:val="0070C0"/>
          <w:u w:val="single"/>
          <w:lang w:val="en-US" w:eastAsia="zh-CN"/>
        </w:rPr>
        <w:t>timing</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Clarify that current transmit timing requirements apply to case#1 timing mode. (Huawei, Nokia)</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2: </w:t>
      </w:r>
      <w:r>
        <w:rPr>
          <w:rFonts w:eastAsia="宋体"/>
          <w:color w:val="0070C0"/>
          <w:szCs w:val="24"/>
          <w:lang w:val="en-US" w:eastAsia="zh-CN"/>
        </w:rPr>
        <w:t>(Ericsson)</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#1 timings.</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No new RRM requirements are needed for Case #1 timing procedures.</w:t>
      </w:r>
    </w:p>
    <w:p>
      <w:pPr>
        <w:spacing w:after="120"/>
        <w:rPr>
          <w:color w:val="0070C0"/>
          <w:szCs w:val="24"/>
          <w:lang w:eastAsia="zh-CN"/>
        </w:rPr>
      </w:pP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Discussions are needed. Options are not mutually exclusive.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 main difference between Option 1 and Option 2 is that in Option 1 it is proposed to clarify that existing requirements in clause 12.2.3, TS 38.174 apply to Case #1. In our opinion, exiting requirement are not applicable to Case#6 timing. Regarding Case#7 timing, we discuss more in the Issue 1-3.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also agree the “No new RRM requirements are needed for Case #1 timing procedures.”.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Therefore, we think that the agreement on Case#1 timing can be a combination of Option 1 and the second bullet from Option 2, as follows:</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timing procedures.</w:t>
            </w:r>
          </w:p>
          <w:p>
            <w:pPr>
              <w:pStyle w:val="149"/>
              <w:numPr>
                <w:ilvl w:val="0"/>
                <w:numId w:val="10"/>
              </w:numPr>
              <w:spacing w:after="120"/>
              <w:ind w:firstLineChars="0"/>
              <w:rPr>
                <w:rFonts w:eastAsiaTheme="minorEastAsia"/>
                <w:color w:val="0070C0"/>
                <w:lang w:val="ru-RU" w:eastAsia="zh-CN"/>
              </w:rPr>
            </w:pPr>
            <w:r>
              <w:rPr>
                <w:rFonts w:eastAsiaTheme="minorEastAsia"/>
                <w:color w:val="0070C0"/>
                <w:lang w:val="en-US" w:eastAsia="zh-CN"/>
              </w:rPr>
              <w:t>Clarify in the TS 38.174 that current transmit timing requirements apply to case#1 timing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are fine with Nokia suggestion above i.e.</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timing procedures.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Clarify in the TS 38.174 that current transmit timing requirements apply to case#1 timing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F</w:t>
            </w:r>
            <w:r>
              <w:rPr>
                <w:rFonts w:eastAsiaTheme="minorEastAsia"/>
                <w:color w:val="0070C0"/>
                <w:lang w:val="en-US" w:eastAsia="zh-CN"/>
              </w:rPr>
              <w:t>ine with Nokia’s version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Can go with the revision proposed by Nokia.</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Case </w:t>
      </w:r>
      <w:r>
        <w:rPr>
          <w:b/>
          <w:color w:val="0070C0"/>
          <w:u w:val="single"/>
          <w:lang w:val="en-US" w:eastAsia="zh-CN"/>
        </w:rPr>
        <w:t xml:space="preserve">6 </w:t>
      </w:r>
      <w:r>
        <w:rPr>
          <w:rFonts w:hint="eastAsia"/>
          <w:b/>
          <w:color w:val="0070C0"/>
          <w:u w:val="single"/>
          <w:lang w:val="en-US" w:eastAsia="zh-CN"/>
        </w:rPr>
        <w:t>timing</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Clarify that no other RRM impact of case#6 timing. (Huawei, Nokia</w:t>
      </w:r>
      <w:r>
        <w:rPr>
          <w:rFonts w:eastAsia="宋体"/>
          <w:color w:val="0070C0"/>
          <w:szCs w:val="24"/>
          <w:lang w:val="en-US" w:eastAsia="zh-CN"/>
        </w:rPr>
        <w:t>, E///</w:t>
      </w:r>
      <w:r>
        <w:rPr>
          <w:rFonts w:hint="eastAsia" w:eastAsia="宋体"/>
          <w:color w:val="0070C0"/>
          <w:szCs w:val="24"/>
          <w:lang w:val="en-US" w:eastAsia="zh-CN"/>
        </w:rPr>
        <w:t>)</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Discussions are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w:t>
            </w:r>
            <w:r>
              <w:rPr>
                <w:rFonts w:eastAsiaTheme="minorEastAsia"/>
                <w:color w:val="0070C0"/>
                <w:lang w:val="en-US" w:eastAsia="zh-CN"/>
              </w:rPr>
              <w:t xml:space="preserve">k to option1.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But still would like to clarify the understanding on timing sync of child IAB-MT in case6 timing and parent node DL as whether the legacy cell phase sync requirement covers/applies this case or not? Or for IAB node operating in case 6 timing whether 3us can be assumed as maximum misalignment between this Child IAB-MT and its parent node DL timing?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general, we support Option 1 in the part that “no other RRM impact of case#6 timing”.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If by “Clarify” a need to clarify no impact of Case#6 timing in TS 38.174 is meant, then we do not think that such a clarification is needed in the TS. In our view, it is sufficient to clarify that current requirements are applicable to Case#1 timing (Issue 1-1).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reply to the comment by Samsung, we would like to highlight two aspect:</w:t>
            </w:r>
          </w:p>
          <w:p>
            <w:pPr>
              <w:pStyle w:val="149"/>
              <w:numPr>
                <w:ilvl w:val="0"/>
                <w:numId w:val="11"/>
              </w:numPr>
              <w:spacing w:after="120"/>
              <w:ind w:firstLineChars="0"/>
              <w:rPr>
                <w:rFonts w:eastAsiaTheme="minorEastAsia"/>
                <w:color w:val="0070C0"/>
                <w:lang w:val="en-US" w:eastAsia="zh-CN"/>
              </w:rPr>
            </w:pPr>
            <w:r>
              <w:rPr>
                <w:rFonts w:eastAsiaTheme="minorEastAsia"/>
                <w:color w:val="0070C0"/>
                <w:lang w:val="en-US" w:eastAsia="zh-CN"/>
              </w:rPr>
              <w:t>IAB-DU synchronization mechanisms (i.e., in between child IAB-DU and parent IAB node) were already enabled in Rel-16, i.e., OTA (i.e., using T</w:t>
            </w:r>
            <w:r>
              <w:rPr>
                <w:rFonts w:eastAsiaTheme="minorEastAsia"/>
                <w:color w:val="0070C0"/>
                <w:vertAlign w:val="subscript"/>
                <w:lang w:val="en-US" w:eastAsia="zh-CN"/>
              </w:rPr>
              <w:t>delta</w:t>
            </w:r>
            <w:r>
              <w:rPr>
                <w:rFonts w:eastAsiaTheme="minorEastAsia"/>
                <w:color w:val="0070C0"/>
                <w:lang w:val="en-US" w:eastAsia="zh-CN"/>
              </w:rPr>
              <w:t>) and other alternative ways (e.g., based on GPS). However, no new requirement in addition to cell phase sync requirement were defined.</w:t>
            </w:r>
          </w:p>
          <w:p>
            <w:pPr>
              <w:pStyle w:val="149"/>
              <w:numPr>
                <w:ilvl w:val="0"/>
                <w:numId w:val="11"/>
              </w:numPr>
              <w:spacing w:after="120"/>
              <w:ind w:firstLineChars="0"/>
              <w:rPr>
                <w:rFonts w:eastAsiaTheme="minorEastAsia"/>
                <w:color w:val="0070C0"/>
                <w:lang w:val="en-US" w:eastAsia="zh-CN"/>
              </w:rPr>
            </w:pPr>
            <w:r>
              <w:rPr>
                <w:rFonts w:eastAsiaTheme="minorEastAsia"/>
                <w:color w:val="0070C0"/>
                <w:lang w:val="en-US" w:eastAsia="zh-CN"/>
              </w:rPr>
              <w:t>There is already an agreement in IAB Rel-17 RF track:</w:t>
            </w:r>
            <w:r>
              <w:rPr>
                <w:rFonts w:eastAsiaTheme="minorEastAsia"/>
                <w:color w:val="0070C0"/>
                <w:lang w:val="en-US" w:eastAsia="zh-CN"/>
              </w:rPr>
              <w:br w:type="textWrapping"/>
            </w:r>
            <w:r>
              <w:rPr>
                <w:rFonts w:eastAsiaTheme="minorEastAsia"/>
                <w:color w:val="0070C0"/>
                <w:lang w:val="en-US" w:eastAsia="zh-CN"/>
              </w:rPr>
              <w:t>“</w:t>
            </w:r>
            <w:r>
              <w:rPr>
                <w:rFonts w:eastAsia="Yu Mincho"/>
              </w:rPr>
              <w:t>It is agreed in RAN4 that RF requirements for Timing error between own MT TX and DU TX should be defined for Case#6 timing.</w:t>
            </w:r>
            <w:r>
              <w:rPr>
                <w:rFonts w:eastAsiaTheme="minorEastAsia"/>
                <w:color w:val="0070C0"/>
                <w:lang w:val="en-US" w:eastAsia="zh-CN"/>
              </w:rPr>
              <w:t>” This discussion should be followed but our opinion is that no other requirement on MT TX and DU TX should be introduced in RRM.</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Therefore, in our view, the combination of (1) and (2) is sufficient and no separate requirement on misalignment in between child IAB-MT and parent node DL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Option 1. The intention is to capture this agreement in the WF i.e. </w:t>
            </w:r>
          </w:p>
          <w:p>
            <w:pPr>
              <w:overflowPunct w:val="0"/>
              <w:autoSpaceDE w:val="0"/>
              <w:autoSpaceDN w:val="0"/>
              <w:adjustRightInd w:val="0"/>
              <w:spacing w:after="120"/>
              <w:textAlignment w:val="baseline"/>
              <w:rPr>
                <w:rFonts w:eastAsiaTheme="minorEastAsia"/>
                <w:color w:val="0070C0"/>
                <w:lang w:val="en-US" w:eastAsia="zh-CN"/>
              </w:rPr>
            </w:pPr>
            <w:r>
              <w:rPr>
                <w:rFonts w:eastAsia="宋体"/>
                <w:color w:val="0070C0"/>
                <w:szCs w:val="24"/>
                <w:lang w:val="en-US" w:eastAsia="zh-CN"/>
              </w:rPr>
              <w:t>N</w:t>
            </w:r>
            <w:r>
              <w:rPr>
                <w:rFonts w:hint="eastAsia" w:eastAsia="宋体"/>
                <w:color w:val="0070C0"/>
                <w:szCs w:val="24"/>
                <w:lang w:val="en-US" w:eastAsia="zh-CN"/>
              </w:rPr>
              <w:t>o RRM impact of case#6 timing</w:t>
            </w:r>
            <w:r>
              <w:rPr>
                <w:rFonts w:eastAsia="宋体"/>
                <w:color w:val="0070C0"/>
                <w:szCs w:val="24"/>
                <w:lang w:val="en-US" w:eastAsia="zh-CN"/>
              </w:rPr>
              <w:t xml:space="preserve"> or No RRM requirement is needed for case#6 timing.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 xml:space="preserve">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Option 1.</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 xml:space="preserve">Issue 1-3: </w:t>
      </w:r>
      <w:r>
        <w:rPr>
          <w:rFonts w:hint="eastAsia"/>
          <w:b/>
          <w:color w:val="0070C0"/>
          <w:u w:val="single"/>
          <w:lang w:val="en-US" w:eastAsia="zh-CN"/>
        </w:rPr>
        <w:t>Case 7 timing</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w:t>
      </w:r>
      <w:r>
        <w:rPr>
          <w:rFonts w:eastAsia="宋体"/>
          <w:color w:val="0070C0"/>
          <w:szCs w:val="24"/>
          <w:lang w:val="en-US" w:eastAsia="zh-CN"/>
        </w:rPr>
        <w:t>1</w:t>
      </w:r>
      <w:r>
        <w:rPr>
          <w:rFonts w:hint="eastAsia" w:eastAsia="宋体"/>
          <w:color w:val="0070C0"/>
          <w:szCs w:val="24"/>
          <w:lang w:val="en-US" w:eastAsia="zh-CN"/>
        </w:rPr>
        <w:t xml:space="preserve">: </w:t>
      </w:r>
      <w:r>
        <w:rPr>
          <w:rFonts w:eastAsia="宋体"/>
          <w:color w:val="0070C0"/>
          <w:szCs w:val="24"/>
          <w:lang w:val="en-US" w:eastAsia="zh-CN"/>
        </w:rPr>
        <w:t>(Ericsson)</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 7 timings.</w:t>
      </w:r>
      <w:r>
        <w:rPr>
          <w:rFonts w:hint="eastAsia" w:eastAsia="宋体"/>
          <w:color w:val="0070C0"/>
          <w:szCs w:val="24"/>
          <w:lang w:val="en-US" w:eastAsia="zh-CN"/>
        </w:rPr>
        <w:t xml:space="preserve"> (Ericsson)</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No new RRM requirements are needed for Case # 7 timing procedures.</w:t>
      </w:r>
      <w:r>
        <w:rPr>
          <w:rFonts w:eastAsia="宋体"/>
          <w:color w:val="0070C0"/>
          <w:szCs w:val="24"/>
          <w:lang w:val="en-US" w:eastAsia="zh-CN"/>
        </w:rPr>
        <w:t xml:space="preserve"> (</w:t>
      </w:r>
      <w:r>
        <w:rPr>
          <w:rFonts w:hint="eastAsia" w:eastAsia="宋体"/>
          <w:color w:val="0070C0"/>
          <w:szCs w:val="24"/>
          <w:lang w:val="en-US" w:eastAsia="zh-CN"/>
        </w:rPr>
        <w:t>Ericsson</w:t>
      </w:r>
      <w:r>
        <w:rPr>
          <w:rFonts w:eastAsia="宋体"/>
          <w:color w:val="0070C0"/>
          <w:szCs w:val="24"/>
          <w:lang w:val="en-US" w:eastAsia="zh-CN"/>
        </w:rPr>
        <w:t>)</w:t>
      </w:r>
    </w:p>
    <w:p>
      <w:pPr>
        <w:spacing w:after="120"/>
        <w:rPr>
          <w:color w:val="0070C0"/>
          <w:szCs w:val="24"/>
          <w:lang w:eastAsia="zh-CN"/>
        </w:rPr>
      </w:pP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Discussions are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agree with Option 1.</w:t>
            </w:r>
            <w:r>
              <w:rPr>
                <w:rFonts w:eastAsiaTheme="minorEastAsia"/>
                <w:color w:val="0070C0"/>
                <w:lang w:val="en-US" w:eastAsia="zh-CN"/>
              </w:rPr>
              <w:br w:type="textWrapping"/>
            </w:r>
            <w:r>
              <w:rPr>
                <w:rFonts w:eastAsiaTheme="minorEastAsia"/>
                <w:color w:val="0070C0"/>
                <w:lang w:val="en-US" w:eastAsia="zh-CN"/>
              </w:rPr>
              <w:t>The only difference in between Case#1 and Case#7 timing is the additional offset in Case #7. This however just changes the Rx/TX switching gap at the parent node where the gap is anyway up to implementation to determine. The from the RRM requirement PoV the modes are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also agree with Nokia that the main difference between case 1 and case 7 is </w:t>
            </w:r>
            <w:r>
              <w:rPr>
                <w:rFonts w:eastAsia="Yu Mincho"/>
                <w:color w:val="0070C0"/>
                <w:lang w:val="en-US"/>
              </w:rPr>
              <w:t>that the latter has an</w:t>
            </w:r>
            <w:r>
              <w:rPr>
                <w:rFonts w:eastAsia="Yu Mincho"/>
              </w:rPr>
              <w:t xml:space="preserve"> additional configurable/signalled offset (</w:t>
            </w:r>
            <m:oMath>
              <m:sSub>
                <m:sSubPr>
                  <m:ctrlPr>
                    <w:rPr>
                      <w:rFonts w:ascii="Cambria Math" w:hAnsi="Cambria Math" w:eastAsia="宋体"/>
                      <w:szCs w:val="22"/>
                    </w:rPr>
                  </m:ctrlPr>
                </m:sSubPr>
                <m:e>
                  <m:r>
                    <m:rPr>
                      <m:sty m:val="p"/>
                    </m:rPr>
                    <w:rPr>
                      <w:rFonts w:ascii="Cambria Math" w:hAnsi="Cambria Math" w:eastAsia="宋体"/>
                      <w:szCs w:val="22"/>
                    </w:rPr>
                    <m:t>N</m:t>
                  </m:r>
                  <m:ctrlPr>
                    <w:rPr>
                      <w:rFonts w:ascii="Cambria Math" w:hAnsi="Cambria Math" w:eastAsia="宋体"/>
                      <w:szCs w:val="22"/>
                    </w:rPr>
                  </m:ctrlPr>
                </m:e>
                <m:sub>
                  <m:r>
                    <m:rPr>
                      <m:sty m:val="p"/>
                    </m:rPr>
                    <w:rPr>
                      <w:rFonts w:ascii="Cambria Math" w:hAnsi="Cambria Math" w:eastAsia="宋体"/>
                      <w:szCs w:val="22"/>
                    </w:rPr>
                    <m:t>TA,offset,2</m:t>
                  </m:r>
                  <m:ctrlPr>
                    <w:rPr>
                      <w:rFonts w:ascii="Cambria Math" w:hAnsi="Cambria Math" w:eastAsia="宋体"/>
                      <w:szCs w:val="22"/>
                    </w:rPr>
                  </m:ctrlPr>
                </m:sub>
              </m:sSub>
            </m:oMath>
            <w:r>
              <w:rPr>
                <w:rFonts w:eastAsia="Yu Mincho"/>
              </w:rPr>
              <w:t>). But this additional offset does not need any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upport option 1. Share the same understanding as Nokia and Ericsson, compared with case 1, no other performance validation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Option 1. No new requirements are needed.</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CLI measurement</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For CLI measurements by IAB-MT, no new RRM requirements need to be specified in R17. (Huawei, ZTE, Nokia, Ericsson)</w:t>
      </w:r>
    </w:p>
    <w:p>
      <w:pPr>
        <w:pStyle w:val="14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hint="eastAsia" w:eastAsia="宋体"/>
          <w:color w:val="0070C0"/>
          <w:szCs w:val="24"/>
          <w:lang w:val="en-US" w:eastAsia="zh-CN"/>
        </w:rPr>
        <w:t>: Can Option 1 be agreed?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QC</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agree that no NEW RRM requirement, beyond what has already been defined for Rel 16 UE, is needed. However, all Rel 16 UE CLI measurement performance requirement shall be adopted for Rel 17 eIAB.RRM.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However, we think that the proposal by QC also makes sense.</w:t>
            </w:r>
          </w:p>
          <w:p>
            <w:pPr>
              <w:overflowPunct w:val="0"/>
              <w:autoSpaceDE w:val="0"/>
              <w:autoSpaceDN w:val="0"/>
              <w:adjustRightInd w:val="0"/>
              <w:spacing w:after="120"/>
              <w:textAlignment w:val="baseline"/>
              <w:rPr>
                <w:rFonts w:eastAsia="Yu Mincho"/>
                <w:color w:val="0070C0"/>
                <w:lang w:val="ru-RU" w:eastAsia="zh-CN"/>
              </w:rPr>
            </w:pPr>
            <w:r>
              <w:rPr>
                <w:rFonts w:eastAsiaTheme="minorEastAsia"/>
                <w:color w:val="0070C0"/>
                <w:lang w:val="en-US" w:eastAsia="zh-CN"/>
              </w:rPr>
              <w:t>Considering that CLI requirements were under standardization in Rel-16, i.e., in parallel to the standardization of IAB, and taking into account RAN1 agreement that “</w:t>
            </w:r>
            <w:r>
              <w:rPr>
                <w:rFonts w:eastAsia="Yu Mincho"/>
              </w:rPr>
              <w:t>Rel-16 interference management frameworks (e.g., CLI, RIM) is used to handle IAB interference scenarios in Rel-17.</w:t>
            </w:r>
            <w:r>
              <w:rPr>
                <w:rFonts w:eastAsiaTheme="minorEastAsia"/>
                <w:color w:val="0070C0"/>
                <w:lang w:val="en-US" w:eastAsia="zh-CN"/>
              </w:rPr>
              <w:t>”, we think that Section 9.7, TS 38.133 can be referenced in Rel-17 TS 38.174, as follows: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 UE requirements in sub-clause 9.7 [6] apply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By this we mean new RRM requirements for CLI measurements.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IAB-MT is fixed node. But the IAB-MT deployment scenario is different than the UE scenario, which involves mobility. Therefore, the existing UE requirements for CLI in Section 9.7, TS 38.133, cannot be used for IAB-MT.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Furthermore, for wide area IAB there was already an agreement in R16 not to define any RRM requirements related to IAB-MT measurements. This is because WA IAB deployment is fully planned and optimized for certain deployment. Any type of measurement needed by WA IAB-MT depends on the network planning/deployment and cannot be determined by standardizing the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 xml:space="preserve">e support option 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 CLI measurement defined in 38.133 is for UE with mobility. The agreement in RAN1 shown by companies is at very early state with different options for solutions. And observed from the whole RAN1 work in Rel-17, only CLI information coordination are considered instead of CLI measurement. Thus, we fails to see the reason that IAB-MT has to use CLI measurement and to have requirements for IAB.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Option 1. Even in R17 38.174 we don</w:t>
            </w:r>
            <w:r>
              <w:rPr>
                <w:rFonts w:hint="default" w:eastAsiaTheme="minorEastAsia"/>
                <w:color w:val="0070C0"/>
                <w:lang w:val="en-US" w:eastAsia="zh-CN"/>
              </w:rPr>
              <w:t>’</w:t>
            </w:r>
            <w:r>
              <w:rPr>
                <w:rFonts w:hint="eastAsia" w:eastAsiaTheme="minorEastAsia"/>
                <w:color w:val="0070C0"/>
                <w:lang w:val="en-US" w:eastAsia="zh-CN"/>
              </w:rPr>
              <w:t>t think adding CLI related requirement is necessary.</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242" w:type="dxa"/>
            <w:vMerge w:val="restart"/>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rPr>
                <w:rFonts w:eastAsia="Yu Mincho"/>
              </w:rPr>
              <w:fldChar w:fldCharType="begin"/>
            </w:r>
            <w:r>
              <w:rPr>
                <w:rFonts w:eastAsia="Yu Mincho"/>
              </w:rPr>
              <w:instrText xml:space="preserve"> HYPERLINK "https://www.3gpp.org/ftp/TSG_RAN/WG4_Radio/TSGR4_101-bis-e/Docs/R4-2201207.zip" </w:instrText>
            </w:r>
            <w:r>
              <w:rPr>
                <w:rFonts w:eastAsia="Yu Mincho"/>
              </w:rPr>
              <w:fldChar w:fldCharType="separate"/>
            </w:r>
            <w:r>
              <w:rPr>
                <w:rStyle w:val="55"/>
                <w:rFonts w:ascii="Arial" w:hAnsi="Arial" w:eastAsia="Yu Mincho" w:cs="Arial"/>
                <w:b/>
                <w:sz w:val="16"/>
                <w:szCs w:val="16"/>
              </w:rPr>
              <w:t>R4-2201207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Yu Mincho"/>
                <w:b/>
                <w:bCs/>
                <w:color w:val="0070C0"/>
                <w:lang w:val="en-US" w:eastAsia="zh-CN"/>
              </w:rPr>
            </w:pPr>
            <w:r>
              <w:rPr>
                <w:rFonts w:eastAsiaTheme="minorEastAsia"/>
                <w:b/>
                <w:bCs/>
                <w:color w:val="0070C0"/>
                <w:lang w:val="en-US" w:eastAsia="zh-CN"/>
              </w:rPr>
              <w:t>Nokia: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general, the proposed CR draft is in line with our proposal in the TP below. However, the coverage of proposed changes is a bit wider in our TP.</w:t>
            </w:r>
            <w:r>
              <w:rPr>
                <w:rFonts w:eastAsiaTheme="minorEastAsia"/>
                <w:color w:val="0070C0"/>
                <w:lang w:val="en-US" w:eastAsia="zh-CN"/>
              </w:rPr>
              <w:br w:type="textWrapping"/>
            </w:r>
            <w:r>
              <w:rPr>
                <w:rFonts w:eastAsiaTheme="minorEastAsia"/>
                <w:color w:val="0070C0"/>
                <w:lang w:val="en-US" w:eastAsia="zh-CN"/>
              </w:rPr>
              <w:t>We also think that the scope of the CR on IAB timing might change depending on the agreements in Issues 1-2 and 1-3.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If needed, we will be interested in preparation of a merged draft CR on Timing requirements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 Changes in CR and TP can be merged depending on the outcome of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fldChar w:fldCharType="begin"/>
            </w:r>
            <w:r>
              <w:instrText xml:space="preserve"> HYPERLINK "https://www.3gpp.org/ftp/TSG_RAN/WG4_Radio/TSGR4_101-bis-e/Docs/R4-2201850.zip" </w:instrText>
            </w:r>
            <w:r>
              <w:fldChar w:fldCharType="separate"/>
            </w:r>
            <w:r>
              <w:rPr>
                <w:rStyle w:val="55"/>
                <w:rFonts w:ascii="Arial" w:hAnsi="Arial" w:eastAsia="Yu Mincho" w:cs="Arial"/>
                <w:b/>
                <w:sz w:val="16"/>
                <w:szCs w:val="16"/>
              </w:rPr>
              <w:t>R4-2201850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 It should be draft CR not TP. In any case contents in both CR and TP can be merged depending on the outcome of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 Proposed changes in the TP and that in our CR are similar</w:t>
            </w:r>
            <w:r>
              <w:rPr>
                <w:rFonts w:hint="eastAsia" w:eastAsiaTheme="minorEastAsia"/>
                <w:color w:val="0070C0"/>
                <w:lang w:val="en-US" w:eastAsia="zh-CN"/>
              </w:rPr>
              <w:t>.</w:t>
            </w:r>
            <w:r>
              <w:rPr>
                <w:rFonts w:eastAsiaTheme="minorEastAsia"/>
                <w:color w:val="0070C0"/>
                <w:lang w:val="en-US" w:eastAsia="zh-CN"/>
              </w:rPr>
              <w:t xml:space="preserve"> For transmit timing, we think clarification at beginning is enough. We agree that same clarification are also needed in TA part. We are fine to capture the outcome or have separate CRs to for transmit timing and TA. No strong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i/>
          <w:color w:val="0070C0"/>
          <w:lang w:val="en-US" w:eastAsia="zh-CN"/>
        </w:rPr>
      </w:pPr>
    </w:p>
    <w:p>
      <w:pPr>
        <w:rPr>
          <w:i/>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i/>
                <w:color w:val="0070C0"/>
                <w:lang w:val="en-US" w:eastAsia="zh-CN"/>
              </w:rPr>
              <w:t xml:space="preserve">Tentative agreements: </w:t>
            </w:r>
          </w:p>
          <w:p>
            <w:pPr>
              <w:pStyle w:val="149"/>
              <w:numPr>
                <w:ilvl w:val="0"/>
                <w:numId w:val="10"/>
              </w:numPr>
              <w:ind w:firstLineChars="0"/>
              <w:rPr>
                <w:rFonts w:eastAsia="Yu Mincho"/>
                <w:lang w:val="en-US"/>
              </w:rPr>
            </w:pPr>
            <w:r>
              <w:rPr>
                <w:rFonts w:eastAsiaTheme="minorEastAsia"/>
                <w:color w:val="0070C0"/>
                <w:lang w:val="en-US" w:eastAsia="zh-CN"/>
              </w:rPr>
              <w:t>No new RRM requirements are needed for Case #1 timing procedures.</w:t>
            </w:r>
          </w:p>
          <w:p>
            <w:pPr>
              <w:pStyle w:val="149"/>
              <w:numPr>
                <w:ilvl w:val="0"/>
                <w:numId w:val="10"/>
              </w:numPr>
              <w:ind w:firstLineChars="0"/>
              <w:rPr>
                <w:rFonts w:eastAsia="Yu Mincho"/>
                <w:lang w:val="en-US"/>
              </w:rPr>
            </w:pPr>
            <w:r>
              <w:rPr>
                <w:rFonts w:eastAsiaTheme="minorEastAsia"/>
                <w:color w:val="0070C0"/>
                <w:lang w:val="en-US" w:eastAsia="zh-CN"/>
              </w:rPr>
              <w:t>Clarify in the TS 38.174 that current transmit timing requirements apply to case#1 timing mode.</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1-2</w:t>
            </w:r>
          </w:p>
        </w:tc>
        <w:tc>
          <w:tcPr>
            <w:tcW w:w="8615" w:type="dxa"/>
          </w:tcPr>
          <w:p>
            <w:pPr>
              <w:pStyle w:val="149"/>
              <w:numPr>
                <w:ilvl w:val="0"/>
                <w:numId w:val="0"/>
              </w:numPr>
              <w:rPr>
                <w:rFonts w:eastAsia="Yu Mincho"/>
                <w:lang w:val="en-US"/>
              </w:rPr>
            </w:pPr>
            <w:r>
              <w:rPr>
                <w:rFonts w:hint="eastAsia" w:eastAsiaTheme="minorEastAsia"/>
                <w:i/>
                <w:color w:val="0070C0"/>
                <w:lang w:val="en-US" w:eastAsia="zh-CN"/>
              </w:rPr>
              <w:t xml:space="preserve">Tentative agreements: </w:t>
            </w:r>
            <w:r>
              <w:rPr>
                <w:rFonts w:hint="eastAsia"/>
                <w:color w:val="0070C0"/>
                <w:szCs w:val="24"/>
                <w:lang w:val="en-US" w:eastAsia="zh-CN"/>
              </w:rPr>
              <w:t>There is n</w:t>
            </w:r>
            <w:r>
              <w:rPr>
                <w:rFonts w:hint="eastAsia" w:eastAsia="宋体"/>
                <w:color w:val="0070C0"/>
                <w:szCs w:val="24"/>
                <w:lang w:val="en-US" w:eastAsia="zh-CN"/>
              </w:rPr>
              <w:t>o RRM impact of case#6 timing</w:t>
            </w:r>
            <w:r>
              <w:rPr>
                <w:rFonts w:hint="eastAsia"/>
                <w:color w:val="0070C0"/>
                <w:szCs w:val="24"/>
                <w:lang w:val="en-US" w:eastAsia="zh-CN"/>
              </w:rPr>
              <w:t>.</w:t>
            </w:r>
          </w:p>
          <w:p>
            <w:pPr>
              <w:overflowPunct w:val="0"/>
              <w:autoSpaceDE w:val="0"/>
              <w:autoSpaceDN w:val="0"/>
              <w:adjustRightInd w:val="0"/>
              <w:textAlignment w:val="baseline"/>
              <w:rPr>
                <w:rFonts w:hint="default"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Issue 1-3</w:t>
            </w:r>
          </w:p>
        </w:tc>
        <w:tc>
          <w:tcPr>
            <w:tcW w:w="8615" w:type="dxa"/>
          </w:tcPr>
          <w:p>
            <w:pPr>
              <w:pStyle w:val="149"/>
              <w:numPr>
                <w:ilvl w:val="0"/>
                <w:numId w:val="0"/>
              </w:numPr>
              <w:rPr>
                <w:rFonts w:hint="eastAsia" w:eastAsiaTheme="minorEastAsia"/>
                <w:i/>
                <w:color w:val="0070C0"/>
                <w:lang w:val="en-US" w:eastAsia="zh-CN"/>
              </w:rPr>
            </w:pPr>
            <w:r>
              <w:rPr>
                <w:rFonts w:hint="eastAsia" w:eastAsiaTheme="minorEastAsia"/>
                <w:i/>
                <w:color w:val="0070C0"/>
                <w:lang w:val="en-US" w:eastAsia="zh-CN"/>
              </w:rPr>
              <w:t xml:space="preserve">Tentative agreements: </w:t>
            </w:r>
          </w:p>
          <w:p>
            <w:pPr>
              <w:pStyle w:val="149"/>
              <w:numPr>
                <w:ilvl w:val="2"/>
                <w:numId w:val="9"/>
              </w:numPr>
              <w:overflowPunct/>
              <w:autoSpaceDE/>
              <w:autoSpaceDN/>
              <w:adjustRightInd/>
              <w:spacing w:after="120"/>
              <w:ind w:firstLineChars="0"/>
              <w:textAlignment w:val="auto"/>
              <w:rPr>
                <w:rFonts w:eastAsia="宋体"/>
                <w:color w:val="0070C0"/>
                <w:szCs w:val="24"/>
                <w:lang w:eastAsia="zh-CN"/>
              </w:rPr>
            </w:pPr>
            <w:r>
              <w:t>The existing timing advance step size accuracy requirements in clause 12.2.3, TS 38.174, are applicable for Case # 7 timings.</w:t>
            </w:r>
          </w:p>
          <w:p>
            <w:pPr>
              <w:pStyle w:val="149"/>
              <w:numPr>
                <w:ilvl w:val="2"/>
                <w:numId w:val="9"/>
              </w:numPr>
              <w:overflowPunct/>
              <w:autoSpaceDE/>
              <w:autoSpaceDN/>
              <w:adjustRightInd/>
              <w:spacing w:after="120"/>
              <w:ind w:firstLineChars="0"/>
              <w:textAlignment w:val="auto"/>
              <w:rPr>
                <w:rFonts w:hint="eastAsia" w:eastAsiaTheme="minorEastAsia"/>
                <w:i/>
                <w:color w:val="0070C0"/>
                <w:lang w:val="en-US" w:eastAsia="zh-CN"/>
              </w:rPr>
            </w:pPr>
            <w:r>
              <w:t>No new RRM requirements are needed for Case # 7 timing procedures.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Issue 1-4</w:t>
            </w:r>
          </w:p>
        </w:tc>
        <w:tc>
          <w:tcPr>
            <w:tcW w:w="8615"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Options:</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For CLI measurements by IAB-MT, no new RRM requirements need to be specified in R17. (Huawei, ZTE, Nokia, Ericsson)</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2: </w:t>
            </w:r>
            <w:r>
              <w:rPr>
                <w:rFonts w:eastAsiaTheme="minorEastAsia"/>
                <w:color w:val="0070C0"/>
                <w:lang w:val="en-US" w:eastAsia="zh-CN"/>
              </w:rPr>
              <w:t>all Rel 16 UE CLI measurement performance requirement shall be adopted for Rel 17 eIAB</w:t>
            </w:r>
            <w:r>
              <w:rPr>
                <w:rFonts w:hint="eastAsia" w:eastAsiaTheme="minorEastAsia"/>
                <w:color w:val="0070C0"/>
                <w:lang w:val="en-US" w:eastAsia="zh-CN"/>
              </w:rPr>
              <w:t xml:space="preserve"> </w:t>
            </w:r>
            <w:r>
              <w:rPr>
                <w:rFonts w:eastAsiaTheme="minorEastAsia"/>
                <w:color w:val="0070C0"/>
                <w:lang w:val="en-US" w:eastAsia="zh-CN"/>
              </w:rPr>
              <w:t>RRM.</w:t>
            </w:r>
            <w:r>
              <w:rPr>
                <w:rFonts w:hint="eastAsia" w:eastAsiaTheme="minorEastAsia"/>
                <w:color w:val="0070C0"/>
                <w:lang w:val="en-US" w:eastAsia="zh-CN"/>
              </w:rPr>
              <w:t xml:space="preserve"> (Qualcomm, Nokia)</w:t>
            </w:r>
          </w:p>
          <w:p>
            <w:pPr>
              <w:overflowPunct w:val="0"/>
              <w:autoSpaceDE w:val="0"/>
              <w:autoSpaceDN w:val="0"/>
              <w:adjustRightInd w:val="0"/>
              <w:textAlignment w:val="baseline"/>
              <w:rPr>
                <w:rFonts w:hint="default"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Continue the discussion.</w:t>
            </w:r>
          </w:p>
        </w:tc>
      </w:tr>
    </w:tbl>
    <w:p>
      <w:pPr>
        <w:rPr>
          <w:i/>
          <w:color w:val="0070C0"/>
          <w:lang w:val="en-US" w:eastAsia="zh-CN"/>
        </w:rPr>
      </w:pPr>
    </w:p>
    <w:p>
      <w:pPr>
        <w:pStyle w:val="3"/>
        <w:rPr>
          <w:lang w:val="en-US"/>
        </w:rPr>
      </w:pPr>
      <w:r>
        <w:rPr>
          <w:lang w:val="en-US"/>
        </w:rPr>
        <w:t>Discussion on 2nd round (if applicable)</w:t>
      </w:r>
    </w:p>
    <w:p>
      <w:pPr>
        <w:pStyle w:val="4"/>
        <w:rPr>
          <w:sz w:val="24"/>
          <w:szCs w:val="16"/>
        </w:rPr>
      </w:pPr>
      <w:r>
        <w:rPr>
          <w:sz w:val="24"/>
          <w:szCs w:val="16"/>
        </w:rPr>
        <w:t xml:space="preserve">Open issues </w:t>
      </w:r>
    </w:p>
    <w:p>
      <w:pPr>
        <w:rPr>
          <w:rFonts w:hint="eastAsia"/>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CLI measurement</w:t>
      </w:r>
    </w:p>
    <w:p>
      <w:pPr>
        <w:pStyle w:val="149"/>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For CLI measurements by IAB-MT, no new RRM requirements need to be specified in R17. (Huawei, ZTE, Nokia, Ericsson)</w:t>
      </w:r>
    </w:p>
    <w:p>
      <w:pPr>
        <w:pStyle w:val="149"/>
        <w:numPr>
          <w:ilvl w:val="1"/>
          <w:numId w:val="9"/>
        </w:numPr>
        <w:overflowPunct/>
        <w:autoSpaceDE/>
        <w:autoSpaceDN/>
        <w:adjustRightInd/>
        <w:spacing w:after="120"/>
        <w:ind w:left="1440" w:firstLineChars="0"/>
        <w:textAlignment w:val="auto"/>
        <w:rPr>
          <w:rFonts w:hint="eastAsia"/>
          <w:b/>
          <w:color w:val="0070C0"/>
          <w:u w:val="single"/>
          <w:lang w:val="en-US" w:eastAsia="zh-CN"/>
        </w:rPr>
      </w:pPr>
      <w:r>
        <w:rPr>
          <w:rFonts w:hint="eastAsia" w:eastAsia="宋体"/>
          <w:color w:val="0070C0"/>
          <w:szCs w:val="24"/>
          <w:lang w:val="en-US" w:eastAsia="zh-CN"/>
        </w:rPr>
        <w:t xml:space="preserve">Option 2: </w:t>
      </w:r>
      <w:r>
        <w:rPr>
          <w:rFonts w:eastAsiaTheme="minorEastAsia"/>
          <w:color w:val="0070C0"/>
          <w:lang w:val="en-US" w:eastAsia="zh-CN"/>
        </w:rPr>
        <w:t>all Rel 16 UE CLI measurement performance requirement shall be adopted for Rel 17 eIAB</w:t>
      </w:r>
      <w:r>
        <w:rPr>
          <w:rFonts w:hint="eastAsia" w:eastAsiaTheme="minorEastAsia"/>
          <w:color w:val="0070C0"/>
          <w:lang w:val="en-US" w:eastAsia="zh-CN"/>
        </w:rPr>
        <w:t xml:space="preserve"> </w:t>
      </w:r>
      <w:r>
        <w:rPr>
          <w:rFonts w:eastAsiaTheme="minorEastAsia"/>
          <w:color w:val="0070C0"/>
          <w:lang w:val="en-US" w:eastAsia="zh-CN"/>
        </w:rPr>
        <w:t>RRM.</w:t>
      </w:r>
      <w:r>
        <w:rPr>
          <w:rFonts w:hint="eastAsia" w:eastAsiaTheme="minorEastAsia"/>
          <w:color w:val="0070C0"/>
          <w:lang w:val="en-US" w:eastAsia="zh-CN"/>
        </w:rPr>
        <w:t xml:space="preserve"> (Qualcomm, Nokia)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Yu Mincho"/>
                <w:color w:val="0070C0"/>
                <w:lang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lang w:val="en-US"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1"/>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4"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7" w:type="pct"/>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WF on IAB enhancement RRM</w:t>
            </w:r>
          </w:p>
        </w:tc>
        <w:tc>
          <w:tcPr>
            <w:tcW w:w="1324" w:type="pct"/>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 Corporation</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"https://www.3gpp.org/ftp/TSG_RAN/WG4_Radio/TSGR4_101-bis-e/Docs/R4-2201206.zip" </w:instrText>
            </w:r>
            <w:r>
              <w:fldChar w:fldCharType="separate"/>
            </w:r>
            <w:r>
              <w:rPr>
                <w:rStyle w:val="55"/>
                <w:rFonts w:ascii="Arial" w:hAnsi="Arial" w:eastAsia="Yu Mincho" w:cs="Arial"/>
                <w:b/>
                <w:sz w:val="16"/>
                <w:szCs w:val="16"/>
              </w:rPr>
              <w:t>R4-2201206</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Discussion on RRM requirements for eIAB</w:t>
            </w:r>
          </w:p>
        </w:tc>
        <w:tc>
          <w:tcPr>
            <w:tcW w:w="1418"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Huawei, Hisilicon</w:t>
            </w:r>
          </w:p>
        </w:tc>
        <w:tc>
          <w:tcPr>
            <w:tcW w:w="2409"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"https://www.3gpp.org/ftp/TSG_RAN/WG4_Radio/TSGR4_101-bis-e/Docs/R4-2201207.zip" </w:instrText>
            </w:r>
            <w:r>
              <w:fldChar w:fldCharType="separate"/>
            </w:r>
            <w:r>
              <w:rPr>
                <w:rStyle w:val="55"/>
                <w:rFonts w:ascii="Arial" w:hAnsi="Arial" w:eastAsia="Yu Mincho" w:cs="Arial"/>
                <w:b/>
                <w:sz w:val="16"/>
                <w:szCs w:val="16"/>
              </w:rPr>
              <w:t>R4-2201207</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Draft CR on timing requirements for Rel-17 IAB</w:t>
            </w:r>
          </w:p>
        </w:tc>
        <w:tc>
          <w:tcPr>
            <w:tcW w:w="1418"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Huawei, Hisilicon</w:t>
            </w:r>
          </w:p>
        </w:tc>
        <w:tc>
          <w:tcPr>
            <w:tcW w:w="2409"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Revised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"https://www.3gpp.org/ftp/TSG_RAN/WG4_Radio/TSGR4_101-bis-e/Docs/R4-2201405.zip" </w:instrText>
            </w:r>
            <w:r>
              <w:fldChar w:fldCharType="separate"/>
            </w:r>
            <w:r>
              <w:rPr>
                <w:rStyle w:val="55"/>
                <w:rFonts w:ascii="Arial" w:hAnsi="Arial" w:eastAsia="Yu Mincho" w:cs="Arial"/>
                <w:b/>
                <w:sz w:val="16"/>
                <w:szCs w:val="16"/>
              </w:rPr>
              <w:t>R4-2201405</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On RRM for eIAB</w:t>
            </w:r>
          </w:p>
        </w:tc>
        <w:tc>
          <w:tcPr>
            <w:tcW w:w="1418"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ZTE Corporation</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eastAsia="zh-CN"/>
              </w:rPr>
            </w:pPr>
            <w:r>
              <w:fldChar w:fldCharType="begin"/>
            </w:r>
            <w:r>
              <w:instrText xml:space="preserve"> HYPERLINK "https://www.3gpp.org/ftp/TSG_RAN/WG4_Radio/TSGR4_101-bis-e/Docs/R4-2201849.zip" </w:instrText>
            </w:r>
            <w:r>
              <w:fldChar w:fldCharType="separate"/>
            </w:r>
            <w:r>
              <w:rPr>
                <w:rStyle w:val="55"/>
                <w:rFonts w:ascii="Arial" w:hAnsi="Arial" w:eastAsia="Yu Mincho" w:cs="Arial"/>
                <w:b/>
                <w:sz w:val="16"/>
                <w:szCs w:val="16"/>
              </w:rPr>
              <w:t>R4-2201849</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On IAB Enhanced RRM Requirements</w:t>
            </w:r>
          </w:p>
        </w:tc>
        <w:tc>
          <w:tcPr>
            <w:tcW w:w="1418" w:type="dxa"/>
          </w:tcPr>
          <w:p>
            <w:pPr>
              <w:overflowPunct w:val="0"/>
              <w:autoSpaceDE w:val="0"/>
              <w:autoSpaceDN w:val="0"/>
              <w:adjustRightInd w:val="0"/>
              <w:textAlignment w:val="top"/>
              <w:rPr>
                <w:rFonts w:eastAsiaTheme="minorEastAsia"/>
                <w:i/>
                <w:color w:val="0070C0"/>
                <w:lang w:val="en-US" w:eastAsia="zh-CN"/>
              </w:rPr>
            </w:pPr>
            <w:r>
              <w:rPr>
                <w:rFonts w:ascii="Arial" w:hAnsi="Arial" w:eastAsia="Yu Mincho" w:cs="Arial"/>
                <w:color w:val="000000"/>
                <w:sz w:val="16"/>
                <w:szCs w:val="16"/>
                <w:lang w:val="en-US" w:eastAsia="zh-CN" w:bidi="ar"/>
              </w:rPr>
              <w:t>Nokia, Nokia Shanghai Bell</w:t>
            </w:r>
          </w:p>
        </w:tc>
        <w:tc>
          <w:tcPr>
            <w:tcW w:w="240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eastAsia="zh-CN"/>
              </w:rPr>
            </w:pPr>
            <w:r>
              <w:fldChar w:fldCharType="begin"/>
            </w:r>
            <w:r>
              <w:instrText xml:space="preserve"> HYPERLINK "https://www.3gpp.org/ftp/TSG_RAN/WG4_Radio/TSGR4_101-bis-e/Docs/R4-2201850.zip" </w:instrText>
            </w:r>
            <w:r>
              <w:fldChar w:fldCharType="separate"/>
            </w:r>
            <w:r>
              <w:rPr>
                <w:rStyle w:val="55"/>
                <w:rFonts w:ascii="Arial" w:hAnsi="Arial" w:eastAsia="Yu Mincho" w:cs="Arial"/>
                <w:b/>
                <w:sz w:val="16"/>
                <w:szCs w:val="16"/>
              </w:rPr>
              <w:t>R4-2201850</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TP to TS 38.174 on RRM Timing Requirements</w:t>
            </w:r>
          </w:p>
        </w:tc>
        <w:tc>
          <w:tcPr>
            <w:tcW w:w="1418" w:type="dxa"/>
          </w:tcPr>
          <w:p>
            <w:pPr>
              <w:overflowPunct w:val="0"/>
              <w:autoSpaceDE w:val="0"/>
              <w:autoSpaceDN w:val="0"/>
              <w:adjustRightInd w:val="0"/>
              <w:textAlignment w:val="top"/>
              <w:rPr>
                <w:rFonts w:eastAsiaTheme="minorEastAsia"/>
                <w:i/>
                <w:color w:val="0070C0"/>
                <w:lang w:val="en-US" w:eastAsia="zh-CN"/>
              </w:rPr>
            </w:pPr>
            <w:r>
              <w:rPr>
                <w:rFonts w:ascii="Arial" w:hAnsi="Arial" w:eastAsia="Yu Mincho" w:cs="Arial"/>
                <w:color w:val="000000"/>
                <w:sz w:val="16"/>
                <w:szCs w:val="16"/>
                <w:lang w:val="en-US" w:eastAsia="zh-CN" w:bidi="ar"/>
              </w:rPr>
              <w:t>Nokia, Nokia Shanghai Bell</w:t>
            </w:r>
          </w:p>
        </w:tc>
        <w:tc>
          <w:tcPr>
            <w:tcW w:w="2409"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Merged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Theme="minorEastAsia"/>
                <w:color w:val="0070C0"/>
                <w:lang w:eastAsia="zh-CN"/>
              </w:rPr>
            </w:pPr>
            <w:r>
              <w:fldChar w:fldCharType="begin"/>
            </w:r>
            <w:r>
              <w:instrText xml:space="preserve"> HYPERLINK "https://www.3gpp.org/ftp/TSG_RAN/WG4_Radio/TSGR4_101-bis-e/Docs/R4-2202019.zip" </w:instrText>
            </w:r>
            <w:r>
              <w:fldChar w:fldCharType="separate"/>
            </w:r>
            <w:r>
              <w:rPr>
                <w:rStyle w:val="55"/>
                <w:rFonts w:ascii="Arial" w:hAnsi="Arial" w:eastAsia="Yu Mincho" w:cs="Arial"/>
                <w:b/>
                <w:sz w:val="16"/>
                <w:szCs w:val="16"/>
              </w:rPr>
              <w:t>R4-2202019</w:t>
            </w:r>
            <w:r>
              <w:rPr>
                <w:rStyle w:val="55"/>
                <w:rFonts w:ascii="Arial" w:hAnsi="Arial" w:eastAsia="Yu Mincho" w:cs="Arial"/>
                <w:b/>
                <w:sz w:val="16"/>
                <w:szCs w:val="16"/>
              </w:rPr>
              <w:fldChar w:fldCharType="end"/>
            </w:r>
          </w:p>
        </w:tc>
        <w:tc>
          <w:tcPr>
            <w:tcW w:w="2682" w:type="dxa"/>
          </w:tcPr>
          <w:p>
            <w:pPr>
              <w:overflowPunct w:val="0"/>
              <w:autoSpaceDE w:val="0"/>
              <w:autoSpaceDN w:val="0"/>
              <w:adjustRightInd w:val="0"/>
              <w:textAlignment w:val="top"/>
              <w:rPr>
                <w:rFonts w:eastAsiaTheme="minorEastAsia"/>
                <w:color w:val="0070C0"/>
                <w:lang w:val="en-US" w:eastAsia="zh-CN"/>
              </w:rPr>
            </w:pPr>
            <w:r>
              <w:rPr>
                <w:rFonts w:ascii="Arial" w:hAnsi="Arial" w:eastAsia="Yu Mincho" w:cs="Arial"/>
                <w:color w:val="000000"/>
                <w:sz w:val="16"/>
                <w:szCs w:val="16"/>
                <w:lang w:val="en-US" w:eastAsia="zh-CN" w:bidi="ar"/>
              </w:rPr>
              <w:t>Further analysis of RRM requirements for enhanced IAB</w:t>
            </w:r>
          </w:p>
        </w:tc>
        <w:tc>
          <w:tcPr>
            <w:tcW w:w="1418" w:type="dxa"/>
          </w:tcPr>
          <w:p>
            <w:pPr>
              <w:overflowPunct w:val="0"/>
              <w:autoSpaceDE w:val="0"/>
              <w:autoSpaceDN w:val="0"/>
              <w:adjustRightInd w:val="0"/>
              <w:textAlignment w:val="top"/>
              <w:rPr>
                <w:rFonts w:eastAsiaTheme="minorEastAsia"/>
                <w:i/>
                <w:color w:val="0070C0"/>
                <w:lang w:val="en-US" w:eastAsia="zh-CN"/>
              </w:rPr>
            </w:pPr>
            <w:r>
              <w:rPr>
                <w:rFonts w:ascii="Arial" w:hAnsi="Arial" w:eastAsia="Yu Mincho" w:cs="Arial"/>
                <w:color w:val="000000"/>
                <w:sz w:val="16"/>
                <w:szCs w:val="16"/>
                <w:lang w:val="en-US" w:eastAsia="zh-CN" w:bidi="ar"/>
              </w:rPr>
              <w:t>Ericsson</w:t>
            </w:r>
          </w:p>
        </w:tc>
        <w:tc>
          <w:tcPr>
            <w:tcW w:w="240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"https://www.3gpp.org/ftp/TSG_RAN/WG4_Radio/TSGR4_101-bis-e/Docs/R4-2203353.zip" </w:instrText>
            </w:r>
            <w:r>
              <w:fldChar w:fldCharType="separate"/>
            </w:r>
            <w:r>
              <w:rPr>
                <w:rStyle w:val="55"/>
                <w:rFonts w:eastAsia="Yu Mincho"/>
                <w:b/>
                <w:bCs/>
              </w:rPr>
              <w:t>R4-2203353</w:t>
            </w:r>
            <w:r>
              <w:rPr>
                <w:rStyle w:val="55"/>
                <w:rFonts w:eastAsia="Yu Mincho"/>
                <w:b/>
                <w:bCs/>
              </w:rPr>
              <w:fldChar w:fldCharType="end"/>
            </w:r>
          </w:p>
        </w:tc>
        <w:tc>
          <w:tcPr>
            <w:tcW w:w="2682"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p>
        </w:tc>
        <w:tc>
          <w:tcPr>
            <w:tcW w:w="1418"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Qualcomm</w:t>
            </w:r>
          </w:p>
        </w:tc>
        <w:tc>
          <w:tcPr>
            <w:tcW w:w="2409"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Noted or not treated?</w:t>
            </w:r>
          </w:p>
        </w:tc>
        <w:tc>
          <w:tcPr>
            <w:tcW w:w="1698" w:type="dxa"/>
          </w:tcPr>
          <w:p>
            <w:pPr>
              <w:overflowPunct w:val="0"/>
              <w:autoSpaceDE w:val="0"/>
              <w:autoSpaceDN w:val="0"/>
              <w:adjustRightInd w:val="0"/>
              <w:spacing w:after="120"/>
              <w:textAlignment w:val="baseline"/>
              <w:rPr>
                <w:rStyle w:val="55"/>
                <w:rFonts w:hint="eastAsia" w:eastAsia="Yu Mincho"/>
                <w:lang w:val="en-US" w:eastAsia="zh-CN"/>
              </w:rPr>
            </w:pPr>
            <w:r>
              <w:rPr>
                <w:rStyle w:val="55"/>
                <w:rFonts w:hint="eastAsia" w:eastAsia="Yu Mincho"/>
                <w:lang w:val="en-US" w:eastAsia="zh-CN"/>
              </w:rPr>
              <w:t>This is a late contribution.</w:t>
            </w:r>
          </w:p>
          <w:p>
            <w:pPr>
              <w:overflowPunct w:val="0"/>
              <w:autoSpaceDE w:val="0"/>
              <w:autoSpaceDN w:val="0"/>
              <w:adjustRightInd w:val="0"/>
              <w:spacing w:after="120"/>
              <w:textAlignment w:val="baseline"/>
              <w:rPr>
                <w:rStyle w:val="55"/>
                <w:rFonts w:hint="default" w:eastAsia="Yu Mincho"/>
                <w:lang w:val="en-US" w:eastAsia="zh-CN"/>
              </w:rPr>
            </w:pPr>
            <w:bookmarkStart w:id="2" w:name="_GoBack"/>
            <w:r>
              <w:rPr>
                <w:rStyle w:val="55"/>
                <w:rFonts w:hint="eastAsia" w:eastAsia="Yu Mincho"/>
                <w:sz w:val="15"/>
                <w:szCs w:val="15"/>
                <w:lang w:val="en-US" w:eastAsia="zh-CN"/>
              </w:rPr>
              <w:t xml:space="preserve">QC comment: </w:t>
            </w:r>
            <w:r>
              <w:rPr>
                <w:rStyle w:val="55"/>
                <w:rFonts w:hint="default" w:eastAsia="Yu Mincho"/>
                <w:sz w:val="15"/>
                <w:szCs w:val="15"/>
                <w:lang w:val="en-US" w:eastAsia="zh-CN"/>
              </w:rPr>
              <w:t>“</w:t>
            </w:r>
            <w:r>
              <w:rPr>
                <w:rFonts w:hint="default" w:ascii="Times New Roman" w:hAnsi="Times New Roman" w:eastAsia="宋体" w:cs="Times New Roman"/>
                <w:b w:val="0"/>
                <w:i w:val="0"/>
                <w:caps w:val="0"/>
                <w:color w:val="000000"/>
                <w:spacing w:val="0"/>
                <w:sz w:val="18"/>
                <w:szCs w:val="18"/>
                <w:shd w:val="clear" w:fill="FFFFFF"/>
              </w:rPr>
              <w:t>I want to mention that we reserved the document number before the submission deadline. However, we ran into some difficulty uploading Tdoc thus had to ask for Carolyn’s help for uploading the next day. This said, we agree with your decision either treating this contribution or not for this meeting.</w:t>
            </w:r>
            <w:r>
              <w:rPr>
                <w:rStyle w:val="55"/>
                <w:rFonts w:hint="default" w:eastAsia="Yu Mincho"/>
                <w:sz w:val="15"/>
                <w:szCs w:val="15"/>
                <w:lang w:val="en-US" w:eastAsia="zh-CN"/>
              </w:rPr>
              <w:t>”</w:t>
            </w:r>
            <w:bookmarkEnd w:id="2"/>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ascii="Arial" w:hAnsi="Arial"/>
          <w:lang w:val="en-US" w:eastAsia="zh-CN"/>
        </w:rPr>
      </w:pP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Corporation</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Richie Leo</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Richie.leo@zte.com.cn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Muhammad Kazmi</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Muhammad.kazmi@ericsson.com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w:t>
            </w:r>
            <w:r>
              <w:rPr>
                <w:rFonts w:eastAsiaTheme="minorEastAsia"/>
                <w:color w:val="0070C0"/>
                <w:lang w:val="en-US" w:eastAsia="zh-CN"/>
              </w:rPr>
              <w:t>hongyi Shen</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"mailto:shenzhongyi3@huawei.com" </w:instrText>
            </w:r>
            <w:r>
              <w:fldChar w:fldCharType="separate"/>
            </w:r>
            <w:r>
              <w:rPr>
                <w:rStyle w:val="55"/>
                <w:rFonts w:eastAsiaTheme="minorEastAsia"/>
                <w:lang w:val="en-US" w:eastAsia="zh-CN"/>
              </w:rPr>
              <w:t>shenzhongyi3@huawei.com</w:t>
            </w:r>
            <w:r>
              <w:rPr>
                <w:rStyle w:val="55"/>
                <w:rFonts w:eastAsiaTheme="minorEastAsia"/>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Dmitry Petrov</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"mailto:Dmitry.a.petrov@nokia-bell-labs.com" </w:instrText>
            </w:r>
            <w:r>
              <w:fldChar w:fldCharType="separate"/>
            </w:r>
            <w:r>
              <w:rPr>
                <w:rStyle w:val="55"/>
                <w:rFonts w:eastAsiaTheme="minorEastAsia"/>
                <w:lang w:val="en-US" w:eastAsia="zh-CN"/>
              </w:rPr>
              <w:t>Dmitry.a.petrov@nokia-bell-labs.com</w:t>
            </w:r>
            <w:r>
              <w:rPr>
                <w:rStyle w:val="55"/>
                <w:rFonts w:eastAsiaTheme="minorEastAsia"/>
                <w:lang w:val="en-US" w:eastAsia="zh-CN"/>
              </w:rPr>
              <w:fldChar w:fldCharType="end"/>
            </w:r>
            <w:r>
              <w:rPr>
                <w:rFonts w:eastAsiaTheme="minorEastAsia"/>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Yu Mincho"/>
                <w:color w:val="0070C0"/>
                <w:lang w:val="en-GB" w:eastAsia="zh-CN"/>
              </w:rPr>
            </w:pPr>
            <w:r>
              <w:rPr>
                <w:rFonts w:eastAsiaTheme="minorEastAsia"/>
                <w:color w:val="0070C0"/>
                <w:lang w:eastAsia="zh-CN"/>
              </w:rPr>
              <w:t>Samsung</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Yankun Li</w:t>
            </w:r>
          </w:p>
        </w:tc>
        <w:tc>
          <w:tcPr>
            <w:tcW w:w="3211" w:type="dxa"/>
          </w:tcPr>
          <w:p>
            <w:pPr>
              <w:overflowPunct w:val="0"/>
              <w:autoSpaceDE w:val="0"/>
              <w:autoSpaceDN w:val="0"/>
              <w:adjustRightInd w:val="0"/>
              <w:spacing w:after="120"/>
              <w:textAlignment w:val="baseline"/>
              <w:rPr>
                <w:rStyle w:val="55"/>
                <w:rFonts w:eastAsiaTheme="minorEastAsia"/>
                <w:lang w:val="en-US" w:eastAsia="zh-CN"/>
              </w:rPr>
            </w:pPr>
            <w:r>
              <w:rPr>
                <w:rStyle w:val="55"/>
                <w:rFonts w:eastAsiaTheme="minorEastAsia"/>
                <w:lang w:val="en-US" w:eastAsia="zh-CN"/>
              </w:rPr>
              <w:t>Yankun.li@samsung.com</w:t>
            </w: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rFonts w:ascii="Arial" w:hAnsi="Arial"/>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A2B5210"/>
    <w:multiLevelType w:val="multilevel"/>
    <w:tmpl w:val="0A2B52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2B73434"/>
    <w:multiLevelType w:val="multilevel"/>
    <w:tmpl w:val="12B734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F566489"/>
    <w:multiLevelType w:val="multilevel"/>
    <w:tmpl w:val="1F56648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46B43B9D"/>
    <w:multiLevelType w:val="multilevel"/>
    <w:tmpl w:val="46B43B9D"/>
    <w:lvl w:ilvl="0" w:tentative="0">
      <w:start w:val="1"/>
      <w:numFmt w:val="decimal"/>
      <w:pStyle w:val="155"/>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0">
    <w:nsid w:val="7B025A59"/>
    <w:multiLevelType w:val="multilevel"/>
    <w:tmpl w:val="7B025A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6"/>
  </w:num>
  <w:num w:numId="2">
    <w:abstractNumId w:val="8"/>
  </w:num>
  <w:num w:numId="3">
    <w:abstractNumId w:val="7"/>
  </w:num>
  <w:num w:numId="4">
    <w:abstractNumId w:val="11"/>
  </w:num>
  <w:num w:numId="5">
    <w:abstractNumId w:val="7"/>
    <w:lvlOverride w:ilvl="0">
      <w:startOverride w:val="1"/>
    </w:lvlOverride>
  </w:num>
  <w:num w:numId="6">
    <w:abstractNumId w:val="8"/>
    <w:lvlOverride w:ilvl="0">
      <w:startOverride w:val="1"/>
    </w:lvlOverride>
  </w:num>
  <w:num w:numId="7">
    <w:abstractNumId w:val="4"/>
  </w:num>
  <w:num w:numId="8">
    <w:abstractNumId w:val="1"/>
  </w:num>
  <w:num w:numId="9">
    <w:abstractNumId w:val="9"/>
  </w:num>
  <w:num w:numId="10">
    <w:abstractNumId w:val="10"/>
  </w:num>
  <w:num w:numId="11">
    <w:abstractNumId w:val="2"/>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WyNLawMDYzN7BU0lEKTi0uzszPAykwrwUAJJOIECwAAAA="/>
  </w:docVars>
  <w:rsids>
    <w:rsidRoot w:val="00282213"/>
    <w:rsid w:val="00000265"/>
    <w:rsid w:val="00004165"/>
    <w:rsid w:val="00016FEF"/>
    <w:rsid w:val="00020C56"/>
    <w:rsid w:val="00024BCD"/>
    <w:rsid w:val="00026ACC"/>
    <w:rsid w:val="00030651"/>
    <w:rsid w:val="0003161C"/>
    <w:rsid w:val="0003171D"/>
    <w:rsid w:val="00031C1D"/>
    <w:rsid w:val="00033497"/>
    <w:rsid w:val="0003535A"/>
    <w:rsid w:val="00035C50"/>
    <w:rsid w:val="000457A1"/>
    <w:rsid w:val="00050001"/>
    <w:rsid w:val="00052041"/>
    <w:rsid w:val="000529E6"/>
    <w:rsid w:val="0005326A"/>
    <w:rsid w:val="00057D41"/>
    <w:rsid w:val="00060C05"/>
    <w:rsid w:val="0006266D"/>
    <w:rsid w:val="00065506"/>
    <w:rsid w:val="0007382E"/>
    <w:rsid w:val="000766E1"/>
    <w:rsid w:val="00077FF6"/>
    <w:rsid w:val="00080D82"/>
    <w:rsid w:val="00081692"/>
    <w:rsid w:val="00082C46"/>
    <w:rsid w:val="00085A0E"/>
    <w:rsid w:val="00087548"/>
    <w:rsid w:val="00093E7E"/>
    <w:rsid w:val="000A0FCA"/>
    <w:rsid w:val="000A177F"/>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5301"/>
    <w:rsid w:val="001007E5"/>
    <w:rsid w:val="00107927"/>
    <w:rsid w:val="00110E26"/>
    <w:rsid w:val="00111321"/>
    <w:rsid w:val="00113A41"/>
    <w:rsid w:val="00117BD6"/>
    <w:rsid w:val="001206C2"/>
    <w:rsid w:val="00121978"/>
    <w:rsid w:val="00123422"/>
    <w:rsid w:val="00124B6A"/>
    <w:rsid w:val="00135E4A"/>
    <w:rsid w:val="00136D4C"/>
    <w:rsid w:val="00141A36"/>
    <w:rsid w:val="00142538"/>
    <w:rsid w:val="00142BB9"/>
    <w:rsid w:val="00144F96"/>
    <w:rsid w:val="00151EAC"/>
    <w:rsid w:val="00153528"/>
    <w:rsid w:val="00154E68"/>
    <w:rsid w:val="00156422"/>
    <w:rsid w:val="00162548"/>
    <w:rsid w:val="00165BDE"/>
    <w:rsid w:val="00166450"/>
    <w:rsid w:val="00166E60"/>
    <w:rsid w:val="00172183"/>
    <w:rsid w:val="001733AC"/>
    <w:rsid w:val="001751AB"/>
    <w:rsid w:val="00175A3F"/>
    <w:rsid w:val="00180E09"/>
    <w:rsid w:val="00183D4C"/>
    <w:rsid w:val="00183F6D"/>
    <w:rsid w:val="0018670E"/>
    <w:rsid w:val="0019219A"/>
    <w:rsid w:val="00195077"/>
    <w:rsid w:val="001A033F"/>
    <w:rsid w:val="001A08AA"/>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05223"/>
    <w:rsid w:val="002138EA"/>
    <w:rsid w:val="00213F84"/>
    <w:rsid w:val="00214FBD"/>
    <w:rsid w:val="002211E9"/>
    <w:rsid w:val="00222897"/>
    <w:rsid w:val="00222B0C"/>
    <w:rsid w:val="00224FAF"/>
    <w:rsid w:val="002337E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6BC"/>
    <w:rsid w:val="00294BDE"/>
    <w:rsid w:val="002A0CED"/>
    <w:rsid w:val="002A4306"/>
    <w:rsid w:val="002A4CD0"/>
    <w:rsid w:val="002A4D29"/>
    <w:rsid w:val="002A7828"/>
    <w:rsid w:val="002A7DA6"/>
    <w:rsid w:val="002B516C"/>
    <w:rsid w:val="002B5BC6"/>
    <w:rsid w:val="002B5E1D"/>
    <w:rsid w:val="002B60C1"/>
    <w:rsid w:val="002B635D"/>
    <w:rsid w:val="002C244C"/>
    <w:rsid w:val="002C3BA7"/>
    <w:rsid w:val="002C4B52"/>
    <w:rsid w:val="002D03E5"/>
    <w:rsid w:val="002D36EB"/>
    <w:rsid w:val="002D6BDF"/>
    <w:rsid w:val="002E2CE9"/>
    <w:rsid w:val="002E3320"/>
    <w:rsid w:val="002E3BF7"/>
    <w:rsid w:val="002E403E"/>
    <w:rsid w:val="002E4C74"/>
    <w:rsid w:val="002E7807"/>
    <w:rsid w:val="002F158C"/>
    <w:rsid w:val="002F3BA8"/>
    <w:rsid w:val="002F4093"/>
    <w:rsid w:val="002F5636"/>
    <w:rsid w:val="002F72EA"/>
    <w:rsid w:val="003022A5"/>
    <w:rsid w:val="00307E51"/>
    <w:rsid w:val="00311363"/>
    <w:rsid w:val="00315867"/>
    <w:rsid w:val="0031592C"/>
    <w:rsid w:val="00321150"/>
    <w:rsid w:val="00323198"/>
    <w:rsid w:val="003260D7"/>
    <w:rsid w:val="0032706F"/>
    <w:rsid w:val="003321B9"/>
    <w:rsid w:val="00332E82"/>
    <w:rsid w:val="00334A4C"/>
    <w:rsid w:val="00335B9B"/>
    <w:rsid w:val="00336697"/>
    <w:rsid w:val="003418CB"/>
    <w:rsid w:val="00344D92"/>
    <w:rsid w:val="00354750"/>
    <w:rsid w:val="00355873"/>
    <w:rsid w:val="0035660F"/>
    <w:rsid w:val="003628B9"/>
    <w:rsid w:val="00362D8F"/>
    <w:rsid w:val="00365395"/>
    <w:rsid w:val="00367724"/>
    <w:rsid w:val="003710BA"/>
    <w:rsid w:val="003770F6"/>
    <w:rsid w:val="00383E37"/>
    <w:rsid w:val="00393042"/>
    <w:rsid w:val="00393F89"/>
    <w:rsid w:val="00394AD5"/>
    <w:rsid w:val="0039642D"/>
    <w:rsid w:val="003A2E40"/>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40EE"/>
    <w:rsid w:val="003F1C1B"/>
    <w:rsid w:val="003F3A2F"/>
    <w:rsid w:val="003F6983"/>
    <w:rsid w:val="00401144"/>
    <w:rsid w:val="00404831"/>
    <w:rsid w:val="00407661"/>
    <w:rsid w:val="00410314"/>
    <w:rsid w:val="00411CBA"/>
    <w:rsid w:val="00412063"/>
    <w:rsid w:val="00412EB1"/>
    <w:rsid w:val="00413DDE"/>
    <w:rsid w:val="00414118"/>
    <w:rsid w:val="00416084"/>
    <w:rsid w:val="004204E1"/>
    <w:rsid w:val="00424F8C"/>
    <w:rsid w:val="004271BA"/>
    <w:rsid w:val="00430497"/>
    <w:rsid w:val="00430EA5"/>
    <w:rsid w:val="00430F4D"/>
    <w:rsid w:val="00434BE4"/>
    <w:rsid w:val="00434DC1"/>
    <w:rsid w:val="004350F4"/>
    <w:rsid w:val="004412A0"/>
    <w:rsid w:val="00442337"/>
    <w:rsid w:val="00446408"/>
    <w:rsid w:val="00450F27"/>
    <w:rsid w:val="004510E5"/>
    <w:rsid w:val="00456A75"/>
    <w:rsid w:val="00461E39"/>
    <w:rsid w:val="00462D3A"/>
    <w:rsid w:val="00463521"/>
    <w:rsid w:val="00467033"/>
    <w:rsid w:val="0047096A"/>
    <w:rsid w:val="00471125"/>
    <w:rsid w:val="0047437A"/>
    <w:rsid w:val="00475B21"/>
    <w:rsid w:val="00477DA0"/>
    <w:rsid w:val="00480E42"/>
    <w:rsid w:val="00481CC4"/>
    <w:rsid w:val="00484C5D"/>
    <w:rsid w:val="0048543E"/>
    <w:rsid w:val="0048597E"/>
    <w:rsid w:val="004868C1"/>
    <w:rsid w:val="0048750F"/>
    <w:rsid w:val="00492BCA"/>
    <w:rsid w:val="004A495F"/>
    <w:rsid w:val="004A7544"/>
    <w:rsid w:val="004B0C21"/>
    <w:rsid w:val="004B6B0F"/>
    <w:rsid w:val="004C08A8"/>
    <w:rsid w:val="004C1F96"/>
    <w:rsid w:val="004C54E5"/>
    <w:rsid w:val="004C7DC8"/>
    <w:rsid w:val="004D21B0"/>
    <w:rsid w:val="004D44BC"/>
    <w:rsid w:val="004D737D"/>
    <w:rsid w:val="004E2659"/>
    <w:rsid w:val="004E39EE"/>
    <w:rsid w:val="004E4578"/>
    <w:rsid w:val="004E475C"/>
    <w:rsid w:val="004E56E0"/>
    <w:rsid w:val="004E7329"/>
    <w:rsid w:val="004F0038"/>
    <w:rsid w:val="004F035C"/>
    <w:rsid w:val="004F2CB0"/>
    <w:rsid w:val="005017F7"/>
    <w:rsid w:val="00501FA7"/>
    <w:rsid w:val="005034DC"/>
    <w:rsid w:val="00503B1F"/>
    <w:rsid w:val="00505BFA"/>
    <w:rsid w:val="005071B4"/>
    <w:rsid w:val="00507687"/>
    <w:rsid w:val="005114F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3789"/>
    <w:rsid w:val="00552F85"/>
    <w:rsid w:val="00555802"/>
    <w:rsid w:val="005655F1"/>
    <w:rsid w:val="00571777"/>
    <w:rsid w:val="00580FF5"/>
    <w:rsid w:val="0058519C"/>
    <w:rsid w:val="0059149A"/>
    <w:rsid w:val="005956EE"/>
    <w:rsid w:val="005A083E"/>
    <w:rsid w:val="005A77FB"/>
    <w:rsid w:val="005A7E9C"/>
    <w:rsid w:val="005B1310"/>
    <w:rsid w:val="005B233A"/>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1886"/>
    <w:rsid w:val="006144A1"/>
    <w:rsid w:val="00615B35"/>
    <w:rsid w:val="00615EBB"/>
    <w:rsid w:val="00616096"/>
    <w:rsid w:val="006160A2"/>
    <w:rsid w:val="0062325C"/>
    <w:rsid w:val="0062465B"/>
    <w:rsid w:val="006302AA"/>
    <w:rsid w:val="00632164"/>
    <w:rsid w:val="00633FBF"/>
    <w:rsid w:val="006363BD"/>
    <w:rsid w:val="006412DC"/>
    <w:rsid w:val="00642BC6"/>
    <w:rsid w:val="00644790"/>
    <w:rsid w:val="006501AF"/>
    <w:rsid w:val="00650DDE"/>
    <w:rsid w:val="0065505B"/>
    <w:rsid w:val="006573FF"/>
    <w:rsid w:val="00666383"/>
    <w:rsid w:val="006670AC"/>
    <w:rsid w:val="00672307"/>
    <w:rsid w:val="006808C6"/>
    <w:rsid w:val="0068093E"/>
    <w:rsid w:val="00682668"/>
    <w:rsid w:val="00692A68"/>
    <w:rsid w:val="00695214"/>
    <w:rsid w:val="00695D59"/>
    <w:rsid w:val="00695D85"/>
    <w:rsid w:val="006A0423"/>
    <w:rsid w:val="006A30A2"/>
    <w:rsid w:val="006A3D78"/>
    <w:rsid w:val="006A4D46"/>
    <w:rsid w:val="006A6D23"/>
    <w:rsid w:val="006B25DE"/>
    <w:rsid w:val="006B3D8E"/>
    <w:rsid w:val="006C0930"/>
    <w:rsid w:val="006C1C3B"/>
    <w:rsid w:val="006C29B8"/>
    <w:rsid w:val="006C4E43"/>
    <w:rsid w:val="006C643E"/>
    <w:rsid w:val="006D2932"/>
    <w:rsid w:val="006D3671"/>
    <w:rsid w:val="006D3CBE"/>
    <w:rsid w:val="006D404E"/>
    <w:rsid w:val="006D4176"/>
    <w:rsid w:val="006E0A73"/>
    <w:rsid w:val="006E0FEE"/>
    <w:rsid w:val="006E2CC4"/>
    <w:rsid w:val="006E42E8"/>
    <w:rsid w:val="006E6C11"/>
    <w:rsid w:val="006F20BA"/>
    <w:rsid w:val="006F7C0C"/>
    <w:rsid w:val="00700755"/>
    <w:rsid w:val="00701E41"/>
    <w:rsid w:val="0070646B"/>
    <w:rsid w:val="007130A2"/>
    <w:rsid w:val="00715463"/>
    <w:rsid w:val="00717153"/>
    <w:rsid w:val="007270EF"/>
    <w:rsid w:val="00730655"/>
    <w:rsid w:val="00731D77"/>
    <w:rsid w:val="00732360"/>
    <w:rsid w:val="0073390A"/>
    <w:rsid w:val="00734E64"/>
    <w:rsid w:val="00736B37"/>
    <w:rsid w:val="00740A35"/>
    <w:rsid w:val="00745E50"/>
    <w:rsid w:val="007520B4"/>
    <w:rsid w:val="007655D5"/>
    <w:rsid w:val="00765F71"/>
    <w:rsid w:val="007760C5"/>
    <w:rsid w:val="007763C1"/>
    <w:rsid w:val="00777E82"/>
    <w:rsid w:val="00781347"/>
    <w:rsid w:val="00781359"/>
    <w:rsid w:val="007834BC"/>
    <w:rsid w:val="00786921"/>
    <w:rsid w:val="00793D00"/>
    <w:rsid w:val="007A0346"/>
    <w:rsid w:val="007A1EAA"/>
    <w:rsid w:val="007A40A3"/>
    <w:rsid w:val="007A79FD"/>
    <w:rsid w:val="007B0B9D"/>
    <w:rsid w:val="007B1D36"/>
    <w:rsid w:val="007B26E3"/>
    <w:rsid w:val="007B5A43"/>
    <w:rsid w:val="007B6109"/>
    <w:rsid w:val="007B709B"/>
    <w:rsid w:val="007C1343"/>
    <w:rsid w:val="007C5EF1"/>
    <w:rsid w:val="007C7BF5"/>
    <w:rsid w:val="007D19B7"/>
    <w:rsid w:val="007D75E5"/>
    <w:rsid w:val="007D773E"/>
    <w:rsid w:val="007E066E"/>
    <w:rsid w:val="007E1356"/>
    <w:rsid w:val="007E20FC"/>
    <w:rsid w:val="007E6B39"/>
    <w:rsid w:val="007E7062"/>
    <w:rsid w:val="007F08E3"/>
    <w:rsid w:val="007F0E1E"/>
    <w:rsid w:val="007F29A7"/>
    <w:rsid w:val="008004B4"/>
    <w:rsid w:val="00801263"/>
    <w:rsid w:val="008031FD"/>
    <w:rsid w:val="00805BE8"/>
    <w:rsid w:val="00816078"/>
    <w:rsid w:val="0081759C"/>
    <w:rsid w:val="008177E3"/>
    <w:rsid w:val="00821186"/>
    <w:rsid w:val="00823AA9"/>
    <w:rsid w:val="008255B9"/>
    <w:rsid w:val="00825CD8"/>
    <w:rsid w:val="00827324"/>
    <w:rsid w:val="00835FF4"/>
    <w:rsid w:val="00837458"/>
    <w:rsid w:val="008377EA"/>
    <w:rsid w:val="00837AAE"/>
    <w:rsid w:val="008429AD"/>
    <w:rsid w:val="008429DB"/>
    <w:rsid w:val="008502D0"/>
    <w:rsid w:val="00850C75"/>
    <w:rsid w:val="00850E39"/>
    <w:rsid w:val="00852F28"/>
    <w:rsid w:val="0085477A"/>
    <w:rsid w:val="00855107"/>
    <w:rsid w:val="00855173"/>
    <w:rsid w:val="008557D9"/>
    <w:rsid w:val="00855BF7"/>
    <w:rsid w:val="00856214"/>
    <w:rsid w:val="00857F8F"/>
    <w:rsid w:val="00862089"/>
    <w:rsid w:val="00864D85"/>
    <w:rsid w:val="00866D5B"/>
    <w:rsid w:val="00866FF5"/>
    <w:rsid w:val="00867ECC"/>
    <w:rsid w:val="0087332D"/>
    <w:rsid w:val="00873E1F"/>
    <w:rsid w:val="00874C16"/>
    <w:rsid w:val="00884BBD"/>
    <w:rsid w:val="00886D1F"/>
    <w:rsid w:val="00891EE1"/>
    <w:rsid w:val="00893987"/>
    <w:rsid w:val="008963EF"/>
    <w:rsid w:val="0089688E"/>
    <w:rsid w:val="008A1F15"/>
    <w:rsid w:val="008A1FBE"/>
    <w:rsid w:val="008A2B12"/>
    <w:rsid w:val="008B3194"/>
    <w:rsid w:val="008B5AE7"/>
    <w:rsid w:val="008C60E9"/>
    <w:rsid w:val="008C7175"/>
    <w:rsid w:val="008D1959"/>
    <w:rsid w:val="008D1B7C"/>
    <w:rsid w:val="008D447A"/>
    <w:rsid w:val="008D6657"/>
    <w:rsid w:val="008D6F87"/>
    <w:rsid w:val="008E1F60"/>
    <w:rsid w:val="008E307E"/>
    <w:rsid w:val="008F4DD1"/>
    <w:rsid w:val="008F6056"/>
    <w:rsid w:val="00902C07"/>
    <w:rsid w:val="009036EE"/>
    <w:rsid w:val="00905804"/>
    <w:rsid w:val="009101E2"/>
    <w:rsid w:val="00915D73"/>
    <w:rsid w:val="00916077"/>
    <w:rsid w:val="009170A2"/>
    <w:rsid w:val="00917900"/>
    <w:rsid w:val="009208A6"/>
    <w:rsid w:val="00924514"/>
    <w:rsid w:val="00927316"/>
    <w:rsid w:val="0093133D"/>
    <w:rsid w:val="0093276D"/>
    <w:rsid w:val="0093391D"/>
    <w:rsid w:val="00933D12"/>
    <w:rsid w:val="00937065"/>
    <w:rsid w:val="00940285"/>
    <w:rsid w:val="009415B0"/>
    <w:rsid w:val="00942ABF"/>
    <w:rsid w:val="00947E7E"/>
    <w:rsid w:val="0095139A"/>
    <w:rsid w:val="00953E16"/>
    <w:rsid w:val="009542AC"/>
    <w:rsid w:val="00961BB2"/>
    <w:rsid w:val="00962108"/>
    <w:rsid w:val="009638D6"/>
    <w:rsid w:val="0097408E"/>
    <w:rsid w:val="00974BB2"/>
    <w:rsid w:val="00974FA7"/>
    <w:rsid w:val="009756E5"/>
    <w:rsid w:val="00976C7F"/>
    <w:rsid w:val="00977A8C"/>
    <w:rsid w:val="00983910"/>
    <w:rsid w:val="0098614F"/>
    <w:rsid w:val="00990DB5"/>
    <w:rsid w:val="009932AC"/>
    <w:rsid w:val="009936CD"/>
    <w:rsid w:val="00994351"/>
    <w:rsid w:val="00996A8F"/>
    <w:rsid w:val="009A0263"/>
    <w:rsid w:val="009A1DBF"/>
    <w:rsid w:val="009A68E6"/>
    <w:rsid w:val="009A7598"/>
    <w:rsid w:val="009B0700"/>
    <w:rsid w:val="009B1DF8"/>
    <w:rsid w:val="009B3D20"/>
    <w:rsid w:val="009B5418"/>
    <w:rsid w:val="009C0727"/>
    <w:rsid w:val="009C3C80"/>
    <w:rsid w:val="009C492F"/>
    <w:rsid w:val="009C54FC"/>
    <w:rsid w:val="009D2FF2"/>
    <w:rsid w:val="009D3226"/>
    <w:rsid w:val="009D3385"/>
    <w:rsid w:val="009D793C"/>
    <w:rsid w:val="009E16A9"/>
    <w:rsid w:val="009E2465"/>
    <w:rsid w:val="009E375F"/>
    <w:rsid w:val="009E39D4"/>
    <w:rsid w:val="009E433B"/>
    <w:rsid w:val="009E5401"/>
    <w:rsid w:val="009E764C"/>
    <w:rsid w:val="00A039C4"/>
    <w:rsid w:val="00A04930"/>
    <w:rsid w:val="00A0758F"/>
    <w:rsid w:val="00A14735"/>
    <w:rsid w:val="00A1570A"/>
    <w:rsid w:val="00A20D43"/>
    <w:rsid w:val="00A211B4"/>
    <w:rsid w:val="00A33DDF"/>
    <w:rsid w:val="00A34547"/>
    <w:rsid w:val="00A352A4"/>
    <w:rsid w:val="00A376B7"/>
    <w:rsid w:val="00A41AE8"/>
    <w:rsid w:val="00A41BF5"/>
    <w:rsid w:val="00A44778"/>
    <w:rsid w:val="00A44925"/>
    <w:rsid w:val="00A469E7"/>
    <w:rsid w:val="00A530FE"/>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197E"/>
    <w:rsid w:val="00AD3A2D"/>
    <w:rsid w:val="00AD7736"/>
    <w:rsid w:val="00AE10CE"/>
    <w:rsid w:val="00AE52D4"/>
    <w:rsid w:val="00AE70D4"/>
    <w:rsid w:val="00AE7868"/>
    <w:rsid w:val="00AF0407"/>
    <w:rsid w:val="00AF4D8B"/>
    <w:rsid w:val="00B02C40"/>
    <w:rsid w:val="00B067CA"/>
    <w:rsid w:val="00B12B26"/>
    <w:rsid w:val="00B163F8"/>
    <w:rsid w:val="00B238A6"/>
    <w:rsid w:val="00B2472D"/>
    <w:rsid w:val="00B24CA0"/>
    <w:rsid w:val="00B2549F"/>
    <w:rsid w:val="00B4108D"/>
    <w:rsid w:val="00B41956"/>
    <w:rsid w:val="00B57265"/>
    <w:rsid w:val="00B61B6B"/>
    <w:rsid w:val="00B633AE"/>
    <w:rsid w:val="00B665D2"/>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A7308"/>
    <w:rsid w:val="00BB14F1"/>
    <w:rsid w:val="00BB572E"/>
    <w:rsid w:val="00BB74FD"/>
    <w:rsid w:val="00BC5982"/>
    <w:rsid w:val="00BC60BF"/>
    <w:rsid w:val="00BD116C"/>
    <w:rsid w:val="00BD28BF"/>
    <w:rsid w:val="00BD6404"/>
    <w:rsid w:val="00BE2AD6"/>
    <w:rsid w:val="00BE33AE"/>
    <w:rsid w:val="00BF046F"/>
    <w:rsid w:val="00BF3FDE"/>
    <w:rsid w:val="00BF533B"/>
    <w:rsid w:val="00C01D50"/>
    <w:rsid w:val="00C056DC"/>
    <w:rsid w:val="00C1329B"/>
    <w:rsid w:val="00C1572F"/>
    <w:rsid w:val="00C16BB5"/>
    <w:rsid w:val="00C17268"/>
    <w:rsid w:val="00C17972"/>
    <w:rsid w:val="00C24C05"/>
    <w:rsid w:val="00C24D2F"/>
    <w:rsid w:val="00C26222"/>
    <w:rsid w:val="00C31283"/>
    <w:rsid w:val="00C33C48"/>
    <w:rsid w:val="00C340E5"/>
    <w:rsid w:val="00C35AA7"/>
    <w:rsid w:val="00C35C08"/>
    <w:rsid w:val="00C41D40"/>
    <w:rsid w:val="00C43BA1"/>
    <w:rsid w:val="00C43DAB"/>
    <w:rsid w:val="00C47F08"/>
    <w:rsid w:val="00C514A6"/>
    <w:rsid w:val="00C531B1"/>
    <w:rsid w:val="00C5739F"/>
    <w:rsid w:val="00C57CF0"/>
    <w:rsid w:val="00C63557"/>
    <w:rsid w:val="00C63BDC"/>
    <w:rsid w:val="00C649BD"/>
    <w:rsid w:val="00C65891"/>
    <w:rsid w:val="00C66AC9"/>
    <w:rsid w:val="00C675FA"/>
    <w:rsid w:val="00C724D3"/>
    <w:rsid w:val="00C727D2"/>
    <w:rsid w:val="00C77DD9"/>
    <w:rsid w:val="00C81BB5"/>
    <w:rsid w:val="00C81BB6"/>
    <w:rsid w:val="00C83781"/>
    <w:rsid w:val="00C83BE6"/>
    <w:rsid w:val="00C85354"/>
    <w:rsid w:val="00C86ABA"/>
    <w:rsid w:val="00C943F3"/>
    <w:rsid w:val="00CA08C6"/>
    <w:rsid w:val="00CA0A77"/>
    <w:rsid w:val="00CA2729"/>
    <w:rsid w:val="00CA3057"/>
    <w:rsid w:val="00CA45F8"/>
    <w:rsid w:val="00CA7681"/>
    <w:rsid w:val="00CB0305"/>
    <w:rsid w:val="00CB33C7"/>
    <w:rsid w:val="00CB6DA7"/>
    <w:rsid w:val="00CB7E4C"/>
    <w:rsid w:val="00CC25B4"/>
    <w:rsid w:val="00CC5F88"/>
    <w:rsid w:val="00CC69C8"/>
    <w:rsid w:val="00CC7196"/>
    <w:rsid w:val="00CC77A2"/>
    <w:rsid w:val="00CC7F34"/>
    <w:rsid w:val="00CD307E"/>
    <w:rsid w:val="00CD5C54"/>
    <w:rsid w:val="00CD629F"/>
    <w:rsid w:val="00CD6A1B"/>
    <w:rsid w:val="00CE0A7F"/>
    <w:rsid w:val="00CE1718"/>
    <w:rsid w:val="00CF0E62"/>
    <w:rsid w:val="00CF4156"/>
    <w:rsid w:val="00D001A9"/>
    <w:rsid w:val="00D0036C"/>
    <w:rsid w:val="00D0393D"/>
    <w:rsid w:val="00D03D00"/>
    <w:rsid w:val="00D05C30"/>
    <w:rsid w:val="00D07F9C"/>
    <w:rsid w:val="00D10052"/>
    <w:rsid w:val="00D11359"/>
    <w:rsid w:val="00D118B1"/>
    <w:rsid w:val="00D15344"/>
    <w:rsid w:val="00D26B2F"/>
    <w:rsid w:val="00D27917"/>
    <w:rsid w:val="00D3188C"/>
    <w:rsid w:val="00D34CF4"/>
    <w:rsid w:val="00D35F9B"/>
    <w:rsid w:val="00D36B69"/>
    <w:rsid w:val="00D408DD"/>
    <w:rsid w:val="00D45D72"/>
    <w:rsid w:val="00D51258"/>
    <w:rsid w:val="00D520E4"/>
    <w:rsid w:val="00D53A38"/>
    <w:rsid w:val="00D575DD"/>
    <w:rsid w:val="00D57DFA"/>
    <w:rsid w:val="00D67FCF"/>
    <w:rsid w:val="00D709CE"/>
    <w:rsid w:val="00D71F73"/>
    <w:rsid w:val="00D73532"/>
    <w:rsid w:val="00D80786"/>
    <w:rsid w:val="00D81CAB"/>
    <w:rsid w:val="00D848D9"/>
    <w:rsid w:val="00D8576F"/>
    <w:rsid w:val="00D8677F"/>
    <w:rsid w:val="00D97F0C"/>
    <w:rsid w:val="00DA3A86"/>
    <w:rsid w:val="00DC0A6C"/>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FE"/>
    <w:rsid w:val="00E04B84"/>
    <w:rsid w:val="00E06466"/>
    <w:rsid w:val="00E06835"/>
    <w:rsid w:val="00E06FDA"/>
    <w:rsid w:val="00E1116C"/>
    <w:rsid w:val="00E13DFD"/>
    <w:rsid w:val="00E15808"/>
    <w:rsid w:val="00E160A5"/>
    <w:rsid w:val="00E1713D"/>
    <w:rsid w:val="00E20A43"/>
    <w:rsid w:val="00E2357E"/>
    <w:rsid w:val="00E23898"/>
    <w:rsid w:val="00E27122"/>
    <w:rsid w:val="00E27F51"/>
    <w:rsid w:val="00E30523"/>
    <w:rsid w:val="00E319F1"/>
    <w:rsid w:val="00E33CD2"/>
    <w:rsid w:val="00E40E90"/>
    <w:rsid w:val="00E45C7E"/>
    <w:rsid w:val="00E531EB"/>
    <w:rsid w:val="00E53FF7"/>
    <w:rsid w:val="00E54874"/>
    <w:rsid w:val="00E54B6F"/>
    <w:rsid w:val="00E55ACA"/>
    <w:rsid w:val="00E57B74"/>
    <w:rsid w:val="00E611B7"/>
    <w:rsid w:val="00E64D6B"/>
    <w:rsid w:val="00E652C2"/>
    <w:rsid w:val="00E65BC6"/>
    <w:rsid w:val="00E661FF"/>
    <w:rsid w:val="00E726EB"/>
    <w:rsid w:val="00E72CF1"/>
    <w:rsid w:val="00E75291"/>
    <w:rsid w:val="00E80B52"/>
    <w:rsid w:val="00E824C3"/>
    <w:rsid w:val="00E840B3"/>
    <w:rsid w:val="00E84D10"/>
    <w:rsid w:val="00E85533"/>
    <w:rsid w:val="00E8629F"/>
    <w:rsid w:val="00E91008"/>
    <w:rsid w:val="00E9374E"/>
    <w:rsid w:val="00E94A6C"/>
    <w:rsid w:val="00E94F54"/>
    <w:rsid w:val="00E97AD5"/>
    <w:rsid w:val="00EA1111"/>
    <w:rsid w:val="00EA3B4F"/>
    <w:rsid w:val="00EA3C24"/>
    <w:rsid w:val="00EA67EA"/>
    <w:rsid w:val="00EA73DF"/>
    <w:rsid w:val="00EB15AA"/>
    <w:rsid w:val="00EB17D7"/>
    <w:rsid w:val="00EB2EFE"/>
    <w:rsid w:val="00EB5219"/>
    <w:rsid w:val="00EB61AE"/>
    <w:rsid w:val="00EC25B3"/>
    <w:rsid w:val="00EC322D"/>
    <w:rsid w:val="00EC7207"/>
    <w:rsid w:val="00ED1E78"/>
    <w:rsid w:val="00ED383A"/>
    <w:rsid w:val="00EE1080"/>
    <w:rsid w:val="00EE4422"/>
    <w:rsid w:val="00EE46ED"/>
    <w:rsid w:val="00EF0563"/>
    <w:rsid w:val="00EF1B01"/>
    <w:rsid w:val="00EF1EC5"/>
    <w:rsid w:val="00EF4C88"/>
    <w:rsid w:val="00EF55EB"/>
    <w:rsid w:val="00F00DCC"/>
    <w:rsid w:val="00F0156F"/>
    <w:rsid w:val="00F03190"/>
    <w:rsid w:val="00F05AC8"/>
    <w:rsid w:val="00F07167"/>
    <w:rsid w:val="00F072D8"/>
    <w:rsid w:val="00F07CE0"/>
    <w:rsid w:val="00F115F5"/>
    <w:rsid w:val="00F132E7"/>
    <w:rsid w:val="00F13D05"/>
    <w:rsid w:val="00F1679D"/>
    <w:rsid w:val="00F1682C"/>
    <w:rsid w:val="00F16E90"/>
    <w:rsid w:val="00F209FF"/>
    <w:rsid w:val="00F20B91"/>
    <w:rsid w:val="00F21139"/>
    <w:rsid w:val="00F24B8B"/>
    <w:rsid w:val="00F30D2E"/>
    <w:rsid w:val="00F34BD2"/>
    <w:rsid w:val="00F35516"/>
    <w:rsid w:val="00F35790"/>
    <w:rsid w:val="00F4136D"/>
    <w:rsid w:val="00F4212E"/>
    <w:rsid w:val="00F42C20"/>
    <w:rsid w:val="00F43E34"/>
    <w:rsid w:val="00F512C9"/>
    <w:rsid w:val="00F53053"/>
    <w:rsid w:val="00F53FE2"/>
    <w:rsid w:val="00F575FF"/>
    <w:rsid w:val="00F618EF"/>
    <w:rsid w:val="00F65582"/>
    <w:rsid w:val="00F66E75"/>
    <w:rsid w:val="00F77EB0"/>
    <w:rsid w:val="00F84405"/>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25E6"/>
    <w:rsid w:val="00FC4F23"/>
    <w:rsid w:val="00FC69B4"/>
    <w:rsid w:val="00FC7C42"/>
    <w:rsid w:val="00FD0694"/>
    <w:rsid w:val="00FD25BE"/>
    <w:rsid w:val="00FD2E70"/>
    <w:rsid w:val="00FD5E0B"/>
    <w:rsid w:val="00FD7AA7"/>
    <w:rsid w:val="00FE0445"/>
    <w:rsid w:val="00FF030D"/>
    <w:rsid w:val="00FF1FCB"/>
    <w:rsid w:val="00FF52D4"/>
    <w:rsid w:val="00FF6AA4"/>
    <w:rsid w:val="00FF6B09"/>
    <w:rsid w:val="03ED3CD3"/>
    <w:rsid w:val="08E0697C"/>
    <w:rsid w:val="09536626"/>
    <w:rsid w:val="09E937B1"/>
    <w:rsid w:val="0CF33BB6"/>
    <w:rsid w:val="0CF417CF"/>
    <w:rsid w:val="0EB41E55"/>
    <w:rsid w:val="0EDB368D"/>
    <w:rsid w:val="0EDF1F72"/>
    <w:rsid w:val="0F013859"/>
    <w:rsid w:val="10543DAE"/>
    <w:rsid w:val="14020291"/>
    <w:rsid w:val="166D5CD3"/>
    <w:rsid w:val="1B573B5A"/>
    <w:rsid w:val="1EA03A48"/>
    <w:rsid w:val="20CD6AE1"/>
    <w:rsid w:val="21CE0389"/>
    <w:rsid w:val="27082844"/>
    <w:rsid w:val="27CA0497"/>
    <w:rsid w:val="2B1E1A0F"/>
    <w:rsid w:val="2B225A43"/>
    <w:rsid w:val="2B6522D5"/>
    <w:rsid w:val="2BB63D71"/>
    <w:rsid w:val="2C3E7E0F"/>
    <w:rsid w:val="2CDB4903"/>
    <w:rsid w:val="2D124EAF"/>
    <w:rsid w:val="2D5E3737"/>
    <w:rsid w:val="2E367B7B"/>
    <w:rsid w:val="2F256FED"/>
    <w:rsid w:val="31622B01"/>
    <w:rsid w:val="32604C1B"/>
    <w:rsid w:val="32696E59"/>
    <w:rsid w:val="345551F2"/>
    <w:rsid w:val="361A3280"/>
    <w:rsid w:val="3ACB0B6A"/>
    <w:rsid w:val="3D4356E1"/>
    <w:rsid w:val="3D6C4AF1"/>
    <w:rsid w:val="3D79249C"/>
    <w:rsid w:val="3E325CD3"/>
    <w:rsid w:val="3E8072E5"/>
    <w:rsid w:val="43A30ACE"/>
    <w:rsid w:val="44B2207D"/>
    <w:rsid w:val="47A54AD6"/>
    <w:rsid w:val="494729C5"/>
    <w:rsid w:val="49BA0F46"/>
    <w:rsid w:val="49DE1802"/>
    <w:rsid w:val="49EF3A81"/>
    <w:rsid w:val="4BF646F6"/>
    <w:rsid w:val="4D84355C"/>
    <w:rsid w:val="4E5A5643"/>
    <w:rsid w:val="501D5E1D"/>
    <w:rsid w:val="51B74675"/>
    <w:rsid w:val="57EC2D41"/>
    <w:rsid w:val="5BBA102F"/>
    <w:rsid w:val="60390193"/>
    <w:rsid w:val="60B517E5"/>
    <w:rsid w:val="60F579C2"/>
    <w:rsid w:val="64D5693D"/>
    <w:rsid w:val="65B77061"/>
    <w:rsid w:val="66717721"/>
    <w:rsid w:val="66E5166D"/>
    <w:rsid w:val="67364E82"/>
    <w:rsid w:val="689200A7"/>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rPr>
      <w:sz w:val="22"/>
    </w:rPr>
  </w:style>
  <w:style w:type="character" w:customStyle="1" w:styleId="154">
    <w:name w:val="首标题"/>
    <w:uiPriority w:val="0"/>
    <w:rPr>
      <w:rFonts w:ascii="Arial" w:hAnsi="Arial" w:eastAsia="宋体"/>
      <w:sz w:val="24"/>
      <w:lang w:val="en-US" w:eastAsia="zh-CN" w:bidi="ar-SA"/>
    </w:rPr>
  </w:style>
  <w:style w:type="paragraph" w:customStyle="1" w:styleId="155">
    <w:name w:val="RAN4 Observation"/>
    <w:basedOn w:val="149"/>
    <w:next w:val="1"/>
    <w:uiPriority w:val="0"/>
    <w:pPr>
      <w:numPr>
        <w:ilvl w:val="0"/>
        <w:numId w:val="3"/>
      </w:numPr>
    </w:pPr>
    <w:rPr>
      <w:rFonts w:eastAsia="Calibri"/>
    </w:rPr>
  </w:style>
  <w:style w:type="paragraph" w:customStyle="1" w:styleId="156">
    <w:name w:val="RAN4 observation"/>
    <w:basedOn w:val="155"/>
    <w:next w:val="1"/>
    <w:qFormat/>
    <w:uiPriority w:val="0"/>
    <w:pPr>
      <w:ind w:left="0" w:firstLine="0"/>
    </w:pPr>
  </w:style>
  <w:style w:type="character" w:customStyle="1" w:styleId="157">
    <w:name w:val="Unresolved Mention2"/>
    <w:basedOn w:val="51"/>
    <w:semiHidden/>
    <w:unhideWhenUsed/>
    <w:uiPriority w:val="99"/>
    <w:rPr>
      <w:color w:val="605E5C"/>
      <w:shd w:val="clear" w:color="auto" w:fill="E1DFDD"/>
    </w:rPr>
  </w:style>
  <w:style w:type="character" w:customStyle="1" w:styleId="158">
    <w:name w:val="Unresolved Mention3"/>
    <w:basedOn w:val="5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5AIRPNAIUNRU-1328258698-9395</_dlc_DocId>
    <_dlc_DocIdUrl xmlns="71c5aaf6-e6ce-465b-b873-5148d2a4c105">
      <Url>https://nokia.sharepoint.com/sites/c5g/5gradio/_layouts/15/DocIdRedir.aspx?ID=5AIRPNAIUNRU-1328258698-9395</Url>
      <Description>5AIRPNAIUNRU-1328258698-9395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CEE0B6-9483-4E28-8DE8-D2C529363F20}">
  <ds:schemaRefs/>
</ds:datastoreItem>
</file>

<file path=customXml/itemProps3.xml><?xml version="1.0" encoding="utf-8"?>
<ds:datastoreItem xmlns:ds="http://schemas.openxmlformats.org/officeDocument/2006/customXml" ds:itemID="{A436BA65-5F65-412B-92FE-778B059CB05C}">
  <ds:schemaRefs/>
</ds:datastoreItem>
</file>

<file path=customXml/itemProps4.xml><?xml version="1.0" encoding="utf-8"?>
<ds:datastoreItem xmlns:ds="http://schemas.openxmlformats.org/officeDocument/2006/customXml" ds:itemID="{DB968D91-21FF-4E31-B52A-0C86F271B1F0}">
  <ds:schemaRefs/>
</ds:datastoreItem>
</file>

<file path=customXml/itemProps5.xml><?xml version="1.0" encoding="utf-8"?>
<ds:datastoreItem xmlns:ds="http://schemas.openxmlformats.org/officeDocument/2006/customXml" ds:itemID="{2337754D-2135-48B7-8F1E-AFE03A73EF1B}">
  <ds:schemaRefs/>
</ds:datastoreItem>
</file>

<file path=customXml/itemProps6.xml><?xml version="1.0" encoding="utf-8"?>
<ds:datastoreItem xmlns:ds="http://schemas.openxmlformats.org/officeDocument/2006/customXml" ds:itemID="{A8AB98C9-CCEE-4629-B94B-00C5402EB48D}">
  <ds:schemaRefs/>
</ds:datastoreItem>
</file>

<file path=customXml/itemProps7.xml><?xml version="1.0" encoding="utf-8"?>
<ds:datastoreItem xmlns:ds="http://schemas.openxmlformats.org/officeDocument/2006/customXml" ds:itemID="{0B51D564-2077-45FB-9779-F73531C4B389}">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9</Pages>
  <Words>2688</Words>
  <Characters>15324</Characters>
  <Lines>127</Lines>
  <Paragraphs>35</Paragraphs>
  <TotalTime>0</TotalTime>
  <ScaleCrop>false</ScaleCrop>
  <LinksUpToDate>false</LinksUpToDate>
  <CharactersWithSpaces>17977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2022-01-18T13:08:00Z</dcterms:created>
  <dc:creator>양윤오/책임연구원/미래기술센터 C&amp;M표준(연)5G무선통신표준Task(yoonoh.yang@lge.com)</dc:creator>
  <cp:lastModifiedBy>Ricky (ZTE)</cp:lastModifiedBy>
  <cp:lastPrinted>2019-04-25T01:09:00Z</cp:lastPrinted>
  <dcterms:modified xsi:type="dcterms:W3CDTF">2022-01-19T23:56:46Z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y fmtid="{D5CDD505-2E9C-101B-9397-08002B2CF9AE}" pid="13"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4"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5" name="ContentTypeId">
    <vt:lpwstr>0x01010000E5007003D3004E92B8EDD86D20E8CD</vt:lpwstr>
  </property>
  <property fmtid="{D5CDD505-2E9C-101B-9397-08002B2CF9AE}" pid="16" name="_dlc_DocIdItemGuid">
    <vt:lpwstr>97a6beea-1690-47cd-acb8-3aac014051cd</vt:lpwstr>
  </property>
</Properties>
</file>