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062" w14:textId="1A921F1F"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w:t>
      </w:r>
      <w:proofErr w:type="gramStart"/>
      <w:r w:rsidRPr="00234EFC">
        <w:rPr>
          <w:rFonts w:asciiTheme="minorHAnsi" w:eastAsia="PMingLiU" w:hAnsiTheme="minorHAnsi" w:cstheme="minorHAnsi"/>
          <w:b/>
          <w:sz w:val="24"/>
          <w:szCs w:val="24"/>
          <w:lang w:val="en-US" w:eastAsia="ja-JP"/>
        </w:rPr>
        <w:t>January,</w:t>
      </w:r>
      <w:proofErr w:type="gramEnd"/>
      <w:r w:rsidRPr="00234EFC">
        <w:rPr>
          <w:rFonts w:asciiTheme="minorHAnsi" w:eastAsia="PMingLiU" w:hAnsiTheme="minorHAnsi" w:cstheme="minorHAnsi"/>
          <w:b/>
          <w:sz w:val="24"/>
          <w:szCs w:val="24"/>
          <w:lang w:val="en-US" w:eastAsia="ja-JP"/>
        </w:rPr>
        <w:t xml:space="preserve">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A6166A" w14:paraId="6211E17A" w14:textId="77777777" w:rsidTr="00726F48">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785DA7" w14:paraId="343E217D" w14:textId="77777777" w:rsidTr="00726F48">
        <w:tc>
          <w:tcPr>
            <w:tcW w:w="1236" w:type="dxa"/>
          </w:tcPr>
          <w:p w14:paraId="6303E2FB" w14:textId="1DF46B21"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2792F9" w14:textId="6310FE30"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lastRenderedPageBreak/>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w:t>
      </w:r>
      <w:proofErr w:type="gramStart"/>
      <w:r w:rsidR="00D67DBE">
        <w:rPr>
          <w:rFonts w:asciiTheme="minorHAnsi" w:eastAsia="SimSun" w:hAnsiTheme="minorHAnsi" w:cstheme="minorHAnsi"/>
          <w:color w:val="0070C0"/>
          <w:lang w:val="en-US" w:eastAsia="zh-CN"/>
        </w:rPr>
        <w:t>similar to</w:t>
      </w:r>
      <w:proofErr w:type="gramEnd"/>
      <w:r w:rsidR="00D67DBE">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A6166A" w14:paraId="36E9E6C3" w14:textId="77777777" w:rsidTr="00726F48">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CB6672" w14:paraId="622CB4D4" w14:textId="77777777" w:rsidTr="00726F48">
        <w:tc>
          <w:tcPr>
            <w:tcW w:w="1236" w:type="dxa"/>
          </w:tcPr>
          <w:p w14:paraId="4646978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D3054A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w:t>
      </w:r>
      <w:proofErr w:type="gramStart"/>
      <w:r w:rsidRPr="003604B6">
        <w:rPr>
          <w:rFonts w:asciiTheme="minorHAnsi" w:hAnsiTheme="minorHAnsi" w:cstheme="minorHAnsi"/>
          <w:iCs/>
          <w:highlight w:val="green"/>
          <w:lang w:val="en-US"/>
        </w:rPr>
        <w:t>DC</w:t>
      </w:r>
      <w:proofErr w:type="gramEnd"/>
      <w:r w:rsidRPr="003604B6">
        <w:rPr>
          <w:rFonts w:asciiTheme="minorHAnsi" w:hAnsiTheme="minorHAnsi" w:cstheme="minorHAnsi"/>
          <w:iCs/>
          <w:highlight w:val="green"/>
          <w:lang w:val="en-US"/>
        </w:rPr>
        <w:t xml:space="preserve">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156759C"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w:t>
      </w:r>
      <w:r w:rsidR="0086787D">
        <w:rPr>
          <w:rFonts w:asciiTheme="minorHAnsi" w:eastAsia="SimSun" w:hAnsiTheme="minorHAnsi" w:cstheme="minorHAnsi"/>
          <w:b/>
          <w:bCs/>
          <w:iCs/>
          <w:u w:val="single"/>
          <w:lang w:eastAsia="zh-CN"/>
        </w:rPr>
        <w:t>4</w:t>
      </w:r>
      <w:r>
        <w:rPr>
          <w:rFonts w:asciiTheme="minorHAnsi" w:eastAsia="SimSun"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SimSun" w:hAnsiTheme="minorHAnsi" w:cstheme="minorHAnsi"/>
          <w:iCs/>
          <w:color w:val="000000" w:themeColor="text1"/>
          <w:lang w:val="en-US"/>
        </w:rPr>
      </w:pPr>
      <w:r w:rsidRPr="00A50363">
        <w:rPr>
          <w:rFonts w:asciiTheme="minorHAnsi" w:eastAsia="SimSun"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A6166A" w14:paraId="1455D26A" w14:textId="77777777" w:rsidTr="00726F48">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lastRenderedPageBreak/>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74BFBA52" w14:textId="77777777" w:rsidTr="00726F48">
        <w:tc>
          <w:tcPr>
            <w:tcW w:w="1236" w:type="dxa"/>
          </w:tcPr>
          <w:p w14:paraId="3B75F42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723D56E"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r w:rsidR="007818F2" w:rsidRPr="008A3BB4">
        <w:rPr>
          <w:rFonts w:asciiTheme="minorHAnsi" w:eastAsia="SimSun" w:hAnsiTheme="minorHAnsi" w:cstheme="minorHAnsi"/>
          <w:i/>
          <w:iCs/>
          <w:color w:val="0070C0"/>
          <w:lang w:eastAsia="zh-CN"/>
        </w:rPr>
        <w:t>supportedGapPattern-NRonly</w:t>
      </w:r>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sidR="007818F2">
        <w:rPr>
          <w:rFonts w:asciiTheme="minorHAnsi" w:eastAsia="SimSun" w:hAnsiTheme="minorHAnsi" w:cstheme="minorHAnsi"/>
          <w:color w:val="0070C0"/>
          <w:lang w:val="en-US" w:eastAsia="zh-CN"/>
        </w:rPr>
        <w:t>i.e.</w:t>
      </w:r>
      <w:proofErr w:type="gramEnd"/>
      <w:r w:rsidR="007818F2">
        <w:rPr>
          <w:rFonts w:asciiTheme="minorHAnsi" w:eastAsia="SimSun" w:hAnsiTheme="minorHAnsi" w:cstheme="minorHAnsi"/>
          <w:color w:val="0070C0"/>
          <w:lang w:val="en-US" w:eastAsia="zh-CN"/>
        </w:rPr>
        <w:t xml:space="preserv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SimSun" w:hAnsiTheme="minorHAnsi" w:cstheme="minorHAnsi"/>
          <w:color w:val="000000" w:themeColor="text1"/>
          <w:lang w:val="en-US" w:eastAsia="zh-CN"/>
        </w:rPr>
      </w:pPr>
      <w:r w:rsidRPr="00D419AE">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SimSun"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220F0B85" w14:textId="3EDD370E" w:rsidR="009B4241" w:rsidRPr="009A46C8" w:rsidRDefault="009B4241"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
    <w:tbl>
      <w:tblPr>
        <w:tblStyle w:val="TableGrid"/>
        <w:tblW w:w="9631" w:type="dxa"/>
        <w:tblLayout w:type="fixed"/>
        <w:tblLook w:val="04A0" w:firstRow="1" w:lastRow="0" w:firstColumn="1" w:lastColumn="0" w:noHBand="0" w:noVBand="1"/>
      </w:tblPr>
      <w:tblGrid>
        <w:gridCol w:w="1236"/>
        <w:gridCol w:w="8395"/>
      </w:tblGrid>
      <w:tr w:rsidR="00A6166A" w14:paraId="2BC9B446" w14:textId="77777777" w:rsidTr="00726F48">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F94C72" w14:paraId="4B44BCA2" w14:textId="77777777" w:rsidTr="00726F48">
        <w:tc>
          <w:tcPr>
            <w:tcW w:w="1236" w:type="dxa"/>
          </w:tcPr>
          <w:p w14:paraId="7415A9BC"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1D75FF"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A6166A" w14:paraId="511AC7D2" w14:textId="77777777" w:rsidTr="00726F48">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A3BB4" w14:paraId="3A660424" w14:textId="77777777" w:rsidTr="00726F48">
        <w:tc>
          <w:tcPr>
            <w:tcW w:w="1236" w:type="dxa"/>
          </w:tcPr>
          <w:p w14:paraId="0B709976"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9BBF2FE"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sidR="00B34310">
        <w:rPr>
          <w:rFonts w:asciiTheme="minorHAnsi" w:eastAsia="SimSun" w:hAnsiTheme="minorHAnsi" w:cstheme="minorHAnsi"/>
          <w:b/>
          <w:bCs/>
          <w:iCs/>
          <w:u w:val="single"/>
        </w:rPr>
        <w:t>mgta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lastRenderedPageBreak/>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726F48">
        <w:tc>
          <w:tcPr>
            <w:tcW w:w="1236" w:type="dxa"/>
          </w:tcPr>
          <w:p w14:paraId="04862EF1"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022E9880" w14:textId="77777777" w:rsidR="00661666" w:rsidRPr="00906C0C" w:rsidRDefault="00661666" w:rsidP="00726F48">
            <w:pPr>
              <w:pStyle w:val="B10"/>
              <w:rPr>
                <w:lang w:val="en-US"/>
              </w:rPr>
            </w:pPr>
            <w:r w:rsidRPr="00906C0C">
              <w:rPr>
                <w:lang w:val="en-US"/>
              </w:rPr>
              <w:t xml:space="preserve"> CSSF</w:t>
            </w:r>
            <w:r w:rsidRPr="00906C0C">
              <w:rPr>
                <w:vertAlign w:val="subscript"/>
                <w:lang w:val="en-US"/>
              </w:rPr>
              <w:t>outside_</w:t>
            </w:r>
            <w:proofErr w:type="gramStart"/>
            <w:r w:rsidRPr="00906C0C">
              <w:rPr>
                <w:vertAlign w:val="subscript"/>
                <w:lang w:val="en-US"/>
              </w:rPr>
              <w:t>gap,i</w:t>
            </w:r>
            <w:proofErr w:type="gramEnd"/>
            <w:r w:rsidRPr="00906C0C">
              <w:rPr>
                <w:vertAlign w:val="subscript"/>
                <w:lang w:val="en-US"/>
              </w:rPr>
              <w:t xml:space="preserve">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726F48">
            <w:pPr>
              <w:pStyle w:val="B10"/>
              <w:rPr>
                <w:rFonts w:ascii="Arial" w:hAnsi="Arial"/>
                <w:lang w:val="en-US"/>
              </w:rPr>
            </w:pPr>
            <w:r w:rsidRPr="00906C0C">
              <w:rPr>
                <w:lang w:val="en-US"/>
              </w:rPr>
              <w:t xml:space="preserve"> CSSF</w:t>
            </w:r>
            <w:r w:rsidRPr="00906C0C">
              <w:rPr>
                <w:vertAlign w:val="subscript"/>
                <w:lang w:val="en-US"/>
              </w:rPr>
              <w:t>within_</w:t>
            </w:r>
            <w:proofErr w:type="gramStart"/>
            <w:r w:rsidRPr="00906C0C">
              <w:rPr>
                <w:vertAlign w:val="subscript"/>
                <w:lang w:val="en-US"/>
              </w:rPr>
              <w:t>gap,i</w:t>
            </w:r>
            <w:proofErr w:type="gramEnd"/>
            <w:r w:rsidRPr="00906C0C">
              <w:rPr>
                <w:vertAlign w:val="subscript"/>
                <w:lang w:val="en-US"/>
              </w:rPr>
              <w:t xml:space="preserve">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A6166A" w14:paraId="0FF18E29" w14:textId="77777777" w:rsidTr="00726F48">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661666" w14:paraId="5020A8C2" w14:textId="77777777" w:rsidTr="00726F48">
        <w:tc>
          <w:tcPr>
            <w:tcW w:w="1236" w:type="dxa"/>
          </w:tcPr>
          <w:p w14:paraId="40E76CCC"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945A6E7"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12739317" w14:textId="77777777" w:rsidTr="00726F48">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3AC81C6" w14:textId="77777777" w:rsidTr="00726F48">
        <w:tc>
          <w:tcPr>
            <w:tcW w:w="1236" w:type="dxa"/>
          </w:tcPr>
          <w:p w14:paraId="76DEA2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560973CE"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77AC67D2" w14:textId="77777777" w:rsidTr="00726F48">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23CDB20F" w14:textId="77777777" w:rsidTr="00726F48">
        <w:tc>
          <w:tcPr>
            <w:tcW w:w="1236" w:type="dxa"/>
          </w:tcPr>
          <w:p w14:paraId="2C17C89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7738E0"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partially overlapped with NCSG, Kp = 1</w:t>
      </w:r>
      <w:proofErr w:type="gramStart"/>
      <w:r w:rsidRPr="004D06B6">
        <w:rPr>
          <w:rFonts w:asciiTheme="minorHAnsi" w:eastAsia="SimSun" w:hAnsiTheme="minorHAnsi" w:cstheme="minorHAnsi"/>
          <w:bCs/>
          <w:iCs/>
          <w:highlight w:val="green"/>
        </w:rPr>
        <w:t>/(</w:t>
      </w:r>
      <w:proofErr w:type="gramEnd"/>
      <w:r w:rsidRPr="004D06B6">
        <w:rPr>
          <w:rFonts w:asciiTheme="minorHAnsi" w:eastAsia="SimSun" w:hAnsiTheme="minorHAnsi" w:cstheme="minorHAnsi"/>
          <w:bCs/>
          <w:iCs/>
          <w:highlight w:val="green"/>
        </w:rPr>
        <w:t>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A6166A" w14:paraId="0B10680D" w14:textId="77777777" w:rsidTr="00726F48">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C9270A5" w14:textId="77777777" w:rsidTr="00726F48">
        <w:tc>
          <w:tcPr>
            <w:tcW w:w="1236" w:type="dxa"/>
          </w:tcPr>
          <w:p w14:paraId="0F7462B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FC9F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146648A0" w14:textId="48581A79" w:rsidR="00661666" w:rsidRDefault="00661666">
      <w:pPr>
        <w:spacing w:after="120"/>
        <w:jc w:val="both"/>
        <w:rPr>
          <w:rFonts w:asciiTheme="minorHAnsi" w:eastAsia="SimSun" w:hAnsiTheme="minorHAnsi" w:cstheme="minorHAnsi"/>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independentGapConfig</w:t>
      </w:r>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w:t>
      </w:r>
      <w:proofErr w:type="gramStart"/>
      <w:r w:rsidR="0032455A" w:rsidRPr="0032455A">
        <w:rPr>
          <w:rFonts w:asciiTheme="minorHAnsi" w:hAnsiTheme="minorHAnsi" w:cstheme="minorHAnsi"/>
          <w:iCs/>
        </w:rPr>
        <w:t>e.g.</w:t>
      </w:r>
      <w:proofErr w:type="gramEnd"/>
      <w:r w:rsidR="0032455A" w:rsidRPr="0032455A">
        <w:rPr>
          <w:rFonts w:asciiTheme="minorHAnsi" w:hAnsiTheme="minorHAnsi" w:cstheme="minorHAnsi"/>
          <w:iCs/>
        </w:rPr>
        <w:t xml:space="preserve"> </w:t>
      </w:r>
      <w:r w:rsidR="0032455A" w:rsidRPr="0032455A">
        <w:rPr>
          <w:rFonts w:asciiTheme="minorHAnsi" w:hAnsiTheme="minorHAnsi" w:cstheme="minorHAnsi"/>
          <w:i/>
        </w:rPr>
        <w:t>independentNCSGConfig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sidR="00C30782">
        <w:rPr>
          <w:rFonts w:asciiTheme="minorHAnsi" w:eastAsia="SimSun" w:hAnsiTheme="minorHAnsi" w:cstheme="minorHAnsi" w:hint="eastAsia"/>
          <w:color w:val="0070C0"/>
          <w:lang w:val="en-US" w:eastAsia="zh-CN"/>
        </w:rPr>
        <w:t>QC</w:t>
      </w:r>
      <w:r w:rsidR="00C30782">
        <w:rPr>
          <w:rFonts w:asciiTheme="minorHAnsi" w:eastAsia="SimSun" w:hAnsiTheme="minorHAnsi" w:cstheme="minorHAnsi"/>
          <w:color w:val="0070C0"/>
          <w:lang w:val="en-US" w:eastAsia="zh-CN"/>
        </w:rPr>
        <w:t xml:space="preserve"> asked for clarification on option 1 in the 1</w:t>
      </w:r>
      <w:r w:rsidR="00C30782" w:rsidRPr="00C30782">
        <w:rPr>
          <w:rFonts w:asciiTheme="minorHAnsi" w:eastAsia="SimSun" w:hAnsiTheme="minorHAnsi" w:cstheme="minorHAnsi"/>
          <w:color w:val="0070C0"/>
          <w:vertAlign w:val="superscript"/>
          <w:lang w:val="en-US" w:eastAsia="zh-CN"/>
        </w:rPr>
        <w:t>st</w:t>
      </w:r>
      <w:r w:rsidR="00C30782">
        <w:rPr>
          <w:rFonts w:asciiTheme="minorHAnsi" w:eastAsia="SimSun" w:hAnsiTheme="minorHAnsi" w:cstheme="minorHAnsi"/>
          <w:color w:val="0070C0"/>
          <w:lang w:val="en-US" w:eastAsia="zh-CN"/>
        </w:rPr>
        <w:t xml:space="preserve"> round. At the meantime, a new option 3 was proposed. </w:t>
      </w:r>
      <w:r w:rsidR="00310DF6">
        <w:rPr>
          <w:rFonts w:asciiTheme="minorHAnsi" w:eastAsia="SimSun" w:hAnsiTheme="minorHAnsi" w:cstheme="minorHAnsi"/>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A6166A" w14:paraId="36AD72B9" w14:textId="77777777" w:rsidTr="00726F48">
        <w:tc>
          <w:tcPr>
            <w:tcW w:w="1236" w:type="dxa"/>
          </w:tcPr>
          <w:p w14:paraId="16E46C09" w14:textId="44C889E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proofErr w:type="gramStart"/>
            <w:r>
              <w:rPr>
                <w:rFonts w:asciiTheme="minorHAnsi" w:eastAsia="SimSun" w:hAnsiTheme="minorHAnsi" w:cstheme="minorHAnsi"/>
                <w:b/>
                <w:bCs/>
                <w:iCs/>
                <w:lang w:val="en-US"/>
              </w:rPr>
              <w:t>.Company</w:t>
            </w:r>
            <w:proofErr w:type="gramEnd"/>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5ADEC4B6" w14:textId="77777777" w:rsidTr="00726F48">
        <w:tc>
          <w:tcPr>
            <w:tcW w:w="1236" w:type="dxa"/>
          </w:tcPr>
          <w:p w14:paraId="3716F27B"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661394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Sub-topic 4: measurement related requirements</w:t>
      </w:r>
    </w:p>
    <w:p w14:paraId="57A693AF" w14:textId="022A5893" w:rsidR="0012407F" w:rsidRPr="0012407F" w:rsidRDefault="0012407F" w:rsidP="0012407F">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sidRPr="0012407F">
        <w:rPr>
          <w:rFonts w:asciiTheme="minorHAnsi" w:eastAsia="SimSun" w:hAnsiTheme="minorHAnsi" w:cstheme="minorHAnsi"/>
          <w:b/>
          <w:bCs/>
          <w:iCs/>
          <w:u w:val="single"/>
          <w:lang w:eastAsia="zh-CN"/>
        </w:rPr>
        <w:t>deriveSSB-IndexFromCell</w:t>
      </w:r>
      <w:r>
        <w:rPr>
          <w:rFonts w:asciiTheme="minorHAnsi" w:eastAsia="SimSun"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SimSun" w:hAnsiTheme="minorHAnsi" w:cstheme="minorHAnsi"/>
          <w:iCs/>
          <w:highlight w:val="yellow"/>
          <w:lang w:val="en-US"/>
        </w:rPr>
      </w:pPr>
      <w:r w:rsidRPr="00B30681">
        <w:rPr>
          <w:rFonts w:asciiTheme="minorHAnsi" w:eastAsia="SimSun"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SimSun" w:hAnsiTheme="minorHAnsi" w:cstheme="minorHAnsi"/>
          <w:iCs/>
        </w:rPr>
      </w:pPr>
      <w:r w:rsidRPr="00B30681">
        <w:rPr>
          <w:rFonts w:asciiTheme="minorHAnsi" w:eastAsia="SimSun" w:hAnsiTheme="minorHAnsi" w:cstheme="minorHAnsi"/>
          <w:iCs/>
          <w:highlight w:val="yellow"/>
          <w:lang w:val="en-US"/>
        </w:rPr>
        <w:t>RAN4</w:t>
      </w:r>
      <w:r w:rsidR="009E54DF" w:rsidRPr="00B30681">
        <w:rPr>
          <w:rFonts w:asciiTheme="minorHAnsi" w:eastAsia="SimSun" w:hAnsiTheme="minorHAnsi" w:cstheme="minorHAnsi"/>
          <w:iCs/>
          <w:highlight w:val="yellow"/>
          <w:lang w:val="en-US"/>
        </w:rPr>
        <w:t xml:space="preserve"> agreed to introduce a new network signaling [</w:t>
      </w:r>
      <w:r w:rsidR="009E54DF" w:rsidRPr="00B30681">
        <w:rPr>
          <w:rFonts w:asciiTheme="minorHAnsi" w:eastAsia="SimSun" w:hAnsiTheme="minorHAnsi" w:cstheme="minorHAnsi"/>
          <w:i/>
          <w:highlight w:val="yellow"/>
          <w:lang w:eastAsia="zh-CN"/>
        </w:rPr>
        <w:t>deriveSSB-IndexFromCell</w:t>
      </w:r>
      <w:r w:rsidR="009E54DF" w:rsidRPr="00B30681">
        <w:rPr>
          <w:rFonts w:asciiTheme="minorHAnsi" w:eastAsia="SimSun" w:hAnsiTheme="minorHAnsi" w:cstheme="minorHAnsi"/>
          <w:i/>
          <w:highlight w:val="yellow"/>
          <w:lang w:val="en-US"/>
        </w:rPr>
        <w:t>-inter</w:t>
      </w:r>
      <w:r w:rsidR="009E54DF" w:rsidRPr="00B30681">
        <w:rPr>
          <w:rFonts w:asciiTheme="minorHAnsi" w:eastAsia="SimSun" w:hAnsiTheme="minorHAnsi" w:cstheme="minorHAnsi"/>
          <w:iCs/>
          <w:highlight w:val="yellow"/>
          <w:lang w:val="en-US"/>
        </w:rPr>
        <w:t xml:space="preserve">] </w:t>
      </w:r>
      <w:r w:rsidR="00EF64E3" w:rsidRPr="00B30681">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exact wording can be discussed in the LS. </w:t>
      </w:r>
      <w:r w:rsidR="00B30681">
        <w:rPr>
          <w:rFonts w:asciiTheme="minorHAnsi" w:eastAsia="SimSun" w:hAnsiTheme="minorHAnsi" w:cstheme="minorHAnsi"/>
          <w:color w:val="0070C0"/>
          <w:lang w:val="en-US" w:eastAsia="zh-CN"/>
        </w:rPr>
        <w:t>Continue discussing</w:t>
      </w:r>
      <w:r w:rsidR="00BA4F20">
        <w:rPr>
          <w:rFonts w:asciiTheme="minorHAnsi" w:eastAsia="SimSun" w:hAnsiTheme="minorHAnsi" w:cstheme="minorHAnsi"/>
          <w:color w:val="0070C0"/>
          <w:lang w:val="en-US" w:eastAsia="zh-CN"/>
        </w:rPr>
        <w:t xml:space="preserve"> in this WF on</w:t>
      </w:r>
      <w:r w:rsidR="00B30681">
        <w:rPr>
          <w:rFonts w:asciiTheme="minorHAnsi" w:eastAsia="SimSun" w:hAnsiTheme="minorHAnsi" w:cstheme="minorHAnsi"/>
          <w:color w:val="0070C0"/>
          <w:lang w:val="en-US" w:eastAsia="zh-CN"/>
        </w:rPr>
        <w:t xml:space="preserve"> the necessary information for RAN2</w:t>
      </w:r>
      <w:r w:rsidR="00B30681" w:rsidRPr="009070CA">
        <w:rPr>
          <w:rFonts w:asciiTheme="minorHAnsi" w:eastAsia="SimSun"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SimSun" w:hAnsiTheme="minorHAnsi" w:cstheme="minorHAnsi"/>
          <w:bCs/>
          <w:iCs/>
          <w:lang w:eastAsia="zh-CN"/>
        </w:rPr>
      </w:pPr>
      <w:r w:rsidRPr="00D106C0">
        <w:rPr>
          <w:rFonts w:asciiTheme="minorHAnsi" w:eastAsia="SimSun" w:hAnsiTheme="minorHAnsi" w:cstheme="minorHAnsi"/>
          <w:bCs/>
          <w:iCs/>
          <w:lang w:eastAsia="zh-CN"/>
        </w:rPr>
        <w:t>Applicability</w:t>
      </w:r>
    </w:p>
    <w:p w14:paraId="2A819006" w14:textId="28D2CB03" w:rsidR="00B66F02" w:rsidRPr="00FB7869" w:rsidRDefault="00B66F02" w:rsidP="00B66F02">
      <w:pPr>
        <w:pStyle w:val="ListParagraph"/>
        <w:numPr>
          <w:ilvl w:val="0"/>
          <w:numId w:val="19"/>
        </w:numPr>
        <w:spacing w:after="120"/>
        <w:jc w:val="both"/>
        <w:rPr>
          <w:rFonts w:asciiTheme="minorHAnsi" w:eastAsia="SimSun" w:hAnsiTheme="minorHAnsi" w:cstheme="minorHAnsi"/>
          <w:bCs/>
          <w:iCs/>
          <w:lang w:eastAsia="zh-CN"/>
        </w:rPr>
      </w:pPr>
      <w:r w:rsidRPr="00B66F02">
        <w:rPr>
          <w:rFonts w:asciiTheme="minorHAnsi" w:eastAsia="SimSun" w:hAnsiTheme="minorHAnsi" w:cstheme="minorHAnsi"/>
          <w:i/>
          <w:lang w:eastAsia="zh-CN"/>
        </w:rPr>
        <w:t>deriveSSB-IndexFromCell-inter</w:t>
      </w:r>
      <w:r w:rsidRPr="00B66F02">
        <w:rPr>
          <w:rFonts w:asciiTheme="minorHAnsi" w:eastAsia="SimSun" w:hAnsiTheme="minorHAnsi" w:cstheme="minorHAnsi"/>
          <w:b/>
          <w:bCs/>
          <w:iCs/>
          <w:lang w:eastAsia="zh-CN"/>
        </w:rPr>
        <w:t xml:space="preserve"> </w:t>
      </w:r>
      <w:r w:rsidRPr="00B66F02">
        <w:rPr>
          <w:rFonts w:asciiTheme="minorHAnsi" w:eastAsia="SimSun" w:hAnsiTheme="minorHAnsi" w:cstheme="minorHAnsi"/>
          <w:iCs/>
          <w:lang w:eastAsia="zh-CN"/>
        </w:rPr>
        <w:t xml:space="preserve">can </w:t>
      </w:r>
      <w:r w:rsidR="00C11900">
        <w:rPr>
          <w:rFonts w:asciiTheme="minorHAnsi" w:eastAsia="SimSun" w:hAnsiTheme="minorHAnsi" w:cstheme="minorHAnsi" w:hint="eastAsia"/>
          <w:iCs/>
          <w:lang w:eastAsia="zh-CN"/>
        </w:rPr>
        <w:t>only</w:t>
      </w:r>
      <w:r w:rsidR="00C11900">
        <w:rPr>
          <w:rFonts w:asciiTheme="minorHAnsi" w:eastAsia="SimSun" w:hAnsiTheme="minorHAnsi" w:cstheme="minorHAnsi"/>
          <w:iCs/>
          <w:lang w:val="en-US" w:eastAsia="zh-CN"/>
        </w:rPr>
        <w:t xml:space="preserve"> be configured if </w:t>
      </w:r>
      <w:r w:rsidR="00943863">
        <w:rPr>
          <w:rFonts w:asciiTheme="minorHAnsi" w:eastAsia="SimSun" w:hAnsiTheme="minorHAnsi" w:cstheme="minorHAnsi"/>
          <w:iCs/>
          <w:lang w:val="en-US" w:eastAsia="zh-CN"/>
        </w:rPr>
        <w:t>the SCS of SSB is the same between target cell and the serving cell</w:t>
      </w:r>
      <w:r w:rsidR="004C61AB">
        <w:rPr>
          <w:rFonts w:asciiTheme="minorHAnsi" w:eastAsia="SimSun" w:hAnsiTheme="minorHAnsi" w:cstheme="minorHAnsi"/>
          <w:iCs/>
          <w:lang w:val="en-US" w:eastAsia="zh-CN"/>
        </w:rPr>
        <w:t xml:space="preserve"> which is used for SSB indexes derivation.</w:t>
      </w:r>
    </w:p>
    <w:p w14:paraId="39C301D0" w14:textId="3CAF8A28" w:rsidR="00FB7869" w:rsidRPr="00B66F02" w:rsidRDefault="00FB7869" w:rsidP="00B66F02">
      <w:pPr>
        <w:pStyle w:val="ListParagraph"/>
        <w:numPr>
          <w:ilvl w:val="0"/>
          <w:numId w:val="19"/>
        </w:numPr>
        <w:spacing w:after="120"/>
        <w:jc w:val="both"/>
        <w:rPr>
          <w:rFonts w:asciiTheme="minorHAnsi" w:eastAsia="SimSun" w:hAnsiTheme="minorHAnsi" w:cstheme="minorHAnsi"/>
          <w:bCs/>
          <w:iCs/>
          <w:lang w:eastAsia="zh-CN"/>
        </w:rPr>
      </w:pPr>
      <w:r w:rsidRPr="00FB7869">
        <w:rPr>
          <w:rFonts w:asciiTheme="minorHAnsi" w:eastAsia="SimSun" w:hAnsiTheme="minorHAnsi" w:cstheme="minorHAnsi"/>
          <w:bCs/>
          <w:i/>
          <w:iCs/>
          <w:lang w:eastAsia="zh-CN"/>
        </w:rPr>
        <w:t>deriveSSB-IndexFromCell</w:t>
      </w:r>
      <w:r w:rsidRPr="00FB7869">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A6166A" w14:paraId="24FC7EB5" w14:textId="77777777" w:rsidTr="00726F48">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5BD7924" w14:textId="77777777" w:rsidTr="00726F48">
        <w:tc>
          <w:tcPr>
            <w:tcW w:w="1236" w:type="dxa"/>
          </w:tcPr>
          <w:p w14:paraId="0595A020"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582CB23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58DCB85E" w14:textId="77777777" w:rsidR="00B30681" w:rsidRPr="009E54DF" w:rsidRDefault="00B30681" w:rsidP="0012407F">
      <w:pPr>
        <w:spacing w:after="120"/>
        <w:jc w:val="both"/>
        <w:rPr>
          <w:rFonts w:asciiTheme="minorHAnsi" w:eastAsia="SimSun" w:hAnsiTheme="minorHAnsi" w:cstheme="minorHAnsi"/>
          <w:b/>
          <w:bCs/>
          <w:iCs/>
          <w:u w:val="single"/>
          <w:lang w:eastAsia="zh-CN"/>
        </w:rPr>
      </w:pPr>
    </w:p>
    <w:p w14:paraId="38A168C9" w14:textId="12806DE8"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w:t>
      </w:r>
      <w:r w:rsidR="00204937">
        <w:rPr>
          <w:rFonts w:asciiTheme="minorHAnsi" w:eastAsia="SimSun" w:hAnsiTheme="minorHAnsi" w:cstheme="minorHAnsi"/>
          <w:iCs/>
          <w:u w:val="single"/>
          <w:lang w:eastAsia="zh-CN"/>
        </w:rPr>
        <w:t>2</w:t>
      </w:r>
      <w:r w:rsidRPr="00E44ED5">
        <w:rPr>
          <w:rFonts w:asciiTheme="minorHAnsi" w:eastAsia="SimSun" w:hAnsiTheme="minorHAnsi" w:cstheme="minorHAnsi"/>
          <w:iCs/>
          <w:u w:val="single"/>
          <w:lang w:eastAsia="zh-CN"/>
        </w:rPr>
        <w:t>: for intra-</w:t>
      </w:r>
      <w:r w:rsidR="00204937">
        <w:rPr>
          <w:rFonts w:asciiTheme="minorHAnsi" w:eastAsia="SimSun" w:hAnsiTheme="minorHAnsi" w:cstheme="minorHAnsi" w:hint="eastAsia"/>
          <w:iCs/>
          <w:u w:val="single"/>
          <w:lang w:eastAsia="zh-CN"/>
        </w:rPr>
        <w:t>band</w:t>
      </w:r>
      <w:r w:rsidR="00204937">
        <w:rPr>
          <w:rFonts w:asciiTheme="minorHAnsi" w:eastAsia="SimSun" w:hAnsiTheme="minorHAnsi" w:cstheme="minorHAnsi"/>
          <w:iCs/>
          <w:u w:val="single"/>
          <w:lang w:val="en-US" w:eastAsia="zh-CN"/>
        </w:rPr>
        <w:t xml:space="preserve"> inter-</w:t>
      </w:r>
      <w:r w:rsidRPr="00E44ED5">
        <w:rPr>
          <w:rFonts w:asciiTheme="minorHAnsi" w:eastAsia="SimSun"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E378B0">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1: existing scheduling restriction requirements apply except that all symbols in SMTC windows are restricted. (</w:t>
      </w:r>
      <w:proofErr w:type="gramStart"/>
      <w:r w:rsidRPr="007A6EBB">
        <w:rPr>
          <w:rFonts w:asciiTheme="minorHAnsi" w:eastAsia="SimSun" w:hAnsiTheme="minorHAnsi" w:cstheme="minorHAnsi"/>
          <w:bCs/>
          <w:iCs/>
          <w:color w:val="0070C0"/>
          <w:lang w:val="en-US"/>
        </w:rPr>
        <w:t>vivo</w:t>
      </w:r>
      <w:proofErr w:type="gramEnd"/>
      <w:r w:rsidRPr="007A6EBB">
        <w:rPr>
          <w:rFonts w:asciiTheme="minorHAnsi" w:eastAsia="SimSun" w:hAnsiTheme="minorHAnsi" w:cstheme="minorHAnsi"/>
          <w:bCs/>
          <w:iCs/>
          <w:color w:val="0070C0"/>
          <w:lang w:val="en-US"/>
        </w:rPr>
        <w:t>,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4: if </w:t>
      </w:r>
      <w:r w:rsidRPr="007A6EBB">
        <w:rPr>
          <w:rFonts w:asciiTheme="minorHAnsi" w:eastAsia="SimSun" w:hAnsiTheme="minorHAnsi" w:cstheme="minorHAnsi" w:hint="eastAsia"/>
          <w:bCs/>
          <w:iCs/>
          <w:color w:val="0070C0"/>
          <w:lang w:val="en-US"/>
        </w:rPr>
        <w:t>SFN and frame boundary across serving cell and inter-frequency neighbor cells is aligned, and</w:t>
      </w:r>
      <w:r w:rsidRPr="007A6EBB">
        <w:rPr>
          <w:rFonts w:asciiTheme="minorHAnsi" w:eastAsia="SimSun" w:hAnsiTheme="minorHAnsi" w:cstheme="minorHAnsi"/>
          <w:bCs/>
          <w:iCs/>
          <w:color w:val="0070C0"/>
          <w:lang w:val="en-US"/>
        </w:rPr>
        <w:t xml:space="preserve"> </w:t>
      </w:r>
      <w:r w:rsidRPr="007A6EBB">
        <w:rPr>
          <w:rFonts w:asciiTheme="minorHAnsi" w:eastAsia="SimSun" w:hAnsiTheme="minorHAnsi" w:cstheme="minorHAnsi" w:hint="eastAsia"/>
          <w:bCs/>
          <w:iCs/>
          <w:color w:val="0070C0"/>
          <w:lang w:val="en-US"/>
        </w:rPr>
        <w:t>the timing of SSBs across serving cell and inter-frequency neighbor cells are aligned</w:t>
      </w:r>
      <w:r w:rsidRPr="007A6EBB">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912E0">
        <w:rPr>
          <w:rFonts w:asciiTheme="minorHAnsi" w:eastAsia="SimSun" w:hAnsiTheme="minorHAnsi" w:cstheme="minorHAnsi"/>
          <w:color w:val="0070C0"/>
          <w:lang w:val="en-US" w:eastAsia="zh-CN"/>
        </w:rPr>
        <w:t xml:space="preserve">according to </w:t>
      </w:r>
      <w:r w:rsidR="007A6EBB">
        <w:rPr>
          <w:rFonts w:asciiTheme="minorHAnsi" w:eastAsia="SimSun" w:hAnsiTheme="minorHAnsi" w:cstheme="minorHAnsi"/>
          <w:color w:val="0070C0"/>
          <w:lang w:val="en-US" w:eastAsia="zh-CN"/>
        </w:rPr>
        <w:t>GTW discussion</w:t>
      </w:r>
      <w:r w:rsidR="00E378B0">
        <w:rPr>
          <w:rFonts w:asciiTheme="minorHAnsi" w:eastAsia="SimSun" w:hAnsiTheme="minorHAnsi" w:cstheme="minorHAnsi"/>
          <w:color w:val="0070C0"/>
          <w:lang w:val="en-US" w:eastAsia="zh-CN"/>
        </w:rPr>
        <w:t>,</w:t>
      </w:r>
      <w:r w:rsidR="007A6EBB">
        <w:rPr>
          <w:rFonts w:asciiTheme="minorHAnsi" w:eastAsia="SimSun" w:hAnsiTheme="minorHAnsi" w:cstheme="minorHAnsi"/>
          <w:color w:val="0070C0"/>
          <w:lang w:val="en-US" w:eastAsia="zh-CN"/>
        </w:rPr>
        <w:t xml:space="preserve"> </w:t>
      </w:r>
      <w:r w:rsidR="00E378B0">
        <w:rPr>
          <w:rFonts w:asciiTheme="minorHAnsi" w:eastAsia="SimSun" w:hAnsiTheme="minorHAnsi" w:cstheme="minorHAnsi"/>
          <w:color w:val="0070C0"/>
          <w:lang w:val="en-US" w:eastAsia="zh-CN"/>
        </w:rPr>
        <w:t>o</w:t>
      </w:r>
      <w:r w:rsidR="007A6EBB">
        <w:rPr>
          <w:rFonts w:asciiTheme="minorHAnsi" w:eastAsia="SimSun" w:hAnsiTheme="minorHAnsi" w:cstheme="minorHAnsi"/>
          <w:color w:val="0070C0"/>
          <w:lang w:val="en-US" w:eastAsia="zh-CN"/>
        </w:rPr>
        <w:t>ption 2</w:t>
      </w:r>
      <w:r w:rsidR="00E378B0">
        <w:rPr>
          <w:rFonts w:asciiTheme="minorHAnsi" w:eastAsia="SimSun"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SimSun" w:hAnsiTheme="minorHAnsi" w:cstheme="minorHAnsi"/>
          <w:color w:val="000000" w:themeColor="text1"/>
          <w:lang w:val="en-US" w:eastAsia="zh-CN"/>
        </w:rPr>
      </w:pPr>
      <w:r w:rsidRPr="006C6712">
        <w:rPr>
          <w:rFonts w:asciiTheme="minorHAnsi" w:eastAsia="SimSun" w:hAnsiTheme="minorHAnsi" w:cstheme="minorHAnsi"/>
          <w:bCs/>
          <w:iCs/>
          <w:color w:val="000000" w:themeColor="text1"/>
          <w:highlight w:val="yellow"/>
          <w:lang w:val="en-US"/>
        </w:rPr>
        <w:t>If deriveSSB-IndexFromCell-inter is true, only UL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2D534337" w14:textId="77777777" w:rsidTr="00726F48">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8482DB5" w14:textId="77777777" w:rsidTr="00726F48">
        <w:tc>
          <w:tcPr>
            <w:tcW w:w="1236" w:type="dxa"/>
          </w:tcPr>
          <w:p w14:paraId="6E46521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AC9517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Status in the 1</w:t>
      </w:r>
      <w:r w:rsidRPr="00143EFA">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w:t>
      </w:r>
      <w:proofErr w:type="gramStart"/>
      <w:r w:rsidRPr="007D27EA">
        <w:rPr>
          <w:rFonts w:asciiTheme="minorHAnsi" w:eastAsia="SimSun" w:hAnsiTheme="minorHAnsi" w:cstheme="minorHAnsi"/>
          <w:bCs/>
          <w:iCs/>
          <w:color w:val="0070C0"/>
          <w:lang w:val="en-US"/>
        </w:rPr>
        <w:t>vivo</w:t>
      </w:r>
      <w:proofErr w:type="gramEnd"/>
      <w:r w:rsidRPr="007D27EA">
        <w:rPr>
          <w:rFonts w:asciiTheme="minorHAnsi" w:eastAsia="SimSun" w:hAnsiTheme="minorHAnsi" w:cstheme="minorHAnsi"/>
          <w:bCs/>
          <w:iCs/>
          <w:color w:val="0070C0"/>
          <w:lang w:val="en-US"/>
        </w:rPr>
        <w:t>,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SimSun" w:hAnsiTheme="minorHAnsi" w:cstheme="minorHAnsi"/>
          <w:bCs/>
          <w:iCs/>
          <w:color w:val="0070C0"/>
          <w:lang w:val="en-US"/>
        </w:rPr>
        <w:pgNum/>
      </w:r>
      <w:r w:rsidRPr="007D27EA">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7D27EA">
        <w:rPr>
          <w:rFonts w:asciiTheme="minorHAnsi" w:eastAsia="SimSun"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435D4D76" w14:textId="77777777" w:rsidTr="00726F48">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C3FA812" w14:textId="77777777" w:rsidTr="00726F48">
        <w:tc>
          <w:tcPr>
            <w:tcW w:w="1236" w:type="dxa"/>
          </w:tcPr>
          <w:p w14:paraId="6D717A36"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56A5B5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61773C">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r w:rsidR="001326BA" w:rsidRPr="009070CA">
        <w:rPr>
          <w:rFonts w:asciiTheme="minorHAnsi" w:eastAsia="SimSun"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61773C">
        <w:rPr>
          <w:rFonts w:asciiTheme="minorHAnsi" w:eastAsia="SimSun" w:hAnsiTheme="minorHAnsi" w:cstheme="minorHAnsi"/>
          <w:color w:val="0070C0"/>
          <w:lang w:val="en-US" w:eastAsia="zh-CN"/>
        </w:rPr>
        <w:t>according to GTW agreement, NCSG for FR2 intra-band</w:t>
      </w:r>
      <w:r w:rsidRPr="009070CA">
        <w:rPr>
          <w:rFonts w:asciiTheme="minorHAnsi" w:eastAsia="SimSun" w:hAnsiTheme="minorHAnsi" w:cstheme="minorHAnsi"/>
          <w:color w:val="0070C0"/>
          <w:lang w:val="en-US" w:eastAsia="zh-CN"/>
        </w:rPr>
        <w:t xml:space="preserve"> </w:t>
      </w:r>
      <w:r w:rsidR="0061773C">
        <w:rPr>
          <w:rFonts w:asciiTheme="minorHAnsi" w:eastAsia="SimSun" w:hAnsiTheme="minorHAnsi" w:cstheme="minorHAnsi"/>
          <w:color w:val="0070C0"/>
          <w:lang w:val="en-US" w:eastAsia="zh-CN"/>
        </w:rPr>
        <w:t>can be supported with restriction.</w:t>
      </w:r>
      <w:r w:rsidR="00D74771">
        <w:rPr>
          <w:rFonts w:asciiTheme="minorHAnsi" w:eastAsia="SimSun"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SimSun"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726F48">
        <w:tc>
          <w:tcPr>
            <w:tcW w:w="1236" w:type="dxa"/>
          </w:tcPr>
          <w:p w14:paraId="30D5D87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1CE82742"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966867">
              <w:rPr>
                <w:rFonts w:asciiTheme="minorHAnsi" w:eastAsia="SimSun" w:hAnsiTheme="minorHAnsi" w:cstheme="minorHAnsi"/>
                <w:b/>
                <w:bCs/>
                <w:iCs/>
                <w:lang w:val="en-US"/>
              </w:rPr>
              <w:t xml:space="preserve"> in the 2</w:t>
            </w:r>
            <w:r w:rsidR="00966867" w:rsidRPr="00966867">
              <w:rPr>
                <w:rFonts w:asciiTheme="minorHAnsi" w:eastAsia="SimSun" w:hAnsiTheme="minorHAnsi" w:cstheme="minorHAnsi"/>
                <w:b/>
                <w:bCs/>
                <w:iCs/>
                <w:vertAlign w:val="superscript"/>
                <w:lang w:val="en-US"/>
              </w:rPr>
              <w:t>nd</w:t>
            </w:r>
            <w:r w:rsidR="00966867">
              <w:rPr>
                <w:rFonts w:asciiTheme="minorHAnsi" w:eastAsia="SimSun" w:hAnsiTheme="minorHAnsi" w:cstheme="minorHAnsi"/>
                <w:b/>
                <w:bCs/>
                <w:iCs/>
                <w:lang w:val="en-US"/>
              </w:rPr>
              <w:t xml:space="preserve"> round</w:t>
            </w:r>
          </w:p>
        </w:tc>
      </w:tr>
      <w:tr w:rsidR="001326BA" w14:paraId="18C5324D" w14:textId="77777777" w:rsidTr="00726F48">
        <w:tc>
          <w:tcPr>
            <w:tcW w:w="1236" w:type="dxa"/>
          </w:tcPr>
          <w:p w14:paraId="39D12E8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8F34C5C"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lastRenderedPageBreak/>
        <w:t>Issue 4-2-2: for intra-band inter-frequency measurement</w:t>
      </w:r>
    </w:p>
    <w:p w14:paraId="6AE48407" w14:textId="77777777" w:rsidR="0082548A" w:rsidRPr="0082548A" w:rsidRDefault="0082548A" w:rsidP="0082548A">
      <w:pPr>
        <w:spacing w:after="120"/>
        <w:jc w:val="both"/>
        <w:rPr>
          <w:rFonts w:asciiTheme="minorHAnsi" w:eastAsia="SimSun" w:hAnsiTheme="minorHAnsi" w:cstheme="minorHAnsi"/>
          <w:bCs/>
          <w:iCs/>
          <w:lang w:eastAsia="zh-CN"/>
        </w:rPr>
      </w:pPr>
      <w:r w:rsidRPr="0082548A">
        <w:rPr>
          <w:rFonts w:asciiTheme="minorHAnsi" w:eastAsia="SimSun" w:hAnsiTheme="minorHAnsi" w:cstheme="minorHAnsi"/>
          <w:color w:val="0070C0"/>
          <w:lang w:val="en-US" w:eastAsia="zh-CN"/>
        </w:rPr>
        <w:t>Status in the 1</w:t>
      </w:r>
      <w:r w:rsidRPr="0082548A">
        <w:rPr>
          <w:rFonts w:asciiTheme="minorHAnsi" w:eastAsia="SimSun" w:hAnsiTheme="minorHAnsi" w:cstheme="minorHAnsi"/>
          <w:color w:val="0070C0"/>
          <w:vertAlign w:val="superscript"/>
          <w:lang w:val="en-US" w:eastAsia="zh-CN"/>
        </w:rPr>
        <w:t>st</w:t>
      </w:r>
      <w:r w:rsidRPr="0082548A">
        <w:rPr>
          <w:rFonts w:asciiTheme="minorHAnsi" w:eastAsia="SimSun"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924769">
        <w:rPr>
          <w:rFonts w:asciiTheme="minorHAnsi" w:eastAsia="SimSun"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SimSun" w:hAnsiTheme="minorHAnsi" w:cstheme="minorHAnsi"/>
          <w:color w:val="000000" w:themeColor="text1"/>
          <w:lang w:val="en-US" w:eastAsia="zh-CN"/>
        </w:rPr>
      </w:pPr>
      <w:r w:rsidRPr="00823FE5">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5B7FF177" w14:textId="77777777" w:rsidTr="00726F48">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6BD7E75B" w14:textId="77777777" w:rsidTr="00726F48">
        <w:tc>
          <w:tcPr>
            <w:tcW w:w="1236" w:type="dxa"/>
          </w:tcPr>
          <w:p w14:paraId="565F4AE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0C9769B"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SimSun" w:hAnsiTheme="minorHAnsi" w:cstheme="minorHAnsi"/>
          <w:bCs/>
          <w:iCs/>
          <w:lang w:eastAsia="zh-CN"/>
        </w:rPr>
      </w:pPr>
      <w:r w:rsidRPr="00EC2E36">
        <w:rPr>
          <w:rFonts w:asciiTheme="minorHAnsi" w:eastAsia="SimSun" w:hAnsiTheme="minorHAnsi" w:cstheme="minorHAnsi"/>
          <w:color w:val="0070C0"/>
          <w:lang w:val="en-US" w:eastAsia="zh-CN"/>
        </w:rPr>
        <w:t>Status in the 1</w:t>
      </w:r>
      <w:r w:rsidRPr="00EC2E36">
        <w:rPr>
          <w:rFonts w:asciiTheme="minorHAnsi" w:eastAsia="SimSun" w:hAnsiTheme="minorHAnsi" w:cstheme="minorHAnsi"/>
          <w:color w:val="0070C0"/>
          <w:vertAlign w:val="superscript"/>
          <w:lang w:val="en-US" w:eastAsia="zh-CN"/>
        </w:rPr>
        <w:t>st</w:t>
      </w:r>
      <w:r w:rsidRPr="00EC2E36">
        <w:rPr>
          <w:rFonts w:asciiTheme="minorHAnsi" w:eastAsia="SimSun"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506402">
        <w:rPr>
          <w:rFonts w:asciiTheme="minorHAnsi" w:eastAsia="SimSun" w:hAnsiTheme="minorHAnsi" w:cstheme="minorHAnsi"/>
          <w:color w:val="0070C0"/>
          <w:lang w:val="en-US" w:eastAsia="zh-CN"/>
        </w:rPr>
        <w:t>similar with previous issue, please companies check if option 1 is agreeable or any modification is needed</w:t>
      </w:r>
      <w:r w:rsidR="00EC1424">
        <w:rPr>
          <w:rFonts w:asciiTheme="minorHAnsi" w:eastAsia="SimSun" w:hAnsiTheme="minorHAnsi" w:cstheme="minorHAnsi"/>
          <w:color w:val="0070C0"/>
          <w:lang w:val="en-US" w:eastAsia="zh-CN"/>
        </w:rPr>
        <w:t>.</w:t>
      </w:r>
    </w:p>
    <w:p w14:paraId="1F90FC1E" w14:textId="77777777" w:rsidR="00506402" w:rsidRDefault="00506402" w:rsidP="00506402">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SimSun" w:hAnsiTheme="minorHAnsi" w:cstheme="minorHAnsi"/>
          <w:color w:val="0070C0"/>
          <w:lang w:val="en-US" w:eastAsia="zh-CN"/>
        </w:rPr>
      </w:pPr>
      <w:r w:rsidRPr="00506402">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79FC025C" w14:textId="77777777" w:rsidTr="00726F48">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09A8C326" w14:textId="77777777" w:rsidTr="00726F48">
        <w:tc>
          <w:tcPr>
            <w:tcW w:w="1236" w:type="dxa"/>
          </w:tcPr>
          <w:p w14:paraId="53F38C1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4152342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SimSun" w:hAnsiTheme="minorHAnsi" w:cstheme="minorHAnsi"/>
          <w:bCs/>
          <w:iCs/>
          <w:lang w:eastAsia="zh-CN"/>
        </w:rPr>
      </w:pPr>
      <w:r w:rsidRPr="00EC1424">
        <w:rPr>
          <w:rFonts w:asciiTheme="minorHAnsi" w:eastAsia="SimSun" w:hAnsiTheme="minorHAnsi" w:cstheme="minorHAnsi"/>
          <w:color w:val="0070C0"/>
          <w:lang w:val="en-US" w:eastAsia="zh-CN"/>
        </w:rPr>
        <w:t>Status in the 1</w:t>
      </w:r>
      <w:r w:rsidRPr="00EC1424">
        <w:rPr>
          <w:rFonts w:asciiTheme="minorHAnsi" w:eastAsia="SimSun" w:hAnsiTheme="minorHAnsi" w:cstheme="minorHAnsi"/>
          <w:color w:val="0070C0"/>
          <w:vertAlign w:val="superscript"/>
          <w:lang w:val="en-US" w:eastAsia="zh-CN"/>
        </w:rPr>
        <w:t>st</w:t>
      </w:r>
      <w:r w:rsidRPr="00EC1424">
        <w:rPr>
          <w:rFonts w:asciiTheme="minorHAnsi" w:eastAsia="SimSun"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SimSun"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SimSun"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lastRenderedPageBreak/>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sidRPr="00EC1424">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SimSun" w:hAnsiTheme="minorHAnsi" w:cstheme="minorHAnsi"/>
          <w:color w:val="0070C0"/>
          <w:lang w:val="en-US"/>
        </w:rPr>
        <w:pgNum/>
      </w:r>
      <w:r w:rsidRPr="00EC1424">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72B26">
        <w:rPr>
          <w:rFonts w:asciiTheme="minorHAnsi" w:eastAsia="SimSun"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 xml:space="preserve">If </w:t>
      </w:r>
      <w:r w:rsidRPr="00E72B26">
        <w:rPr>
          <w:rFonts w:asciiTheme="minorHAnsi" w:eastAsia="SimSun" w:hAnsiTheme="minorHAnsi" w:cstheme="minorHAnsi"/>
          <w:bCs/>
          <w:i/>
          <w:iCs/>
          <w:color w:val="000000" w:themeColor="text1"/>
          <w:highlight w:val="yellow"/>
          <w:lang w:val="en-US"/>
        </w:rPr>
        <w:t>deriveSSB-IndexFromCell-inter</w:t>
      </w:r>
      <w:r w:rsidRPr="00E72B26">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SimSun" w:hAnsiTheme="minorHAnsi" w:cstheme="minorHAnsi"/>
          <w:bCs/>
          <w:iCs/>
          <w:color w:val="000000" w:themeColor="text1"/>
          <w:highlight w:val="yellow"/>
          <w:lang w:val="zh-CN"/>
        </w:rPr>
        <w:t>Otherwise, all symbols in SMTC windows are restricted</w:t>
      </w:r>
      <w:r w:rsidRPr="00E72B26">
        <w:rPr>
          <w:rFonts w:asciiTheme="minorHAnsi" w:eastAsia="SimSun"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A6166A" w14:paraId="6951D7A1" w14:textId="77777777" w:rsidTr="00726F48">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62E2AA7F" w14:textId="77777777" w:rsidTr="00726F48">
        <w:tc>
          <w:tcPr>
            <w:tcW w:w="1236" w:type="dxa"/>
          </w:tcPr>
          <w:p w14:paraId="03CA31A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DF984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726F48">
        <w:tc>
          <w:tcPr>
            <w:tcW w:w="1236" w:type="dxa"/>
          </w:tcPr>
          <w:p w14:paraId="42CA111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726F48">
        <w:tc>
          <w:tcPr>
            <w:tcW w:w="1236" w:type="dxa"/>
          </w:tcPr>
          <w:p w14:paraId="7D05370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726F48">
        <w:tc>
          <w:tcPr>
            <w:tcW w:w="1236" w:type="dxa"/>
          </w:tcPr>
          <w:p w14:paraId="4D66CFD6"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726F48">
        <w:tc>
          <w:tcPr>
            <w:tcW w:w="1236" w:type="dxa"/>
          </w:tcPr>
          <w:p w14:paraId="45162368"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 xml:space="preserve">The value of CSSF within NCSG is the </w:t>
            </w:r>
            <w:r w:rsidRPr="00243EFC">
              <w:rPr>
                <w:rFonts w:asciiTheme="minorHAnsi" w:eastAsia="PMingLiU" w:hAnsiTheme="minorHAnsi" w:cstheme="minorHAnsi"/>
                <w:bCs/>
                <w:iCs/>
                <w:lang w:val="en-US" w:eastAsia="zh-TW"/>
              </w:rPr>
              <w:lastRenderedPageBreak/>
              <w:t>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726F48">
        <w:tc>
          <w:tcPr>
            <w:tcW w:w="1236" w:type="dxa"/>
          </w:tcPr>
          <w:p w14:paraId="23AFAA65"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lastRenderedPageBreak/>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726F48">
        <w:tc>
          <w:tcPr>
            <w:tcW w:w="1236" w:type="dxa"/>
          </w:tcPr>
          <w:p w14:paraId="7B4FB677"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726F48">
        <w:tc>
          <w:tcPr>
            <w:tcW w:w="1236" w:type="dxa"/>
          </w:tcPr>
          <w:p w14:paraId="52A450FF"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726F48">
        <w:tc>
          <w:tcPr>
            <w:tcW w:w="1236" w:type="dxa"/>
          </w:tcPr>
          <w:p w14:paraId="20838519"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726F48">
        <w:tc>
          <w:tcPr>
            <w:tcW w:w="1236" w:type="dxa"/>
          </w:tcPr>
          <w:p w14:paraId="753F8830"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726F48">
        <w:tc>
          <w:tcPr>
            <w:tcW w:w="1236" w:type="dxa"/>
          </w:tcPr>
          <w:p w14:paraId="3142FEAC"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726F48">
        <w:tc>
          <w:tcPr>
            <w:tcW w:w="1236" w:type="dxa"/>
          </w:tcPr>
          <w:p w14:paraId="32C3F47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285758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726F48">
        <w:tc>
          <w:tcPr>
            <w:tcW w:w="1236" w:type="dxa"/>
          </w:tcPr>
          <w:p w14:paraId="3EBC30AE"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726F48">
        <w:tc>
          <w:tcPr>
            <w:tcW w:w="1236" w:type="dxa"/>
          </w:tcPr>
          <w:p w14:paraId="635E2282"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D5ECD1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726F48">
        <w:tc>
          <w:tcPr>
            <w:tcW w:w="1236" w:type="dxa"/>
          </w:tcPr>
          <w:p w14:paraId="4B55877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726F48">
        <w:tc>
          <w:tcPr>
            <w:tcW w:w="1236" w:type="dxa"/>
          </w:tcPr>
          <w:p w14:paraId="2B5E736A"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17E6C44"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726F48">
        <w:tc>
          <w:tcPr>
            <w:tcW w:w="1236" w:type="dxa"/>
          </w:tcPr>
          <w:p w14:paraId="7E1B302E"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726F48">
        <w:tc>
          <w:tcPr>
            <w:tcW w:w="1236" w:type="dxa"/>
          </w:tcPr>
          <w:p w14:paraId="34456F8A"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6D4D700"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 xml:space="preserve">Prerequisite </w:t>
            </w:r>
            <w:r w:rsidRPr="00243EFC">
              <w:rPr>
                <w:rFonts w:cs="Arial"/>
                <w:sz w:val="14"/>
                <w:szCs w:val="16"/>
                <w:lang w:val="en-US"/>
              </w:rPr>
              <w:lastRenderedPageBreak/>
              <w:t>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lastRenderedPageBreak/>
              <w:t xml:space="preserve">Need for the gNB to know if </w:t>
            </w:r>
            <w:r w:rsidRPr="00243EFC">
              <w:rPr>
                <w:rFonts w:cs="Arial"/>
                <w:sz w:val="14"/>
                <w:szCs w:val="16"/>
                <w:lang w:val="en-US"/>
              </w:rPr>
              <w:lastRenderedPageBreak/>
              <w:t>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lastRenderedPageBreak/>
              <w:t xml:space="preserve">Applicable to </w:t>
            </w:r>
            <w:r w:rsidRPr="00243EFC">
              <w:rPr>
                <w:rFonts w:cs="Arial"/>
                <w:color w:val="000000"/>
                <w:sz w:val="14"/>
                <w:szCs w:val="16"/>
                <w:lang w:val="en-US"/>
              </w:rPr>
              <w:t>the capabil</w:t>
            </w:r>
            <w:r w:rsidRPr="00243EFC">
              <w:rPr>
                <w:rFonts w:cs="Arial"/>
                <w:color w:val="000000"/>
                <w:sz w:val="14"/>
                <w:szCs w:val="16"/>
                <w:lang w:val="en-US"/>
              </w:rPr>
              <w:lastRenderedPageBreak/>
              <w:t>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lastRenderedPageBreak/>
              <w:t xml:space="preserve">Consequence if the feature is not </w:t>
            </w:r>
            <w:r w:rsidRPr="00243EFC">
              <w:rPr>
                <w:rFonts w:cs="Arial"/>
                <w:b/>
                <w:sz w:val="14"/>
                <w:szCs w:val="16"/>
                <w:lang w:val="en-US" w:eastAsia="ja-JP"/>
              </w:rPr>
              <w:lastRenderedPageBreak/>
              <w:t>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726F48">
            <w:pPr>
              <w:pStyle w:val="TAN"/>
              <w:keepNext w:val="0"/>
              <w:keepLines w:val="0"/>
              <w:ind w:left="0" w:firstLine="0"/>
              <w:rPr>
                <w:rFonts w:cs="Arial"/>
                <w:b/>
                <w:sz w:val="14"/>
                <w:szCs w:val="16"/>
                <w:lang w:eastAsia="ja-JP"/>
              </w:rPr>
            </w:pPr>
            <w:r>
              <w:rPr>
                <w:rFonts w:cs="Arial"/>
                <w:b/>
                <w:sz w:val="14"/>
                <w:szCs w:val="16"/>
                <w:lang w:eastAsia="ja-JP"/>
              </w:rPr>
              <w:lastRenderedPageBreak/>
              <w:t>Type</w:t>
            </w:r>
          </w:p>
          <w:p w14:paraId="39981A92" w14:textId="77777777" w:rsidR="00E34908" w:rsidRDefault="00E34908"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of FDD/TDD </w:t>
            </w:r>
            <w:r w:rsidRPr="00243EFC">
              <w:rPr>
                <w:rFonts w:cs="Arial"/>
                <w:sz w:val="14"/>
                <w:szCs w:val="16"/>
                <w:lang w:val="en-US"/>
              </w:rPr>
              <w:lastRenderedPageBreak/>
              <w:t>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lastRenderedPageBreak/>
              <w:t xml:space="preserve">Need of FR1/FR2 </w:t>
            </w:r>
            <w:r w:rsidRPr="00243EFC">
              <w:rPr>
                <w:rFonts w:cs="Arial"/>
                <w:sz w:val="14"/>
                <w:szCs w:val="16"/>
                <w:lang w:val="en-US"/>
              </w:rPr>
              <w:lastRenderedPageBreak/>
              <w:t>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lastRenderedPageBreak/>
              <w:t xml:space="preserve">Capability interpretation for </w:t>
            </w:r>
            <w:r w:rsidRPr="00243EFC">
              <w:rPr>
                <w:rFonts w:cs="Arial"/>
                <w:sz w:val="14"/>
                <w:szCs w:val="16"/>
                <w:lang w:val="en-US"/>
              </w:rPr>
              <w:lastRenderedPageBreak/>
              <w:t>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726F48">
            <w:pPr>
              <w:pStyle w:val="TAH"/>
              <w:keepNext w:val="0"/>
              <w:keepLines w:val="0"/>
              <w:spacing w:before="120" w:after="120"/>
              <w:rPr>
                <w:rFonts w:cs="Arial"/>
                <w:sz w:val="14"/>
                <w:szCs w:val="16"/>
              </w:rPr>
            </w:pPr>
            <w:r>
              <w:rPr>
                <w:rFonts w:cs="Arial"/>
                <w:sz w:val="14"/>
                <w:szCs w:val="16"/>
              </w:rPr>
              <w:lastRenderedPageBreak/>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726F48">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726F48">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726F48">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726F48">
            <w:pPr>
              <w:rPr>
                <w:rFonts w:ascii="Arial" w:hAnsi="Arial" w:cs="Arial"/>
                <w:iCs/>
                <w:sz w:val="14"/>
                <w:szCs w:val="16"/>
                <w:lang w:val="en-US"/>
              </w:rPr>
            </w:pPr>
          </w:p>
          <w:p w14:paraId="7AAEBA30" w14:textId="77777777" w:rsidR="00E34908" w:rsidRDefault="00E34908" w:rsidP="00726F48">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726F48">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726F48">
            <w:pPr>
              <w:pStyle w:val="TAL"/>
              <w:keepNext w:val="0"/>
              <w:keepLines w:val="0"/>
              <w:rPr>
                <w:rFonts w:cs="Arial"/>
                <w:sz w:val="14"/>
                <w:szCs w:val="16"/>
                <w:lang w:eastAsia="ja-JP"/>
              </w:rPr>
            </w:pPr>
          </w:p>
          <w:p w14:paraId="5311D1E5" w14:textId="77777777" w:rsidR="00E34908" w:rsidRDefault="00E34908" w:rsidP="00726F48">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726F48">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726F48">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726F48">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726F48">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726F48">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726F48">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726F48">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726F48">
            <w:pPr>
              <w:pStyle w:val="TAL"/>
              <w:keepNext w:val="0"/>
              <w:keepLines w:val="0"/>
              <w:rPr>
                <w:rFonts w:cs="Arial"/>
                <w:sz w:val="14"/>
                <w:szCs w:val="16"/>
                <w:lang w:eastAsia="ja-JP"/>
              </w:rPr>
            </w:pPr>
          </w:p>
          <w:p w14:paraId="094CC159" w14:textId="77777777" w:rsidR="000162E5" w:rsidRDefault="000162E5" w:rsidP="00726F48">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726F48">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726F48">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726F48">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726F48">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726F48">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726F48">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726F48">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726F48">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726F48">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726F48">
        <w:tc>
          <w:tcPr>
            <w:tcW w:w="1236" w:type="dxa"/>
          </w:tcPr>
          <w:p w14:paraId="0266E856"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726F48">
        <w:tc>
          <w:tcPr>
            <w:tcW w:w="1236" w:type="dxa"/>
          </w:tcPr>
          <w:p w14:paraId="5193F64F"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45D0FE3"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lastRenderedPageBreak/>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A6E9" w14:textId="77777777" w:rsidR="003C00A4" w:rsidRDefault="003C00A4" w:rsidP="000F54AC">
      <w:pPr>
        <w:spacing w:after="0"/>
      </w:pPr>
      <w:r>
        <w:separator/>
      </w:r>
    </w:p>
  </w:endnote>
  <w:endnote w:type="continuationSeparator" w:id="0">
    <w:p w14:paraId="78D61D43" w14:textId="77777777" w:rsidR="003C00A4" w:rsidRDefault="003C00A4"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8B76" w14:textId="77777777" w:rsidR="003C00A4" w:rsidRDefault="003C00A4" w:rsidP="000F54AC">
      <w:pPr>
        <w:spacing w:after="0"/>
      </w:pPr>
      <w:r>
        <w:separator/>
      </w:r>
    </w:p>
  </w:footnote>
  <w:footnote w:type="continuationSeparator" w:id="0">
    <w:p w14:paraId="7CABA70A" w14:textId="77777777" w:rsidR="003C00A4" w:rsidRDefault="003C00A4"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bordersDoNotSurroundHeader/>
  <w:bordersDoNotSurroundFooter/>
  <w:proofState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F67"/>
    <w:rsid w:val="00181158"/>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1BD4"/>
    <w:rsid w:val="0025308E"/>
    <w:rsid w:val="00253F3D"/>
    <w:rsid w:val="00254DCC"/>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D6C"/>
    <w:rsid w:val="006476E5"/>
    <w:rsid w:val="006502BE"/>
    <w:rsid w:val="00650FD1"/>
    <w:rsid w:val="00651EED"/>
    <w:rsid w:val="006534DB"/>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5DB"/>
    <w:rsid w:val="007D5620"/>
    <w:rsid w:val="007D76F2"/>
    <w:rsid w:val="007D7D03"/>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4DC"/>
    <w:rsid w:val="00807C7E"/>
    <w:rsid w:val="0081032C"/>
    <w:rsid w:val="00811EC7"/>
    <w:rsid w:val="008123CF"/>
    <w:rsid w:val="00813580"/>
    <w:rsid w:val="00813ABA"/>
    <w:rsid w:val="008140E4"/>
    <w:rsid w:val="008147D7"/>
    <w:rsid w:val="00814A22"/>
    <w:rsid w:val="008151B8"/>
    <w:rsid w:val="00815528"/>
    <w:rsid w:val="00815F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7B59"/>
    <w:rsid w:val="008C0DCB"/>
    <w:rsid w:val="008C13DE"/>
    <w:rsid w:val="008C19CB"/>
    <w:rsid w:val="008C1AB9"/>
    <w:rsid w:val="008C22F3"/>
    <w:rsid w:val="008C4E38"/>
    <w:rsid w:val="008C58C0"/>
    <w:rsid w:val="008C61FA"/>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4A0"/>
    <w:rsid w:val="00956D2E"/>
    <w:rsid w:val="00957E18"/>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BA0FF-A7BA-4582-AC2D-2BEDC41FD7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58</cp:revision>
  <dcterms:created xsi:type="dcterms:W3CDTF">2022-01-20T07:09:00Z</dcterms:created>
  <dcterms:modified xsi:type="dcterms:W3CDTF">2022-01-20T09:39:00Z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