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7ED3FD47" w:rsidR="00803510" w:rsidRPr="00A412D5" w:rsidRDefault="00274066" w:rsidP="00803510">
      <w:pPr>
        <w:pStyle w:val="3GPPHeader"/>
        <w:spacing w:after="0"/>
        <w:rPr>
          <w:lang w:val="en-US"/>
        </w:rPr>
      </w:pPr>
      <w:r w:rsidRPr="00DE5DDF">
        <w:rPr>
          <w:lang w:val="en-US"/>
        </w:rPr>
        <w:t>3GPP TSG-RAN4 Meeting #</w:t>
      </w:r>
      <w:r>
        <w:rPr>
          <w:lang w:val="en-US"/>
        </w:rPr>
        <w:t>101</w:t>
      </w:r>
      <w:r w:rsidRPr="00DE5DDF">
        <w:rPr>
          <w:lang w:val="en-US"/>
        </w:rPr>
        <w:t>-</w:t>
      </w:r>
      <w:r>
        <w:rPr>
          <w:lang w:val="en-US"/>
        </w:rPr>
        <w:t>bis-</w:t>
      </w:r>
      <w:r w:rsidRPr="00DE5DDF">
        <w:rPr>
          <w:lang w:val="en-US"/>
        </w:rPr>
        <w:t>e</w:t>
      </w:r>
      <w:r w:rsidR="00803510" w:rsidRPr="00A412D5">
        <w:rPr>
          <w:lang w:val="en-US"/>
        </w:rPr>
        <w:tab/>
      </w:r>
      <w:r w:rsidR="001A45A1" w:rsidRPr="001A45A1">
        <w:rPr>
          <w:lang w:val="en-US"/>
        </w:rPr>
        <w:t>R4-2200463</w:t>
      </w:r>
    </w:p>
    <w:p w14:paraId="26F858F2" w14:textId="1D7C0A96" w:rsidR="0043450E" w:rsidRPr="00A412D5" w:rsidRDefault="00274066"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36712687"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5225B2">
        <w:rPr>
          <w:sz w:val="22"/>
        </w:rPr>
        <w:t>MSD table improvements</w:t>
      </w:r>
      <w:bookmarkEnd w:id="0"/>
    </w:p>
    <w:p w14:paraId="23226DA5" w14:textId="3193A327"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886B38">
        <w:rPr>
          <w:sz w:val="22"/>
        </w:rPr>
        <w:t>5.27.1</w:t>
      </w:r>
    </w:p>
    <w:p w14:paraId="7AD518C5" w14:textId="00F9F71D"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4F90">
        <w:rPr>
          <w:sz w:val="22"/>
        </w:rPr>
        <w:t>Discussion</w:t>
      </w:r>
    </w:p>
    <w:p w14:paraId="5C2448DB" w14:textId="1FC17218" w:rsidR="0043450E" w:rsidRPr="00A412D5" w:rsidRDefault="00126055" w:rsidP="0043450E">
      <w:pPr>
        <w:pStyle w:val="Heading1"/>
      </w:pPr>
      <w:r w:rsidRPr="00A412D5">
        <w:t>1</w:t>
      </w:r>
      <w:r w:rsidRPr="00A412D5">
        <w:tab/>
        <w:t>Introduction</w:t>
      </w:r>
    </w:p>
    <w:p w14:paraId="0DE43991" w14:textId="47A64C61" w:rsidR="009F7A7C" w:rsidRPr="005225B2" w:rsidRDefault="005225B2" w:rsidP="00BA51B8">
      <w:pPr>
        <w:rPr>
          <w:lang w:val="en-US"/>
        </w:rPr>
      </w:pPr>
      <w:bookmarkStart w:id="1" w:name="_Hlk58440727"/>
      <w:r>
        <w:rPr>
          <w:lang w:val="en-US"/>
        </w:rPr>
        <w:t>This contribution discusses handling of MSD table based on the approved WF of [1].</w:t>
      </w:r>
    </w:p>
    <w:p w14:paraId="33676B5E" w14:textId="794ABE88" w:rsidR="0068320A" w:rsidRPr="00A412D5" w:rsidRDefault="0068320A" w:rsidP="0068320A">
      <w:pPr>
        <w:pStyle w:val="Heading1"/>
        <w:ind w:left="709" w:hanging="709"/>
      </w:pPr>
      <w:r w:rsidRPr="00A412D5">
        <w:t>2</w:t>
      </w:r>
      <w:r w:rsidRPr="00A412D5">
        <w:tab/>
      </w:r>
      <w:r w:rsidR="005225B2" w:rsidRPr="005225B2">
        <w:t>MSD due to cross-band isolation</w:t>
      </w:r>
    </w:p>
    <w:p w14:paraId="14022578" w14:textId="77777777" w:rsidR="005225B2" w:rsidRDefault="005225B2" w:rsidP="008853C5">
      <w:r>
        <w:t>This section discusses a following part in the approved WF of [1].</w:t>
      </w:r>
    </w:p>
    <w:p w14:paraId="7F900A25" w14:textId="77777777" w:rsidR="005225B2" w:rsidRDefault="005225B2" w:rsidP="005225B2">
      <w:pPr>
        <w:jc w:val="center"/>
      </w:pPr>
      <w:r>
        <w:rPr>
          <w:noProof/>
        </w:rPr>
        <w:drawing>
          <wp:inline distT="0" distB="0" distL="0" distR="0" wp14:anchorId="5019D2A8" wp14:editId="755F48DD">
            <wp:extent cx="4827086" cy="406018"/>
            <wp:effectExtent l="19050" t="19050" r="1206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7954" cy="422914"/>
                    </a:xfrm>
                    <a:prstGeom prst="rect">
                      <a:avLst/>
                    </a:prstGeom>
                    <a:noFill/>
                    <a:ln>
                      <a:solidFill>
                        <a:schemeClr val="tx1"/>
                      </a:solidFill>
                    </a:ln>
                  </pic:spPr>
                </pic:pic>
              </a:graphicData>
            </a:graphic>
          </wp:inline>
        </w:drawing>
      </w:r>
    </w:p>
    <w:p w14:paraId="4C1A05B7" w14:textId="71813DB7" w:rsidR="005225B2" w:rsidRDefault="005225B2" w:rsidP="008853C5">
      <w:proofErr w:type="gramStart"/>
      <w:r>
        <w:t>First of all</w:t>
      </w:r>
      <w:proofErr w:type="gramEnd"/>
      <w:r>
        <w:t xml:space="preserve">, </w:t>
      </w:r>
      <w:r w:rsidR="007E1312">
        <w:t xml:space="preserve">our position on the “FFS” is </w:t>
      </w:r>
      <w:r w:rsidR="002A38A8">
        <w:t xml:space="preserve">that </w:t>
      </w:r>
      <w:r w:rsidR="007E1312">
        <w:t>C-IM test points are needed on top of ACLR1/ACLR2 test points. W</w:t>
      </w:r>
      <w:r>
        <w:t xml:space="preserve">e understand that simplification of MSD tables can reduce RAN4 </w:t>
      </w:r>
      <w:proofErr w:type="gramStart"/>
      <w:r>
        <w:t>workload</w:t>
      </w:r>
      <w:proofErr w:type="gramEnd"/>
      <w:r>
        <w:t xml:space="preserve"> </w:t>
      </w:r>
      <w:r w:rsidR="002A38A8">
        <w:t xml:space="preserve">and it is a reasonable proposal given that </w:t>
      </w:r>
      <w:r>
        <w:t xml:space="preserve">if the current MSD requirements per victim channel bandwidth do not give that much valuable information for RAN4’s efforts. </w:t>
      </w:r>
    </w:p>
    <w:p w14:paraId="46DB1302" w14:textId="06299071" w:rsidR="005225B2" w:rsidRDefault="005225B2" w:rsidP="008853C5">
      <w:r>
        <w:t xml:space="preserve">Through the discussion, DC_3-n1 has been often referred to. The technical observations to identify the worst case scenario in [2, 3] are understandable. The technical oriented analysis, however, sometimes may overlook some practical conditions. For an example of </w:t>
      </w:r>
      <w:r w:rsidRPr="005225B2">
        <w:t>ACLR1/ACLR2</w:t>
      </w:r>
      <w:r>
        <w:t xml:space="preserve">, it may be less likely that the same operator holds 5 MHz in Band 3 and 50 MHz in </w:t>
      </w:r>
      <w:proofErr w:type="gramStart"/>
      <w:r>
        <w:t>n1 in reality</w:t>
      </w:r>
      <w:proofErr w:type="gramEnd"/>
      <w:r>
        <w:t>. It would be likely that the operator would hold wider channel bandwidth than 5 MHz in Band 3</w:t>
      </w:r>
      <w:r w:rsidR="002A38A8">
        <w:t xml:space="preserve"> if they have 50 MHz in n1</w:t>
      </w:r>
      <w:r>
        <w:t>. Though the MSD value derived from 5MHz@Band 3 &amp; 50MHz@n1 may not be suitable to realistic scenario, but still it can bring some insights on case</w:t>
      </w:r>
      <w:r w:rsidR="002A38A8">
        <w:t>s</w:t>
      </w:r>
      <w:r>
        <w:t xml:space="preserve"> where victim channel bandwidth is larger than 5 MHz</w:t>
      </w:r>
      <w:r w:rsidR="00501F25">
        <w:t xml:space="preserve"> since even if </w:t>
      </w:r>
      <w:r>
        <w:t xml:space="preserve">MSD for 20 MHz in Band 3 is not defined, it’s possible to assume that if the aggressor CBW is 50 MHz, there is large MSD, though the value is smaller than the defined worst one. </w:t>
      </w:r>
    </w:p>
    <w:p w14:paraId="662D8AD4" w14:textId="450BCD60" w:rsidR="006A1552" w:rsidRDefault="005225B2" w:rsidP="008853C5">
      <w:r>
        <w:t>Getting back to C-IM, C-IM test points would be useful and valuable information to make operators and network vendors aware the possibility to come across C-IM</w:t>
      </w:r>
      <w:r w:rsidR="002A38A8">
        <w:t xml:space="preserve"> in some scheduling conditions for UL and DL</w:t>
      </w:r>
      <w:r>
        <w:t xml:space="preserve">. RAN4 is going to reduce the amount of the requirements due to the same MSD source from per victim channel bandwidth to the smallest victim channel bandwidth. But it would be better to keep MSD requirements from different MSD sources </w:t>
      </w:r>
      <w:r w:rsidR="00501F25">
        <w:t xml:space="preserve">as much as possible </w:t>
      </w:r>
      <w:r>
        <w:t xml:space="preserve">since they give readers of the specifications some new insights. Moreover, although it has been said that the MSD due to full RB allocation in an aggressor channel bandwidth of 50 MHz is larger than that due to small RBs like 25 RBs, that discussion applies in RAN4 domain. If the number of RBs becomes even smaller in 50 MHz, the calculated MSD over the victim channel bandwidth becomes smaller, but the impact of IMD or C-IM on some potion of victim channel bandwidth becomes larger due to higher PSD. </w:t>
      </w:r>
      <w:r w:rsidR="00501F25">
        <w:t xml:space="preserve">In short, how </w:t>
      </w:r>
      <w:r w:rsidR="00501F25" w:rsidRPr="005225B2">
        <w:t>ACLR1/ACLR2</w:t>
      </w:r>
      <w:r w:rsidR="00501F25">
        <w:t xml:space="preserve">(full RBs allocation) and C-IM/IMD impacts on victim channel bandwidth is different. </w:t>
      </w:r>
      <w:r>
        <w:t xml:space="preserve">Hence, MSD due to C-IM may not look the worst in </w:t>
      </w:r>
      <w:r w:rsidR="00501F25">
        <w:t xml:space="preserve">terms of </w:t>
      </w:r>
      <w:r>
        <w:t>RAN4 definition, but the information is valuable since the readers can know that the existence of C-IM (as well as IMD) and how it impacts on the victim channel bandwidth.</w:t>
      </w:r>
    </w:p>
    <w:p w14:paraId="2752EAB1" w14:textId="4775C7BD" w:rsidR="005225B2" w:rsidRDefault="005225B2" w:rsidP="008853C5">
      <w:r>
        <w:t>With all the above consideration, we observe a following.</w:t>
      </w:r>
    </w:p>
    <w:p w14:paraId="398E2591" w14:textId="2F02B3CB" w:rsidR="005225B2" w:rsidRPr="007E1312" w:rsidRDefault="005225B2" w:rsidP="008853C5">
      <w:pPr>
        <w:rPr>
          <w:b/>
          <w:bCs/>
        </w:rPr>
      </w:pPr>
      <w:r w:rsidRPr="007E1312">
        <w:rPr>
          <w:b/>
          <w:bCs/>
        </w:rPr>
        <w:t>Observation 1: Test points for C-IM and IMD provide additional information necessary apart from ACLR1/ACLR2</w:t>
      </w:r>
      <w:r w:rsidR="007E1312" w:rsidRPr="007E1312">
        <w:rPr>
          <w:b/>
          <w:bCs/>
        </w:rPr>
        <w:t xml:space="preserve"> </w:t>
      </w:r>
      <w:r w:rsidR="007E1312">
        <w:rPr>
          <w:b/>
          <w:bCs/>
        </w:rPr>
        <w:t>while t</w:t>
      </w:r>
      <w:r w:rsidR="007E1312" w:rsidRPr="007E1312">
        <w:rPr>
          <w:b/>
          <w:bCs/>
        </w:rPr>
        <w:t>he necessity can be discussed on a case-by-case basis</w:t>
      </w:r>
      <w:r w:rsidR="002A38A8">
        <w:rPr>
          <w:b/>
          <w:bCs/>
        </w:rPr>
        <w:t xml:space="preserve"> per band combination</w:t>
      </w:r>
      <w:r w:rsidR="007E1312" w:rsidRPr="007E1312">
        <w:rPr>
          <w:b/>
          <w:bCs/>
        </w:rPr>
        <w:t>.</w:t>
      </w:r>
    </w:p>
    <w:p w14:paraId="54E6F581" w14:textId="06D808CF" w:rsidR="007E1312" w:rsidRPr="00A412D5" w:rsidRDefault="007E1312" w:rsidP="007E1312">
      <w:pPr>
        <w:pStyle w:val="Heading1"/>
        <w:ind w:left="709" w:hanging="709"/>
      </w:pPr>
      <w:r>
        <w:t>3</w:t>
      </w:r>
      <w:r w:rsidRPr="00A412D5">
        <w:tab/>
      </w:r>
      <w:r w:rsidRPr="005225B2">
        <w:t xml:space="preserve">MSD due to </w:t>
      </w:r>
      <w:r>
        <w:t>Harmonics</w:t>
      </w:r>
    </w:p>
    <w:p w14:paraId="3B65359F" w14:textId="1F5F2A65" w:rsidR="007E1312" w:rsidRDefault="007E1312" w:rsidP="007E1312">
      <w:r>
        <w:t>This section discusses a following part in the approved WF of [1].</w:t>
      </w:r>
    </w:p>
    <w:p w14:paraId="20EA16BF" w14:textId="3A4B9B65" w:rsidR="007E1312" w:rsidRDefault="007E1312" w:rsidP="007E1312">
      <w:pPr>
        <w:jc w:val="center"/>
      </w:pPr>
      <w:r>
        <w:rPr>
          <w:noProof/>
        </w:rPr>
        <w:lastRenderedPageBreak/>
        <w:drawing>
          <wp:inline distT="0" distB="0" distL="0" distR="0" wp14:anchorId="0B0FE969" wp14:editId="63DA394B">
            <wp:extent cx="5422874" cy="562034"/>
            <wp:effectExtent l="19050" t="19050" r="260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7941" cy="569814"/>
                    </a:xfrm>
                    <a:prstGeom prst="rect">
                      <a:avLst/>
                    </a:prstGeom>
                    <a:noFill/>
                    <a:ln>
                      <a:solidFill>
                        <a:schemeClr val="tx1"/>
                      </a:solidFill>
                    </a:ln>
                  </pic:spPr>
                </pic:pic>
              </a:graphicData>
            </a:graphic>
          </wp:inline>
        </w:drawing>
      </w:r>
    </w:p>
    <w:p w14:paraId="48271301" w14:textId="6570AEA8" w:rsidR="00935D5C" w:rsidRDefault="007E1312" w:rsidP="006A1552">
      <w:r>
        <w:t xml:space="preserve">Our position on the “FFS” is </w:t>
      </w:r>
      <w:r w:rsidRPr="007E1312">
        <w:t xml:space="preserve">Tx / Rx harmonic mixing tables </w:t>
      </w:r>
      <w:r>
        <w:t>can</w:t>
      </w:r>
      <w:r w:rsidRPr="007E1312">
        <w:t xml:space="preserve"> be </w:t>
      </w:r>
      <w:r>
        <w:t>merged in the common tables</w:t>
      </w:r>
      <w:r w:rsidRPr="007E1312">
        <w:t xml:space="preserve"> </w:t>
      </w:r>
      <w:r>
        <w:t xml:space="preserve">while </w:t>
      </w:r>
      <w:r w:rsidRPr="007E1312">
        <w:t xml:space="preserve">PC2 and PC3 MSD should be </w:t>
      </w:r>
      <w:r>
        <w:t>merged</w:t>
      </w:r>
      <w:r w:rsidRPr="007E1312">
        <w:t xml:space="preserve"> in </w:t>
      </w:r>
      <w:r>
        <w:t>the common</w:t>
      </w:r>
      <w:r w:rsidRPr="007E1312">
        <w:t xml:space="preserve"> table</w:t>
      </w:r>
      <w:r>
        <w:t xml:space="preserve">. The reason is quite simple. Regarding the former, the content between Tx/Rx harmonic does not have commonality that much while testing points are reduced, a common table can capture both in the same table format. On the other hand, regarding the latter, all the information other than MSD values is common to PC2 and PC3. There is no reason to keep the tables separate. It’s quite redundant. </w:t>
      </w:r>
    </w:p>
    <w:p w14:paraId="59C5FFE3" w14:textId="7E959EE0" w:rsidR="007E1312" w:rsidRDefault="007E1312" w:rsidP="006A1552">
      <w:pPr>
        <w:rPr>
          <w:b/>
          <w:bCs/>
        </w:rPr>
      </w:pPr>
      <w:r w:rsidRPr="007E1312">
        <w:rPr>
          <w:b/>
          <w:bCs/>
        </w:rPr>
        <w:t xml:space="preserve">Observation </w:t>
      </w:r>
      <w:r>
        <w:rPr>
          <w:b/>
          <w:bCs/>
        </w:rPr>
        <w:t>2</w:t>
      </w:r>
      <w:r w:rsidRPr="007E1312">
        <w:rPr>
          <w:b/>
          <w:bCs/>
        </w:rPr>
        <w:t xml:space="preserve">: Tx / Rx harmonic mixing tables </w:t>
      </w:r>
      <w:r w:rsidRPr="007E1312">
        <w:rPr>
          <w:b/>
          <w:bCs/>
          <w:i/>
          <w:iCs/>
        </w:rPr>
        <w:t>can</w:t>
      </w:r>
      <w:r w:rsidRPr="007E1312">
        <w:rPr>
          <w:b/>
          <w:bCs/>
        </w:rPr>
        <w:t xml:space="preserve"> be </w:t>
      </w:r>
      <w:r>
        <w:rPr>
          <w:b/>
          <w:bCs/>
        </w:rPr>
        <w:t xml:space="preserve">merged in a common table since the same format can accommodate Tx / Rx harmonic except for UL configurations.  </w:t>
      </w:r>
    </w:p>
    <w:p w14:paraId="20C596CD" w14:textId="79A610DB" w:rsidR="007E1312" w:rsidRPr="006A1552" w:rsidRDefault="007E1312" w:rsidP="006A1552">
      <w:pPr>
        <w:rPr>
          <w:b/>
          <w:bCs/>
        </w:rPr>
      </w:pPr>
      <w:r w:rsidRPr="007E1312">
        <w:rPr>
          <w:b/>
          <w:bCs/>
        </w:rPr>
        <w:t xml:space="preserve">Observation </w:t>
      </w:r>
      <w:r>
        <w:rPr>
          <w:b/>
          <w:bCs/>
        </w:rPr>
        <w:t>3</w:t>
      </w:r>
      <w:r w:rsidRPr="007E1312">
        <w:rPr>
          <w:b/>
          <w:bCs/>
        </w:rPr>
        <w:t xml:space="preserve">: PC2 and PC3 MSD should be </w:t>
      </w:r>
      <w:r>
        <w:rPr>
          <w:b/>
          <w:bCs/>
        </w:rPr>
        <w:t>merged</w:t>
      </w:r>
      <w:r w:rsidRPr="007E1312">
        <w:rPr>
          <w:b/>
          <w:bCs/>
        </w:rPr>
        <w:t xml:space="preserve"> in </w:t>
      </w:r>
      <w:r>
        <w:rPr>
          <w:b/>
          <w:bCs/>
        </w:rPr>
        <w:t xml:space="preserve">the </w:t>
      </w:r>
      <w:r w:rsidRPr="007E1312">
        <w:rPr>
          <w:b/>
          <w:bCs/>
        </w:rPr>
        <w:t>common table</w:t>
      </w:r>
      <w:r>
        <w:rPr>
          <w:b/>
          <w:bCs/>
        </w:rPr>
        <w:t xml:space="preserve"> since only the difference for a band combination is only MSD value</w:t>
      </w:r>
      <w:r w:rsidRPr="007E1312">
        <w:rPr>
          <w:b/>
          <w:bCs/>
        </w:rPr>
        <w:t>.</w:t>
      </w:r>
      <w:r>
        <w:rPr>
          <w:b/>
          <w:bCs/>
        </w:rPr>
        <w:t xml:space="preserve"> Having two separate tables is quite redundant. </w:t>
      </w: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7D4E441B" w14:textId="3BF383CC" w:rsidR="007E1312" w:rsidRDefault="00935D5C" w:rsidP="007E1312">
      <w:pPr>
        <w:rPr>
          <w:lang w:val="en-US"/>
        </w:rPr>
      </w:pPr>
      <w:r>
        <w:rPr>
          <w:lang w:val="en-US"/>
        </w:rPr>
        <w:t xml:space="preserve">This contribution discussed </w:t>
      </w:r>
      <w:r w:rsidR="007E1312">
        <w:rPr>
          <w:lang w:val="en-US"/>
        </w:rPr>
        <w:t xml:space="preserve">a few aspects of MSD table improvements. </w:t>
      </w:r>
    </w:p>
    <w:p w14:paraId="5B109887" w14:textId="77777777" w:rsidR="007E1312" w:rsidRPr="007E1312" w:rsidRDefault="007E1312" w:rsidP="007E1312">
      <w:pPr>
        <w:rPr>
          <w:b/>
          <w:bCs/>
        </w:rPr>
      </w:pPr>
      <w:r w:rsidRPr="007E1312">
        <w:rPr>
          <w:b/>
          <w:bCs/>
        </w:rPr>
        <w:t xml:space="preserve">Observation 1: Test points for C-IM and IMD provide additional information necessary apart from ACLR1/ACLR2 </w:t>
      </w:r>
      <w:r>
        <w:rPr>
          <w:b/>
          <w:bCs/>
        </w:rPr>
        <w:t>while t</w:t>
      </w:r>
      <w:r w:rsidRPr="007E1312">
        <w:rPr>
          <w:b/>
          <w:bCs/>
        </w:rPr>
        <w:t>he necessity can be discussed on a case-by-case basis.</w:t>
      </w:r>
    </w:p>
    <w:p w14:paraId="3B910F1C" w14:textId="77777777" w:rsidR="007E1312" w:rsidRDefault="007E1312" w:rsidP="007E1312">
      <w:pPr>
        <w:rPr>
          <w:b/>
          <w:bCs/>
        </w:rPr>
      </w:pPr>
      <w:r w:rsidRPr="007E1312">
        <w:rPr>
          <w:b/>
          <w:bCs/>
        </w:rPr>
        <w:t xml:space="preserve">Observation </w:t>
      </w:r>
      <w:r>
        <w:rPr>
          <w:b/>
          <w:bCs/>
        </w:rPr>
        <w:t>2</w:t>
      </w:r>
      <w:r w:rsidRPr="007E1312">
        <w:rPr>
          <w:b/>
          <w:bCs/>
        </w:rPr>
        <w:t xml:space="preserve">: Tx / Rx harmonic mixing tables </w:t>
      </w:r>
      <w:r w:rsidRPr="007E1312">
        <w:rPr>
          <w:b/>
          <w:bCs/>
          <w:i/>
          <w:iCs/>
        </w:rPr>
        <w:t>can</w:t>
      </w:r>
      <w:r w:rsidRPr="007E1312">
        <w:rPr>
          <w:b/>
          <w:bCs/>
        </w:rPr>
        <w:t xml:space="preserve"> be </w:t>
      </w:r>
      <w:r>
        <w:rPr>
          <w:b/>
          <w:bCs/>
        </w:rPr>
        <w:t xml:space="preserve">merged in a common table since the same format can accommodate Tx / Rx harmonic except for UL configurations.  </w:t>
      </w:r>
    </w:p>
    <w:p w14:paraId="46FD668C" w14:textId="77777777" w:rsidR="007E1312" w:rsidRPr="006A1552" w:rsidRDefault="007E1312" w:rsidP="007E1312">
      <w:pPr>
        <w:rPr>
          <w:b/>
          <w:bCs/>
        </w:rPr>
      </w:pPr>
      <w:r w:rsidRPr="007E1312">
        <w:rPr>
          <w:b/>
          <w:bCs/>
        </w:rPr>
        <w:t xml:space="preserve">Observation </w:t>
      </w:r>
      <w:r>
        <w:rPr>
          <w:b/>
          <w:bCs/>
        </w:rPr>
        <w:t>3</w:t>
      </w:r>
      <w:r w:rsidRPr="007E1312">
        <w:rPr>
          <w:b/>
          <w:bCs/>
        </w:rPr>
        <w:t xml:space="preserve">: PC2 and PC3 MSD should be </w:t>
      </w:r>
      <w:r>
        <w:rPr>
          <w:b/>
          <w:bCs/>
        </w:rPr>
        <w:t>merged</w:t>
      </w:r>
      <w:r w:rsidRPr="007E1312">
        <w:rPr>
          <w:b/>
          <w:bCs/>
        </w:rPr>
        <w:t xml:space="preserve"> in </w:t>
      </w:r>
      <w:r>
        <w:rPr>
          <w:b/>
          <w:bCs/>
        </w:rPr>
        <w:t xml:space="preserve">the </w:t>
      </w:r>
      <w:r w:rsidRPr="007E1312">
        <w:rPr>
          <w:b/>
          <w:bCs/>
        </w:rPr>
        <w:t>common table</w:t>
      </w:r>
      <w:r>
        <w:rPr>
          <w:b/>
          <w:bCs/>
        </w:rPr>
        <w:t xml:space="preserve"> since only the difference for a band combination is only MSD value</w:t>
      </w:r>
      <w:r w:rsidRPr="007E1312">
        <w:rPr>
          <w:b/>
          <w:bCs/>
        </w:rPr>
        <w:t>.</w:t>
      </w:r>
      <w:r>
        <w:rPr>
          <w:b/>
          <w:bCs/>
        </w:rPr>
        <w:t xml:space="preserve"> Having two separate tables is quite redundant. </w:t>
      </w:r>
    </w:p>
    <w:p w14:paraId="08E8FE59" w14:textId="30ADA0C6" w:rsidR="00F62561" w:rsidRPr="00A412D5" w:rsidRDefault="00935D5C" w:rsidP="00F62561">
      <w:pPr>
        <w:pStyle w:val="Heading1"/>
      </w:pPr>
      <w:r>
        <w:t>4</w:t>
      </w:r>
      <w:r w:rsidR="00F62561" w:rsidRPr="00A412D5">
        <w:tab/>
        <w:t>References</w:t>
      </w:r>
    </w:p>
    <w:p w14:paraId="4313FC9F" w14:textId="6CCF25DE" w:rsidR="00886B38" w:rsidRPr="00886B38" w:rsidRDefault="00886B38" w:rsidP="00886B38">
      <w:bookmarkStart w:id="2" w:name="_Hlk84883737"/>
      <w:r w:rsidRPr="00886B38">
        <w:rPr>
          <w:rFonts w:hint="eastAsia"/>
        </w:rPr>
        <w:t>[</w:t>
      </w:r>
      <w:r>
        <w:t>1</w:t>
      </w:r>
      <w:r w:rsidRPr="00886B38">
        <w:t xml:space="preserve">] </w:t>
      </w:r>
      <w:r w:rsidR="005225B2" w:rsidRPr="005225B2">
        <w:t>R4-2119878</w:t>
      </w:r>
      <w:r w:rsidRPr="00886B38">
        <w:t xml:space="preserve">, </w:t>
      </w:r>
      <w:r w:rsidR="005225B2" w:rsidRPr="005225B2">
        <w:t>WF on how to improve MSD tables in Rel-17</w:t>
      </w:r>
      <w:r w:rsidRPr="00886B38">
        <w:t xml:space="preserve">, </w:t>
      </w:r>
      <w:r w:rsidR="005225B2" w:rsidRPr="005225B2">
        <w:t>Skyworks</w:t>
      </w:r>
      <w:r w:rsidRPr="00886B38">
        <w:t>, RAN4 #10</w:t>
      </w:r>
      <w:r w:rsidR="005225B2">
        <w:t>1</w:t>
      </w:r>
      <w:r w:rsidRPr="00886B38">
        <w:t>-e</w:t>
      </w:r>
    </w:p>
    <w:p w14:paraId="7016D115" w14:textId="7C2AF897" w:rsidR="0089303E" w:rsidRDefault="0089303E" w:rsidP="0089303E">
      <w:r w:rsidRPr="00A412D5">
        <w:t>[</w:t>
      </w:r>
      <w:r>
        <w:t>2</w:t>
      </w:r>
      <w:r w:rsidRPr="00A412D5">
        <w:t xml:space="preserve">] </w:t>
      </w:r>
      <w:r w:rsidR="005225B2" w:rsidRPr="005225B2">
        <w:t>R4-2117294</w:t>
      </w:r>
      <w:r w:rsidRPr="00A412D5">
        <w:t xml:space="preserve">, </w:t>
      </w:r>
      <w:r w:rsidR="005225B2" w:rsidRPr="005225B2">
        <w:t>BCS4 MSD for inter-band EN-DC combinations, DC_3_n1, DC_1_n40</w:t>
      </w:r>
      <w:r w:rsidRPr="00A412D5">
        <w:t xml:space="preserve">, </w:t>
      </w:r>
      <w:r w:rsidR="005225B2" w:rsidRPr="005225B2">
        <w:t>Qualcomm Incorporated</w:t>
      </w:r>
      <w:r>
        <w:t xml:space="preserve">, </w:t>
      </w:r>
      <w:r w:rsidR="000656EC">
        <w:t>RAN4</w:t>
      </w:r>
      <w:r>
        <w:t>#</w:t>
      </w:r>
      <w:r w:rsidR="000656EC">
        <w:t>101</w:t>
      </w:r>
      <w:r>
        <w:t>-e</w:t>
      </w:r>
    </w:p>
    <w:bookmarkEnd w:id="2"/>
    <w:p w14:paraId="052E0D36" w14:textId="65BD1B62" w:rsidR="008045AC" w:rsidRDefault="008045AC" w:rsidP="008045AC">
      <w:r w:rsidRPr="00A412D5">
        <w:t>[</w:t>
      </w:r>
      <w:r>
        <w:t>3</w:t>
      </w:r>
      <w:r w:rsidRPr="00A412D5">
        <w:t xml:space="preserve">] </w:t>
      </w:r>
      <w:r w:rsidR="005225B2" w:rsidRPr="005225B2">
        <w:t>R4-2119591</w:t>
      </w:r>
      <w:r w:rsidRPr="00A412D5">
        <w:t xml:space="preserve">, </w:t>
      </w:r>
      <w:r w:rsidR="005225B2" w:rsidRPr="005225B2">
        <w:t>BCS4 MSD improvements</w:t>
      </w:r>
      <w:r w:rsidRPr="00A412D5">
        <w:t xml:space="preserve">, </w:t>
      </w:r>
      <w:r w:rsidR="005225B2" w:rsidRPr="005225B2">
        <w:t>Skyworks Solutions Inc</w:t>
      </w:r>
      <w:r w:rsidR="005225B2">
        <w:t>.</w:t>
      </w:r>
      <w:r>
        <w:t>, RAN4#101-e</w:t>
      </w:r>
    </w:p>
    <w:p w14:paraId="21D7D518" w14:textId="77777777" w:rsidR="0089303E" w:rsidRDefault="0089303E" w:rsidP="002D746B"/>
    <w:sectPr w:rsidR="0089303E"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4DB0" w14:textId="77777777" w:rsidR="00646824" w:rsidRDefault="00646824" w:rsidP="002B3503">
      <w:pPr>
        <w:spacing w:after="0"/>
      </w:pPr>
      <w:r>
        <w:separator/>
      </w:r>
    </w:p>
  </w:endnote>
  <w:endnote w:type="continuationSeparator" w:id="0">
    <w:p w14:paraId="29159E60" w14:textId="77777777" w:rsidR="00646824" w:rsidRDefault="0064682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5ED4E" w14:textId="77777777" w:rsidR="00646824" w:rsidRDefault="00646824" w:rsidP="002B3503">
      <w:pPr>
        <w:spacing w:after="0"/>
      </w:pPr>
      <w:r>
        <w:separator/>
      </w:r>
    </w:p>
  </w:footnote>
  <w:footnote w:type="continuationSeparator" w:id="0">
    <w:p w14:paraId="57C6C7F1" w14:textId="77777777" w:rsidR="00646824" w:rsidRDefault="0064682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0E6476" w:rsidRDefault="000E64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7"/>
  </w:num>
  <w:num w:numId="27">
    <w:abstractNumId w:val="3"/>
  </w:num>
  <w:num w:numId="28">
    <w:abstractNumId w:val="39"/>
  </w:num>
  <w:num w:numId="29">
    <w:abstractNumId w:val="20"/>
  </w:num>
  <w:num w:numId="30">
    <w:abstractNumId w:val="33"/>
  </w:num>
  <w:num w:numId="31">
    <w:abstractNumId w:val="9"/>
  </w:num>
  <w:num w:numId="32">
    <w:abstractNumId w:val="38"/>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57562"/>
    <w:rsid w:val="000656EC"/>
    <w:rsid w:val="0007321B"/>
    <w:rsid w:val="00091F0B"/>
    <w:rsid w:val="000A3CB6"/>
    <w:rsid w:val="000A6473"/>
    <w:rsid w:val="000A754F"/>
    <w:rsid w:val="000B1608"/>
    <w:rsid w:val="000B4E56"/>
    <w:rsid w:val="000B5E8E"/>
    <w:rsid w:val="000D164D"/>
    <w:rsid w:val="000D789C"/>
    <w:rsid w:val="000E6476"/>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4CEE"/>
    <w:rsid w:val="001953B8"/>
    <w:rsid w:val="001A45A1"/>
    <w:rsid w:val="001A7904"/>
    <w:rsid w:val="001A79D6"/>
    <w:rsid w:val="001D5A83"/>
    <w:rsid w:val="001E413F"/>
    <w:rsid w:val="001E5D81"/>
    <w:rsid w:val="001E6E65"/>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56BF"/>
    <w:rsid w:val="00272473"/>
    <w:rsid w:val="00272AAC"/>
    <w:rsid w:val="00274066"/>
    <w:rsid w:val="00276F69"/>
    <w:rsid w:val="00291201"/>
    <w:rsid w:val="00291DDD"/>
    <w:rsid w:val="00294DA5"/>
    <w:rsid w:val="002A066E"/>
    <w:rsid w:val="002A21CD"/>
    <w:rsid w:val="002A38A8"/>
    <w:rsid w:val="002A5689"/>
    <w:rsid w:val="002A7181"/>
    <w:rsid w:val="002B0EF3"/>
    <w:rsid w:val="002B3503"/>
    <w:rsid w:val="002C3B69"/>
    <w:rsid w:val="002D1B45"/>
    <w:rsid w:val="002D658E"/>
    <w:rsid w:val="002D746B"/>
    <w:rsid w:val="002F26C3"/>
    <w:rsid w:val="002F3001"/>
    <w:rsid w:val="002F3595"/>
    <w:rsid w:val="002F6A38"/>
    <w:rsid w:val="003029F0"/>
    <w:rsid w:val="00333CA0"/>
    <w:rsid w:val="00345D7E"/>
    <w:rsid w:val="00347DEA"/>
    <w:rsid w:val="00350FD3"/>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01F25"/>
    <w:rsid w:val="005155DE"/>
    <w:rsid w:val="00517050"/>
    <w:rsid w:val="005225B2"/>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59D"/>
    <w:rsid w:val="00604DAE"/>
    <w:rsid w:val="00613AB3"/>
    <w:rsid w:val="00613EEF"/>
    <w:rsid w:val="00624CC0"/>
    <w:rsid w:val="00630E81"/>
    <w:rsid w:val="00641C2E"/>
    <w:rsid w:val="00641E1F"/>
    <w:rsid w:val="006451A0"/>
    <w:rsid w:val="00646824"/>
    <w:rsid w:val="00653629"/>
    <w:rsid w:val="00664AE9"/>
    <w:rsid w:val="00664DF6"/>
    <w:rsid w:val="0068320A"/>
    <w:rsid w:val="00686BD8"/>
    <w:rsid w:val="00687537"/>
    <w:rsid w:val="006919C7"/>
    <w:rsid w:val="00697736"/>
    <w:rsid w:val="006A0E34"/>
    <w:rsid w:val="006A1552"/>
    <w:rsid w:val="006B0708"/>
    <w:rsid w:val="006B6CB6"/>
    <w:rsid w:val="006C44A0"/>
    <w:rsid w:val="006C6840"/>
    <w:rsid w:val="006D43D1"/>
    <w:rsid w:val="006D63C8"/>
    <w:rsid w:val="006D701F"/>
    <w:rsid w:val="006E49D4"/>
    <w:rsid w:val="00702ED2"/>
    <w:rsid w:val="00703602"/>
    <w:rsid w:val="00713482"/>
    <w:rsid w:val="00720701"/>
    <w:rsid w:val="00724B4E"/>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3D2F"/>
    <w:rsid w:val="007D1C54"/>
    <w:rsid w:val="007D20DF"/>
    <w:rsid w:val="007E0C29"/>
    <w:rsid w:val="007E1312"/>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57AE"/>
    <w:rsid w:val="00881E35"/>
    <w:rsid w:val="008853C5"/>
    <w:rsid w:val="00886B38"/>
    <w:rsid w:val="00890EE1"/>
    <w:rsid w:val="00891F14"/>
    <w:rsid w:val="008926AE"/>
    <w:rsid w:val="0089303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165E"/>
    <w:rsid w:val="009342E0"/>
    <w:rsid w:val="00935D5C"/>
    <w:rsid w:val="00940559"/>
    <w:rsid w:val="00961872"/>
    <w:rsid w:val="00966126"/>
    <w:rsid w:val="009922F2"/>
    <w:rsid w:val="00996062"/>
    <w:rsid w:val="009A1B59"/>
    <w:rsid w:val="009B1E68"/>
    <w:rsid w:val="009B6543"/>
    <w:rsid w:val="009B7F2A"/>
    <w:rsid w:val="009D02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CD1"/>
    <w:rsid w:val="00AB3FAE"/>
    <w:rsid w:val="00AB4684"/>
    <w:rsid w:val="00AD0CC8"/>
    <w:rsid w:val="00AD0F48"/>
    <w:rsid w:val="00AD7B8E"/>
    <w:rsid w:val="00AE1D3D"/>
    <w:rsid w:val="00AE4582"/>
    <w:rsid w:val="00AE52A5"/>
    <w:rsid w:val="00AE6327"/>
    <w:rsid w:val="00AF085F"/>
    <w:rsid w:val="00AF7CB0"/>
    <w:rsid w:val="00B1615C"/>
    <w:rsid w:val="00B20B99"/>
    <w:rsid w:val="00B2349C"/>
    <w:rsid w:val="00B24BEE"/>
    <w:rsid w:val="00B25343"/>
    <w:rsid w:val="00B42112"/>
    <w:rsid w:val="00B4385F"/>
    <w:rsid w:val="00B60363"/>
    <w:rsid w:val="00B61D61"/>
    <w:rsid w:val="00B65B59"/>
    <w:rsid w:val="00B72408"/>
    <w:rsid w:val="00B77164"/>
    <w:rsid w:val="00BA303F"/>
    <w:rsid w:val="00BA40D0"/>
    <w:rsid w:val="00BA51B8"/>
    <w:rsid w:val="00BC228C"/>
    <w:rsid w:val="00BC2924"/>
    <w:rsid w:val="00BC764C"/>
    <w:rsid w:val="00BF4B17"/>
    <w:rsid w:val="00C07A46"/>
    <w:rsid w:val="00C11C3C"/>
    <w:rsid w:val="00C16535"/>
    <w:rsid w:val="00C17B19"/>
    <w:rsid w:val="00C21554"/>
    <w:rsid w:val="00C30772"/>
    <w:rsid w:val="00C3087E"/>
    <w:rsid w:val="00C30EF9"/>
    <w:rsid w:val="00C36BD5"/>
    <w:rsid w:val="00C45DB3"/>
    <w:rsid w:val="00C47C9F"/>
    <w:rsid w:val="00C60CEF"/>
    <w:rsid w:val="00C61A23"/>
    <w:rsid w:val="00C81190"/>
    <w:rsid w:val="00C83E86"/>
    <w:rsid w:val="00C91EE2"/>
    <w:rsid w:val="00C93915"/>
    <w:rsid w:val="00C97EF2"/>
    <w:rsid w:val="00CB607B"/>
    <w:rsid w:val="00CC2754"/>
    <w:rsid w:val="00CC277F"/>
    <w:rsid w:val="00CE241D"/>
    <w:rsid w:val="00CE265A"/>
    <w:rsid w:val="00CE4E40"/>
    <w:rsid w:val="00CE699C"/>
    <w:rsid w:val="00D0461C"/>
    <w:rsid w:val="00D07626"/>
    <w:rsid w:val="00D14E04"/>
    <w:rsid w:val="00D275CC"/>
    <w:rsid w:val="00D348C6"/>
    <w:rsid w:val="00D34A7A"/>
    <w:rsid w:val="00D40AED"/>
    <w:rsid w:val="00D44EB4"/>
    <w:rsid w:val="00D45C3C"/>
    <w:rsid w:val="00D546CC"/>
    <w:rsid w:val="00D56D91"/>
    <w:rsid w:val="00D57C62"/>
    <w:rsid w:val="00D64074"/>
    <w:rsid w:val="00D73C30"/>
    <w:rsid w:val="00D767C4"/>
    <w:rsid w:val="00D77CF5"/>
    <w:rsid w:val="00D85C29"/>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3EF1"/>
    <w:rsid w:val="00E10027"/>
    <w:rsid w:val="00E101DD"/>
    <w:rsid w:val="00E2059F"/>
    <w:rsid w:val="00E23850"/>
    <w:rsid w:val="00E25C47"/>
    <w:rsid w:val="00E332C0"/>
    <w:rsid w:val="00E33B68"/>
    <w:rsid w:val="00E36095"/>
    <w:rsid w:val="00E67197"/>
    <w:rsid w:val="00E87EDC"/>
    <w:rsid w:val="00E962C5"/>
    <w:rsid w:val="00EA3488"/>
    <w:rsid w:val="00EA655B"/>
    <w:rsid w:val="00EB0D8A"/>
    <w:rsid w:val="00EB5F7D"/>
    <w:rsid w:val="00EC2826"/>
    <w:rsid w:val="00EC589F"/>
    <w:rsid w:val="00EC6665"/>
    <w:rsid w:val="00ED54F1"/>
    <w:rsid w:val="00ED5B5A"/>
    <w:rsid w:val="00EE0298"/>
    <w:rsid w:val="00EE100D"/>
    <w:rsid w:val="00EE5885"/>
    <w:rsid w:val="00EE6657"/>
    <w:rsid w:val="00EF2401"/>
    <w:rsid w:val="00EF45DB"/>
    <w:rsid w:val="00F13E67"/>
    <w:rsid w:val="00F44038"/>
    <w:rsid w:val="00F562CA"/>
    <w:rsid w:val="00F62561"/>
    <w:rsid w:val="00F63D8A"/>
    <w:rsid w:val="00F646D5"/>
    <w:rsid w:val="00F648B5"/>
    <w:rsid w:val="00F7023C"/>
    <w:rsid w:val="00F7226A"/>
    <w:rsid w:val="00F82F84"/>
    <w:rsid w:val="00F846F1"/>
    <w:rsid w:val="00F97D64"/>
    <w:rsid w:val="00FA2AB0"/>
    <w:rsid w:val="00FA723F"/>
    <w:rsid w:val="00FB737C"/>
    <w:rsid w:val="00FC0A09"/>
    <w:rsid w:val="00FC264F"/>
    <w:rsid w:val="00FD0298"/>
    <w:rsid w:val="00FD085A"/>
    <w:rsid w:val="00FD25AA"/>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2022-01-10T11:07:00Z</dcterms:created>
  <dcterms:modified xsi:type="dcterms:W3CDTF">2022-01-10T11:07:00Z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