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371" w:rsidRPr="00B23518" w:rsidRDefault="007F2371" w:rsidP="007F2371">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C65BD7" w:rsidRPr="00C65BD7">
        <w:rPr>
          <w:rFonts w:cs="Arial"/>
          <w:sz w:val="24"/>
          <w:szCs w:val="24"/>
        </w:rPr>
        <w:t>R4-2114125</w:t>
      </w:r>
      <w:bookmarkStart w:id="2" w:name="_GoBack"/>
      <w:bookmarkEnd w:id="2"/>
    </w:p>
    <w:p w:rsidR="007F2371" w:rsidRPr="00B23518" w:rsidRDefault="007F2371" w:rsidP="007F2371">
      <w:pPr>
        <w:pStyle w:val="a3"/>
        <w:tabs>
          <w:tab w:val="right" w:pos="9781"/>
          <w:tab w:val="right" w:pos="13323"/>
        </w:tabs>
        <w:outlineLvl w:val="0"/>
        <w:rPr>
          <w:rFonts w:eastAsia="宋体" w:cs="Arial"/>
          <w:b w:val="0"/>
          <w:sz w:val="24"/>
          <w:szCs w:val="24"/>
          <w:lang w:eastAsia="zh-CN"/>
        </w:rPr>
      </w:pPr>
      <w:r w:rsidRPr="00B23518">
        <w:rPr>
          <w:rFonts w:eastAsia="宋体" w:cs="Arial"/>
          <w:sz w:val="24"/>
          <w:szCs w:val="24"/>
          <w:lang w:eastAsia="zh-CN"/>
        </w:rPr>
        <w:t>Electronic Meeting, August 16-27,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45CA7">
        <w:rPr>
          <w:rFonts w:ascii="Arial" w:hAnsi="Arial"/>
          <w:sz w:val="24"/>
          <w:lang w:val="en-US"/>
        </w:rPr>
        <w:t>6.1.1.6.3.13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CA7" w:rsidRPr="00145CA7">
        <w:rPr>
          <w:rFonts w:ascii="Arial" w:hAnsi="Arial"/>
          <w:sz w:val="24"/>
          <w:lang w:val="en-US"/>
        </w:rPr>
        <w:t>Discussion on TC for BFD and CBD for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145CA7" w:rsidRPr="00841386" w:rsidRDefault="00145CA7" w:rsidP="00DF0231">
      <w:pPr>
        <w:rPr>
          <w:kern w:val="2"/>
          <w:lang w:eastAsia="zh-CN"/>
        </w:rPr>
      </w:pPr>
      <w:r>
        <w:rPr>
          <w:rFonts w:eastAsiaTheme="minorEastAsia"/>
          <w:lang w:val="en-US" w:eastAsia="zh-CN"/>
        </w:rPr>
        <w:t xml:space="preserve">The Performance work of NR-U is completed in the last RAN4 meeting, and most TCs are captured in TS 38.133. Most of the test cases are defined following the same framework as legacy test cases with necessary updating on NR-U specific configurations considering LBT operation. However, one significant different aspect is the requirements for RLM OOS evaluation and BFD evaluation, where the evaluation period is differentiated by the SINR condition. Regarding how to reflect this point in test cases, we have different understanding than the test cases design, which has been </w:t>
      </w:r>
      <w:r w:rsidR="00D94EF7">
        <w:rPr>
          <w:rFonts w:eastAsiaTheme="minorEastAsia"/>
          <w:lang w:val="en-US" w:eastAsia="zh-CN"/>
        </w:rPr>
        <w:t>captured in the latest spec.</w:t>
      </w:r>
    </w:p>
    <w:p w:rsidR="00DF0231" w:rsidRDefault="00DF0231" w:rsidP="00DF0231">
      <w:pPr>
        <w:pStyle w:val="1"/>
        <w:numPr>
          <w:ilvl w:val="0"/>
          <w:numId w:val="1"/>
        </w:numPr>
        <w:rPr>
          <w:lang w:val="en-US"/>
        </w:rPr>
      </w:pPr>
      <w:r w:rsidRPr="002D2977">
        <w:rPr>
          <w:lang w:val="en-US"/>
        </w:rPr>
        <w:t>Discussion</w:t>
      </w:r>
    </w:p>
    <w:p w:rsidR="00145CA7" w:rsidRDefault="00145CA7" w:rsidP="004F344B">
      <w:pPr>
        <w:rPr>
          <w:lang w:val="en-US"/>
        </w:rPr>
      </w:pPr>
      <w:r w:rsidRPr="00145CA7">
        <w:rPr>
          <w:rFonts w:eastAsiaTheme="minorEastAsia"/>
          <w:lang w:val="en-US" w:eastAsia="zh-CN"/>
        </w:rPr>
        <w:t>In the current test cases for BFD and CBD in A.10.3.4 and A.11.4.4</w:t>
      </w:r>
      <w:r>
        <w:rPr>
          <w:rFonts w:eastAsiaTheme="minorEastAsia"/>
          <w:lang w:val="en-US" w:eastAsia="zh-CN"/>
        </w:rPr>
        <w:t>, there are two test cases</w:t>
      </w:r>
      <w:r w:rsidR="00EB700E">
        <w:rPr>
          <w:rFonts w:eastAsiaTheme="minorEastAsia"/>
          <w:lang w:val="en-US" w:eastAsia="zh-CN"/>
        </w:rPr>
        <w:t xml:space="preserve">. From our understanding, the motivation of test 1 is to verify the performance of BFD corresponding to the performance when </w:t>
      </w:r>
      <w:r w:rsidR="00EB700E" w:rsidRPr="00DB2199">
        <w:rPr>
          <w:lang w:val="en-US"/>
        </w:rPr>
        <w:t xml:space="preserve">BFD-RS SSB Es/Iot </w:t>
      </w:r>
      <w:r w:rsidR="00EB700E" w:rsidRPr="00DB2199">
        <w:rPr>
          <w:rFonts w:cs="Arial"/>
          <w:lang w:val="en-US"/>
        </w:rPr>
        <w:t xml:space="preserve">&lt; </w:t>
      </w:r>
      <w:r w:rsidR="00EB700E" w:rsidRPr="00DB2199">
        <w:rPr>
          <w:lang w:val="en-US"/>
        </w:rPr>
        <w:t>-7 dB</w:t>
      </w:r>
      <w:r w:rsidR="00EB700E">
        <w:rPr>
          <w:lang w:val="en-US"/>
        </w:rPr>
        <w:t xml:space="preserve">, and test 2 is for the case when </w:t>
      </w:r>
      <w:r w:rsidR="00EB700E" w:rsidRPr="00DB2199">
        <w:rPr>
          <w:lang w:val="en-US"/>
        </w:rPr>
        <w:t xml:space="preserve">BFD-RS SSB Es/Iot </w:t>
      </w:r>
      <w:r w:rsidR="00EB700E" w:rsidRPr="00DB2199">
        <w:rPr>
          <w:rFonts w:cs="Arial"/>
          <w:lang w:val="en-US"/>
        </w:rPr>
        <w:t xml:space="preserve">≥ </w:t>
      </w:r>
      <w:r w:rsidR="00EB700E" w:rsidRPr="00DB2199">
        <w:rPr>
          <w:lang w:val="en-US"/>
        </w:rPr>
        <w:t>-7 dB</w:t>
      </w:r>
      <w:r w:rsidR="00EB700E">
        <w:rPr>
          <w:lang w:val="en-US"/>
        </w:rPr>
        <w:t xml:space="preserve">. The SNR condition of test 1 is same as legacy test cases where UE is expected to detect the beam failure when SNR drops to -12 dB and lasts for at least the evaluation period. However, for test2, the SNR condition of the SSB in set q0 is configured as -4 dB, and UE is expected to trigger the beam failure procedure to meet the evaluation period when </w:t>
      </w:r>
      <w:r w:rsidR="00EB700E" w:rsidRPr="00DB2199">
        <w:rPr>
          <w:lang w:val="en-US"/>
        </w:rPr>
        <w:t xml:space="preserve">BFD-RS SSB Es/Iot </w:t>
      </w:r>
      <w:r w:rsidR="00EB700E" w:rsidRPr="00DB2199">
        <w:rPr>
          <w:rFonts w:cs="Arial"/>
          <w:lang w:val="en-US"/>
        </w:rPr>
        <w:t xml:space="preserve">≥ </w:t>
      </w:r>
      <w:r w:rsidR="00EB700E" w:rsidRPr="00DB2199">
        <w:rPr>
          <w:lang w:val="en-US"/>
        </w:rPr>
        <w:t>-7 dB</w:t>
      </w:r>
      <w:r w:rsidR="00EB700E">
        <w:rPr>
          <w:lang w:val="en-US"/>
        </w:rPr>
        <w:t>. The SNR configuration of test 1 and test 2 in A.11.4.4 are shown as follows:</w:t>
      </w:r>
    </w:p>
    <w:tbl>
      <w:tblPr>
        <w:tblStyle w:val="a7"/>
        <w:tblW w:w="0" w:type="auto"/>
        <w:tblLook w:val="04A0" w:firstRow="1" w:lastRow="0" w:firstColumn="1" w:lastColumn="0" w:noHBand="0" w:noVBand="1"/>
      </w:tblPr>
      <w:tblGrid>
        <w:gridCol w:w="9562"/>
      </w:tblGrid>
      <w:tr w:rsidR="00EB700E" w:rsidTr="00EB700E">
        <w:tc>
          <w:tcPr>
            <w:tcW w:w="9562" w:type="dxa"/>
          </w:tcPr>
          <w:p w:rsidR="00EB700E" w:rsidRPr="00EB700E" w:rsidRDefault="00EB700E" w:rsidP="004F344B">
            <w:pPr>
              <w:rPr>
                <w:rFonts w:eastAsiaTheme="minorEastAsia"/>
                <w:b/>
                <w:lang w:val="en-US" w:eastAsia="zh-CN"/>
              </w:rPr>
            </w:pPr>
            <w:r w:rsidRPr="00EB700E">
              <w:rPr>
                <w:rFonts w:eastAsiaTheme="minorEastAsia"/>
                <w:b/>
                <w:lang w:val="en-US" w:eastAsia="zh-CN"/>
              </w:rPr>
              <w:t>SNR configuration of test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05"/>
              <w:gridCol w:w="866"/>
              <w:gridCol w:w="1007"/>
              <w:gridCol w:w="967"/>
              <w:gridCol w:w="1167"/>
              <w:gridCol w:w="1167"/>
              <w:gridCol w:w="1167"/>
              <w:gridCol w:w="1167"/>
            </w:tblGrid>
            <w:tr w:rsidR="00EB700E" w:rsidRPr="007275DF" w:rsidTr="00EB700E">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Test 1</w:t>
                  </w:r>
                </w:p>
              </w:tc>
            </w:tr>
            <w:tr w:rsidR="00EB700E" w:rsidRPr="007275DF" w:rsidTr="00EB700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rsidR="00EB700E" w:rsidRPr="007275DF" w:rsidRDefault="00EB700E" w:rsidP="00EB700E">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B700E" w:rsidRPr="007275DF" w:rsidRDefault="00EB700E" w:rsidP="00EB700E">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T5</w:t>
                  </w:r>
                </w:p>
              </w:tc>
            </w:tr>
            <w:tr w:rsidR="00EB700E" w:rsidRPr="007275DF" w:rsidTr="00EB700E">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rsidR="00EB700E" w:rsidRPr="007275DF" w:rsidRDefault="00EB700E" w:rsidP="00EB700E">
                  <w:pPr>
                    <w:pStyle w:val="TAH"/>
                    <w:rPr>
                      <w:b w:val="0"/>
                      <w:bCs/>
                    </w:rPr>
                  </w:pPr>
                  <w:r w:rsidRPr="007275DF">
                    <w:rPr>
                      <w:b w:val="0"/>
                      <w:bCs/>
                    </w:rPr>
                    <w:t>DL CCA probability P</w:t>
                  </w:r>
                  <w:r w:rsidRPr="007275DF">
                    <w:rPr>
                      <w:b w:val="0"/>
                      <w:bCs/>
                      <w:vertAlign w:val="subscript"/>
                    </w:rPr>
                    <w:t>CCA,DL</w:t>
                  </w:r>
                </w:p>
              </w:tc>
              <w:tc>
                <w:tcPr>
                  <w:tcW w:w="1418" w:type="dxa"/>
                  <w:tcBorders>
                    <w:top w:val="nil"/>
                    <w:left w:val="single" w:sz="4" w:space="0" w:color="auto"/>
                    <w:right w:val="single" w:sz="4" w:space="0" w:color="auto"/>
                  </w:tcBorders>
                  <w:shd w:val="clear" w:color="auto" w:fill="auto"/>
                  <w:vAlign w:val="center"/>
                </w:tcPr>
                <w:p w:rsidR="00EB700E" w:rsidRPr="007275DF" w:rsidRDefault="00EB700E" w:rsidP="00EB700E">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r>
            <w:tr w:rsidR="00EB700E" w:rsidRPr="007275DF" w:rsidTr="00EB700E">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r>
            <w:tr w:rsidR="00EB700E" w:rsidRPr="007275DF" w:rsidTr="00EB700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L"/>
                  </w:pPr>
                  <w:r w:rsidRPr="007275DF">
                    <w:t>UL CCA probability P</w:t>
                  </w:r>
                  <w:r w:rsidRPr="007275DF">
                    <w:rPr>
                      <w:vertAlign w:val="subscript"/>
                    </w:rPr>
                    <w:t>CCA,UL</w:t>
                  </w:r>
                </w:p>
              </w:tc>
              <w:tc>
                <w:tcPr>
                  <w:tcW w:w="850" w:type="dxa"/>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B700E" w:rsidRPr="007275DF" w:rsidRDefault="00EB700E" w:rsidP="00EB700E">
                  <w:pPr>
                    <w:pStyle w:val="TAC"/>
                  </w:pPr>
                  <w:r w:rsidRPr="007275DF">
                    <w:t>0</w:t>
                  </w: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EB700E">
                    <w:rPr>
                      <w:rFonts w:eastAsia="MS Mincho"/>
                      <w:highlight w:val="yellow"/>
                    </w:rPr>
                    <w:t>-12</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-12</w:t>
                  </w:r>
                </w:p>
              </w:tc>
            </w:tr>
            <w:tr w:rsidR="00EB700E" w:rsidRPr="007275DF" w:rsidTr="00EB700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rsidR="00EB700E" w:rsidRPr="007275DF" w:rsidRDefault="00EB700E" w:rsidP="00EB700E">
                  <w:pPr>
                    <w:pStyle w:val="TAL"/>
                  </w:pPr>
                  <w:r w:rsidRPr="007275DF">
                    <w:lastRenderedPageBreak/>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rsidR="00EB700E" w:rsidRPr="007275DF" w:rsidRDefault="00EB700E" w:rsidP="00EB700E">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10</w:t>
                  </w:r>
                </w:p>
              </w:tc>
            </w:tr>
            <w:tr w:rsidR="00EB700E" w:rsidRPr="007275DF" w:rsidTr="00EB700E">
              <w:trPr>
                <w:cantSplit/>
                <w:trHeight w:val="187"/>
                <w:jc w:val="center"/>
              </w:trPr>
              <w:tc>
                <w:tcPr>
                  <w:tcW w:w="1271" w:type="dxa"/>
                  <w:tcBorders>
                    <w:left w:val="single" w:sz="4" w:space="0" w:color="auto"/>
                    <w:bottom w:val="nil"/>
                    <w:right w:val="single" w:sz="4" w:space="0" w:color="auto"/>
                  </w:tcBorders>
                  <w:shd w:val="clear" w:color="auto" w:fill="auto"/>
                </w:tcPr>
                <w:p w:rsidR="00EB700E" w:rsidRPr="007275DF" w:rsidRDefault="00EB700E" w:rsidP="00EB700E">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rsidR="00EB700E" w:rsidRPr="007275DF" w:rsidRDefault="00EB700E" w:rsidP="00EB700E">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-85</w:t>
                  </w:r>
                </w:p>
              </w:tc>
            </w:tr>
            <w:tr w:rsidR="00EB700E" w:rsidRPr="007275DF" w:rsidTr="00EB700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L"/>
                  </w:pPr>
                  <w:r w:rsidRPr="00D02DF1">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689798523" r:id="rId9"/>
                    </w:object>
                  </w:r>
                </w:p>
              </w:tc>
              <w:tc>
                <w:tcPr>
                  <w:tcW w:w="2410" w:type="dxa"/>
                  <w:gridSpan w:val="2"/>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-98</w:t>
                  </w: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rPr>
                      <w:rFonts w:eastAsia="MS Mincho"/>
                    </w:rPr>
                  </w:pPr>
                  <w:r w:rsidRPr="007275DF">
                    <w:rPr>
                      <w:rFonts w:eastAsia="MS Mincho"/>
                    </w:rPr>
                    <w:t>TDL-C 300ns 100Hz</w:t>
                  </w:r>
                </w:p>
              </w:tc>
            </w:tr>
          </w:tbl>
          <w:p w:rsidR="00EB700E" w:rsidRDefault="00EB700E" w:rsidP="004F344B">
            <w:pPr>
              <w:rPr>
                <w:rFonts w:eastAsiaTheme="minorEastAsia"/>
                <w:lang w:val="en-US" w:eastAsia="zh-CN"/>
              </w:rPr>
            </w:pPr>
          </w:p>
          <w:p w:rsidR="00EB700E" w:rsidRDefault="00EB700E" w:rsidP="004F344B">
            <w:pPr>
              <w:rPr>
                <w:rFonts w:eastAsiaTheme="minorEastAsia"/>
                <w:lang w:val="en-US" w:eastAsia="zh-CN"/>
              </w:rPr>
            </w:pPr>
          </w:p>
          <w:p w:rsidR="00EB700E" w:rsidRDefault="00EB700E" w:rsidP="00EB700E">
            <w:pPr>
              <w:rPr>
                <w:rFonts w:eastAsiaTheme="minorEastAsia"/>
                <w:lang w:val="en-US" w:eastAsia="zh-CN"/>
              </w:rPr>
            </w:pPr>
            <w:r>
              <w:rPr>
                <w:rFonts w:eastAsiaTheme="minorEastAsia"/>
                <w:lang w:val="en-US" w:eastAsia="zh-CN"/>
              </w:rPr>
              <w:t>SNR configuration of test 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05"/>
              <w:gridCol w:w="866"/>
              <w:gridCol w:w="1007"/>
              <w:gridCol w:w="967"/>
              <w:gridCol w:w="1167"/>
              <w:gridCol w:w="1167"/>
              <w:gridCol w:w="1167"/>
              <w:gridCol w:w="1167"/>
            </w:tblGrid>
            <w:tr w:rsidR="00EB700E" w:rsidRPr="007275DF" w:rsidTr="00EB700E">
              <w:trPr>
                <w:cantSplit/>
                <w:trHeight w:val="187"/>
                <w:jc w:val="center"/>
              </w:trPr>
              <w:tc>
                <w:tcPr>
                  <w:tcW w:w="3681" w:type="dxa"/>
                  <w:gridSpan w:val="3"/>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H"/>
                  </w:pPr>
                  <w:r w:rsidRPr="007275DF">
                    <w:t>Parameter</w:t>
                  </w:r>
                </w:p>
              </w:tc>
              <w:tc>
                <w:tcPr>
                  <w:tcW w:w="850"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Test 2</w:t>
                  </w:r>
                </w:p>
              </w:tc>
            </w:tr>
            <w:tr w:rsidR="00EB700E" w:rsidRPr="007275DF" w:rsidTr="00EB700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hideMark/>
                </w:tcPr>
                <w:p w:rsidR="00EB700E" w:rsidRPr="007275DF" w:rsidRDefault="00EB700E" w:rsidP="00EB700E">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EB700E" w:rsidRPr="007275DF" w:rsidRDefault="00EB700E" w:rsidP="00EB700E">
                  <w:pPr>
                    <w:pStyle w:val="TAH"/>
                  </w:pP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H"/>
                  </w:pPr>
                  <w:r w:rsidRPr="007275DF">
                    <w:t>T5</w:t>
                  </w:r>
                </w:p>
              </w:tc>
            </w:tr>
            <w:tr w:rsidR="00EB700E" w:rsidRPr="007275DF" w:rsidTr="00EB700E">
              <w:trPr>
                <w:cantSplit/>
                <w:trHeight w:val="187"/>
                <w:jc w:val="center"/>
              </w:trPr>
              <w:tc>
                <w:tcPr>
                  <w:tcW w:w="2263" w:type="dxa"/>
                  <w:gridSpan w:val="2"/>
                  <w:tcBorders>
                    <w:top w:val="nil"/>
                    <w:left w:val="single" w:sz="4" w:space="0" w:color="auto"/>
                    <w:bottom w:val="nil"/>
                    <w:right w:val="single" w:sz="4" w:space="0" w:color="auto"/>
                  </w:tcBorders>
                  <w:shd w:val="clear" w:color="auto" w:fill="auto"/>
                  <w:vAlign w:val="center"/>
                </w:tcPr>
                <w:p w:rsidR="00EB700E" w:rsidRPr="007275DF" w:rsidRDefault="00EB700E" w:rsidP="00EB700E">
                  <w:pPr>
                    <w:pStyle w:val="TAH"/>
                    <w:rPr>
                      <w:b w:val="0"/>
                      <w:bCs/>
                    </w:rPr>
                  </w:pPr>
                  <w:r w:rsidRPr="007275DF">
                    <w:rPr>
                      <w:b w:val="0"/>
                      <w:bCs/>
                    </w:rPr>
                    <w:t>DL CCA probability P</w:t>
                  </w:r>
                  <w:r w:rsidRPr="007275DF">
                    <w:rPr>
                      <w:b w:val="0"/>
                      <w:bCs/>
                      <w:vertAlign w:val="subscript"/>
                    </w:rPr>
                    <w:t>CCA</w:t>
                  </w:r>
                </w:p>
              </w:tc>
              <w:tc>
                <w:tcPr>
                  <w:tcW w:w="1418" w:type="dxa"/>
                  <w:tcBorders>
                    <w:top w:val="nil"/>
                    <w:left w:val="single" w:sz="4" w:space="0" w:color="auto"/>
                    <w:right w:val="single" w:sz="4" w:space="0" w:color="auto"/>
                  </w:tcBorders>
                  <w:shd w:val="clear" w:color="auto" w:fill="auto"/>
                  <w:vAlign w:val="center"/>
                </w:tcPr>
                <w:p w:rsidR="00EB700E" w:rsidRPr="007275DF" w:rsidRDefault="00EB700E" w:rsidP="00EB700E">
                  <w:pPr>
                    <w:pStyle w:val="TAH"/>
                    <w:rPr>
                      <w:b w:val="0"/>
                      <w:bCs/>
                    </w:rPr>
                  </w:pPr>
                  <w:r w:rsidRPr="007275DF">
                    <w:rPr>
                      <w:b w:val="0"/>
                      <w:bCs/>
                    </w:rPr>
                    <w:t>Note 10, 12</w:t>
                  </w:r>
                </w:p>
              </w:tc>
              <w:tc>
                <w:tcPr>
                  <w:tcW w:w="850" w:type="dxa"/>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[0.9</w:t>
                  </w:r>
                  <w:r w:rsidRPr="007275DF">
                    <w:rPr>
                      <w:b w:val="0"/>
                      <w:bCs/>
                      <w:lang w:val="en-US"/>
                    </w:rPr>
                    <w:t>375</w:t>
                  </w:r>
                  <w:r w:rsidRPr="007275DF">
                    <w:rPr>
                      <w:b w:val="0"/>
                      <w:bCs/>
                    </w:rPr>
                    <w:t>]</w:t>
                  </w:r>
                </w:p>
              </w:tc>
            </w:tr>
            <w:tr w:rsidR="00EB700E" w:rsidRPr="007275DF" w:rsidTr="00EB700E">
              <w:trPr>
                <w:cantSplit/>
                <w:trHeight w:val="187"/>
                <w:jc w:val="center"/>
              </w:trPr>
              <w:tc>
                <w:tcPr>
                  <w:tcW w:w="2263" w:type="dxa"/>
                  <w:gridSpan w:val="2"/>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1418" w:type="dxa"/>
                  <w:tcBorders>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r w:rsidRPr="007275DF">
                    <w:rPr>
                      <w:b w:val="0"/>
                      <w:bCs/>
                    </w:rPr>
                    <w:t>Note 11, 12</w:t>
                  </w:r>
                </w:p>
              </w:tc>
              <w:tc>
                <w:tcPr>
                  <w:tcW w:w="850" w:type="dxa"/>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[1.0]/[1.0]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rPr>
                    <w:t>[0.75]/[0.75]</w:t>
                  </w:r>
                </w:p>
              </w:tc>
            </w:tr>
            <w:tr w:rsidR="00EB700E" w:rsidRPr="007275DF" w:rsidTr="00EB700E">
              <w:trPr>
                <w:cantSplit/>
                <w:trHeight w:val="187"/>
                <w:jc w:val="center"/>
              </w:trPr>
              <w:tc>
                <w:tcPr>
                  <w:tcW w:w="3681" w:type="dxa"/>
                  <w:gridSpan w:val="3"/>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L"/>
                  </w:pPr>
                  <w:r w:rsidRPr="007275DF">
                    <w:t>UL CCA probability P</w:t>
                  </w:r>
                  <w:r w:rsidRPr="007275DF">
                    <w:rPr>
                      <w:vertAlign w:val="subscript"/>
                    </w:rPr>
                    <w:t>CCA</w:t>
                  </w:r>
                </w:p>
              </w:tc>
              <w:tc>
                <w:tcPr>
                  <w:tcW w:w="850" w:type="dxa"/>
                  <w:tcBorders>
                    <w:top w:val="nil"/>
                    <w:left w:val="single" w:sz="4" w:space="0" w:color="auto"/>
                    <w:bottom w:val="single" w:sz="4" w:space="0" w:color="auto"/>
                    <w:right w:val="single" w:sz="4" w:space="0" w:color="auto"/>
                  </w:tcBorders>
                  <w:shd w:val="clear" w:color="auto" w:fill="auto"/>
                  <w:vAlign w:val="center"/>
                </w:tcPr>
                <w:p w:rsidR="00EB700E" w:rsidRPr="007275DF" w:rsidRDefault="00EB700E" w:rsidP="00EB700E">
                  <w:pPr>
                    <w:pStyle w:val="TAH"/>
                    <w:rPr>
                      <w:b w:val="0"/>
                      <w:bCs/>
                    </w:rPr>
                  </w:pP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H"/>
                    <w:rPr>
                      <w:b w:val="0"/>
                      <w:bCs/>
                    </w:rPr>
                  </w:pPr>
                  <w:r w:rsidRPr="007275DF">
                    <w:rPr>
                      <w:b w:val="0"/>
                      <w:bCs/>
                      <w:lang w:val="en-US"/>
                    </w:rPr>
                    <w:t>[1.0]</w:t>
                  </w: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tcPr>
                <w:p w:rsidR="00EB700E" w:rsidRPr="007275DF" w:rsidRDefault="00EB700E" w:rsidP="00EB700E">
                  <w:pPr>
                    <w:pStyle w:val="TAC"/>
                  </w:pPr>
                  <w:r w:rsidRPr="007275DF">
                    <w:t>0</w:t>
                  </w: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EB700E" w:rsidRPr="007275DF" w:rsidRDefault="00EB700E" w:rsidP="00EB700E">
                  <w:pPr>
                    <w:pStyle w:val="TAC"/>
                  </w:pPr>
                </w:p>
              </w:tc>
            </w:tr>
            <w:tr w:rsidR="00EB700E" w:rsidRPr="007275DF" w:rsidTr="00EB700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L"/>
                  </w:pPr>
                  <w:r w:rsidRPr="007275DF">
                    <w:rPr>
                      <w:rFonts w:eastAsia="?? ??"/>
                    </w:rPr>
                    <w:t xml:space="preserve">SNR_SSB of </w:t>
                  </w:r>
                  <w:r w:rsidRPr="007275DF">
                    <w:t>set q</w:t>
                  </w:r>
                  <w:r w:rsidRPr="007275DF">
                    <w:rPr>
                      <w:vertAlign w:val="subscript"/>
                    </w:rPr>
                    <w:t>0</w:t>
                  </w:r>
                </w:p>
              </w:tc>
              <w:tc>
                <w:tcPr>
                  <w:tcW w:w="2410" w:type="dxa"/>
                  <w:gridSpan w:val="2"/>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[-2]</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EB700E">
                    <w:rPr>
                      <w:rFonts w:eastAsia="MS Mincho"/>
                      <w:highlight w:val="yellow"/>
                    </w:rPr>
                    <w:t>[-4]</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[-4]</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[-4]</w:t>
                  </w:r>
                </w:p>
              </w:tc>
            </w:tr>
            <w:tr w:rsidR="00EB700E" w:rsidRPr="007275DF" w:rsidTr="00EB700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rsidR="00EB700E" w:rsidRPr="007275DF" w:rsidRDefault="00EB700E" w:rsidP="00EB700E">
                  <w:pPr>
                    <w:pStyle w:val="TAL"/>
                  </w:pPr>
                  <w:r w:rsidRPr="007275DF">
                    <w:t>SNR_SSB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tcPr>
                <w:p w:rsidR="00EB700E" w:rsidRPr="007275DF" w:rsidRDefault="00EB700E" w:rsidP="00EB700E">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noProof/>
                    </w:rPr>
                  </w:pPr>
                  <w:r w:rsidRPr="007275DF">
                    <w:rPr>
                      <w:rFonts w:eastAsia="MS Mincho"/>
                    </w:rPr>
                    <w:t>10</w:t>
                  </w:r>
                </w:p>
              </w:tc>
            </w:tr>
            <w:tr w:rsidR="00EB700E" w:rsidRPr="007275DF" w:rsidTr="00EB700E">
              <w:trPr>
                <w:cantSplit/>
                <w:trHeight w:val="187"/>
                <w:jc w:val="center"/>
              </w:trPr>
              <w:tc>
                <w:tcPr>
                  <w:tcW w:w="1271" w:type="dxa"/>
                  <w:tcBorders>
                    <w:left w:val="single" w:sz="4" w:space="0" w:color="auto"/>
                    <w:bottom w:val="nil"/>
                    <w:right w:val="single" w:sz="4" w:space="0" w:color="auto"/>
                  </w:tcBorders>
                  <w:shd w:val="clear" w:color="auto" w:fill="auto"/>
                </w:tcPr>
                <w:p w:rsidR="00EB700E" w:rsidRPr="007275DF" w:rsidRDefault="00EB700E" w:rsidP="00EB700E">
                  <w:pPr>
                    <w:pStyle w:val="TAL"/>
                  </w:pPr>
                  <w:r w:rsidRPr="007275DF">
                    <w:rPr>
                      <w:lang w:eastAsia="zh-CN"/>
                    </w:rPr>
                    <w:t>SSB_RP</w:t>
                  </w:r>
                  <w:r w:rsidRPr="007275DF">
                    <w:t xml:space="preserve"> of set q</w:t>
                  </w:r>
                  <w:r w:rsidRPr="007275DF">
                    <w:rPr>
                      <w:vertAlign w:val="subscript"/>
                    </w:rPr>
                    <w:t>1</w:t>
                  </w:r>
                </w:p>
              </w:tc>
              <w:tc>
                <w:tcPr>
                  <w:tcW w:w="2410" w:type="dxa"/>
                  <w:gridSpan w:val="2"/>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L"/>
                    <w:rPr>
                      <w:noProof/>
                    </w:rPr>
                  </w:pPr>
                  <w:r w:rsidRPr="007275DF">
                    <w:rPr>
                      <w:noProof/>
                    </w:rPr>
                    <w:t>Config 1</w:t>
                  </w:r>
                </w:p>
              </w:tc>
              <w:tc>
                <w:tcPr>
                  <w:tcW w:w="850" w:type="dxa"/>
                  <w:tcBorders>
                    <w:left w:val="single" w:sz="4" w:space="0" w:color="auto"/>
                    <w:bottom w:val="nil"/>
                    <w:right w:val="single" w:sz="4" w:space="0" w:color="auto"/>
                  </w:tcBorders>
                  <w:shd w:val="clear" w:color="auto" w:fill="auto"/>
                </w:tcPr>
                <w:p w:rsidR="00EB700E" w:rsidRPr="007275DF" w:rsidRDefault="00EB700E" w:rsidP="00EB700E">
                  <w:pPr>
                    <w:pStyle w:val="TAC"/>
                  </w:pPr>
                  <w:r w:rsidRPr="007275DF">
                    <w:t>dBm/SCS kHz</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rPr>
                      <w:rFonts w:eastAsia="MS Mincho"/>
                    </w:rPr>
                  </w:pPr>
                  <w:r w:rsidRPr="007275DF">
                    <w:rPr>
                      <w:rFonts w:eastAsia="MS Mincho"/>
                    </w:rPr>
                    <w:t>-85</w:t>
                  </w:r>
                </w:p>
              </w:tc>
            </w:tr>
            <w:tr w:rsidR="00EB700E" w:rsidRPr="007275DF" w:rsidTr="00EB700E">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L"/>
                  </w:pPr>
                  <w:r w:rsidRPr="00D02DF1">
                    <w:rPr>
                      <w:position w:val="-12"/>
                    </w:rPr>
                    <w:object w:dxaOrig="420" w:dyaOrig="420">
                      <v:shape id="_x0000_i1026" type="#_x0000_t75" style="width:20pt;height:20pt" o:ole="" fillcolor="window">
                        <v:imagedata r:id="rId8" o:title=""/>
                      </v:shape>
                      <o:OLEObject Type="Embed" ProgID="Equation.3" ShapeID="_x0000_i1026" DrawAspect="Content" ObjectID="_1689798524" r:id="rId10"/>
                    </w:object>
                  </w:r>
                </w:p>
              </w:tc>
              <w:tc>
                <w:tcPr>
                  <w:tcW w:w="2410" w:type="dxa"/>
                  <w:gridSpan w:val="2"/>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rPr>
                      <w:noProof/>
                    </w:rPr>
                  </w:pPr>
                  <w:r w:rsidRPr="007275DF">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rsidR="00EB700E" w:rsidRPr="007275DF" w:rsidRDefault="00EB700E" w:rsidP="00EB700E">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pPr>
                  <w:r w:rsidRPr="007275DF">
                    <w:t>-98</w:t>
                  </w:r>
                </w:p>
              </w:tc>
            </w:tr>
            <w:tr w:rsidR="00EB700E" w:rsidRPr="007275DF" w:rsidTr="00EB700E">
              <w:trPr>
                <w:cantSplit/>
                <w:trHeight w:val="187"/>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L"/>
                  </w:pPr>
                  <w:r w:rsidRPr="007275DF">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EB700E" w:rsidRPr="007275DF" w:rsidRDefault="00EB700E" w:rsidP="00EB700E">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EB700E" w:rsidRPr="007275DF" w:rsidRDefault="00EB700E" w:rsidP="00EB700E">
                  <w:pPr>
                    <w:pStyle w:val="TAC"/>
                    <w:rPr>
                      <w:rFonts w:eastAsia="MS Mincho"/>
                    </w:rPr>
                  </w:pPr>
                  <w:r w:rsidRPr="007275DF">
                    <w:rPr>
                      <w:rFonts w:eastAsia="MS Mincho"/>
                    </w:rPr>
                    <w:t>TDL-C 300ns 100Hz</w:t>
                  </w:r>
                </w:p>
              </w:tc>
            </w:tr>
          </w:tbl>
          <w:p w:rsidR="00EB700E" w:rsidRDefault="00EB700E" w:rsidP="004F344B">
            <w:pPr>
              <w:rPr>
                <w:rFonts w:eastAsiaTheme="minorEastAsia"/>
                <w:lang w:val="en-US" w:eastAsia="zh-CN"/>
              </w:rPr>
            </w:pPr>
          </w:p>
        </w:tc>
      </w:tr>
    </w:tbl>
    <w:p w:rsidR="00EB700E" w:rsidRDefault="00EB700E" w:rsidP="004F344B">
      <w:pPr>
        <w:rPr>
          <w:rFonts w:eastAsiaTheme="minorEastAsia"/>
          <w:lang w:val="en-US" w:eastAsia="zh-CN"/>
        </w:rPr>
      </w:pPr>
    </w:p>
    <w:p w:rsidR="00EB700E" w:rsidRDefault="00EB700E" w:rsidP="004F344B">
      <w:pPr>
        <w:rPr>
          <w:rFonts w:eastAsia="?? ??"/>
          <w:lang w:val="en-US"/>
        </w:rPr>
      </w:pPr>
      <w:r>
        <w:rPr>
          <w:rFonts w:eastAsiaTheme="minorEastAsia"/>
          <w:lang w:val="en-US" w:eastAsia="zh-CN"/>
        </w:rPr>
        <w:t xml:space="preserve">To let UE detect beam failure at higher SNR condition (-4 dB), the aggregation level is configured </w:t>
      </w:r>
      <w:r w:rsidR="00D107EB">
        <w:rPr>
          <w:rFonts w:eastAsiaTheme="minorEastAsia"/>
          <w:lang w:val="en-US" w:eastAsia="zh-CN"/>
        </w:rPr>
        <w:t xml:space="preserve">to 2 compared with 8 in the </w:t>
      </w:r>
      <w:r w:rsidR="00D107EB" w:rsidRPr="00DB2199">
        <w:rPr>
          <w:rFonts w:eastAsia="?? ??"/>
          <w:lang w:val="en-US"/>
        </w:rPr>
        <w:t>hypothetical</w:t>
      </w:r>
      <w:r w:rsidR="00D107EB">
        <w:rPr>
          <w:rFonts w:eastAsia="?? ??"/>
          <w:lang w:val="en-US"/>
        </w:rPr>
        <w:t xml:space="preserve"> PDCCH parameters.</w:t>
      </w:r>
    </w:p>
    <w:p w:rsidR="00D107EB" w:rsidRPr="00A62E9E" w:rsidRDefault="00D107EB" w:rsidP="004F344B">
      <w:pPr>
        <w:rPr>
          <w:rFonts w:eastAsia="?? ??"/>
          <w:b/>
          <w:lang w:val="en-US"/>
        </w:rPr>
      </w:pPr>
      <w:r w:rsidRPr="00A62E9E">
        <w:rPr>
          <w:rFonts w:eastAsia="?? ??"/>
          <w:b/>
          <w:lang w:val="en-US"/>
        </w:rPr>
        <w:t>Observation 1: In the current test cases for BFD and CBD, the aggregation level of PDCCH is configured as 2 to let UE detect the beam failure at higher SNR condition (-4 dB).</w:t>
      </w:r>
    </w:p>
    <w:p w:rsidR="00A62E9E" w:rsidRDefault="00D107EB" w:rsidP="004F344B">
      <w:pPr>
        <w:rPr>
          <w:rFonts w:eastAsia="?? ??"/>
          <w:lang w:val="en-US"/>
        </w:rPr>
      </w:pPr>
      <w:r>
        <w:rPr>
          <w:rFonts w:eastAsia="?? ??"/>
          <w:lang w:val="en-US"/>
        </w:rPr>
        <w:t xml:space="preserve">The motivation behind observation 1 that with smaller aggregation level to achieve similar BLER level the SNR condition to trigger beam failure will be higher. However from our understanding, it is not aligned with the </w:t>
      </w:r>
      <w:r w:rsidR="00A62E9E">
        <w:rPr>
          <w:rFonts w:eastAsia="?? ??"/>
          <w:lang w:val="en-US"/>
        </w:rPr>
        <w:t>functionality of beam failure detection. The threshold of Q</w:t>
      </w:r>
      <w:r w:rsidR="00A62E9E" w:rsidRPr="00A62E9E">
        <w:rPr>
          <w:rFonts w:eastAsia="?? ??"/>
          <w:vertAlign w:val="subscript"/>
          <w:lang w:val="en-US"/>
        </w:rPr>
        <w:t>out_LR</w:t>
      </w:r>
      <w:r w:rsidR="00A62E9E">
        <w:rPr>
          <w:rFonts w:eastAsia="?? ??"/>
          <w:lang w:val="en-US"/>
        </w:rPr>
        <w:t xml:space="preserve"> and Q</w:t>
      </w:r>
      <w:r w:rsidR="00A62E9E" w:rsidRPr="00A62E9E">
        <w:rPr>
          <w:rFonts w:eastAsia="?? ??"/>
          <w:vertAlign w:val="subscript"/>
          <w:lang w:val="en-US"/>
        </w:rPr>
        <w:t>in_LR</w:t>
      </w:r>
      <w:r w:rsidR="00A62E9E">
        <w:rPr>
          <w:rFonts w:eastAsia="?? ??"/>
          <w:lang w:val="en-US"/>
        </w:rPr>
        <w:t xml:space="preserve"> are derived corresponding to the BLER level using the hypothetical PDCCH transmission parameters listed in Table 8.5A.2.1-1 which is shown as follows</w:t>
      </w:r>
      <w:r w:rsidR="00A62E9E" w:rsidRPr="00A62E9E">
        <w:rPr>
          <w:rFonts w:eastAsia="?? ??"/>
          <w:lang w:val="en-US"/>
        </w:rPr>
        <w:t>:</w:t>
      </w:r>
    </w:p>
    <w:p w:rsidR="00A62E9E" w:rsidRPr="00DB2199" w:rsidRDefault="00A62E9E" w:rsidP="00A62E9E">
      <w:pPr>
        <w:pStyle w:val="TH"/>
        <w:rPr>
          <w:lang w:val="en-US"/>
        </w:rPr>
      </w:pPr>
      <w:r w:rsidRPr="00DB2199">
        <w:rPr>
          <w:lang w:val="en-US"/>
        </w:rPr>
        <w:lastRenderedPageBreak/>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A62E9E" w:rsidRPr="00DB2199" w:rsidTr="007551E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H"/>
              <w:rPr>
                <w:rFonts w:eastAsia="?? ??"/>
                <w:lang w:val="en-US"/>
              </w:rPr>
            </w:pPr>
            <w:r w:rsidRPr="00DB2199">
              <w:rPr>
                <w:rFonts w:eastAsia="?? ??"/>
                <w:lang w:val="en-US"/>
              </w:rPr>
              <w:t>Value for BLER</w:t>
            </w:r>
          </w:p>
        </w:tc>
      </w:tr>
      <w:tr w:rsidR="00A62E9E" w:rsidRPr="00DB2199" w:rsidTr="007551E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1-0</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2</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8</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0dB</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0dB</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24</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Same as the SCS of RMSI CORESET</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REG bundle size</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6</w:t>
            </w:r>
          </w:p>
        </w:tc>
      </w:tr>
      <w:tr w:rsidR="00A62E9E" w:rsidRPr="00DB2199" w:rsidTr="007551E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A62E9E" w:rsidRPr="00DB2199" w:rsidRDefault="00A62E9E" w:rsidP="007551E4">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A62E9E" w:rsidRPr="00DB2199" w:rsidRDefault="00A62E9E" w:rsidP="007551E4">
            <w:pPr>
              <w:pStyle w:val="TAC"/>
              <w:rPr>
                <w:lang w:val="en-US"/>
              </w:rPr>
            </w:pPr>
            <w:r w:rsidRPr="00DB2199">
              <w:rPr>
                <w:lang w:val="en-US"/>
              </w:rPr>
              <w:t>Normal</w:t>
            </w:r>
          </w:p>
        </w:tc>
      </w:tr>
      <w:tr w:rsidR="00A62E9E" w:rsidRPr="00DB2199" w:rsidTr="007551E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A62E9E" w:rsidRPr="00DB2199" w:rsidRDefault="00A62E9E" w:rsidP="007551E4">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A62E9E" w:rsidRPr="00DB2199" w:rsidRDefault="00A62E9E" w:rsidP="007551E4">
            <w:pPr>
              <w:pStyle w:val="TAC"/>
              <w:rPr>
                <w:lang w:val="en-US"/>
              </w:rPr>
            </w:pPr>
            <w:r w:rsidRPr="00DB2199">
              <w:rPr>
                <w:lang w:val="en-US"/>
              </w:rPr>
              <w:t>Distributed</w:t>
            </w:r>
          </w:p>
        </w:tc>
      </w:tr>
    </w:tbl>
    <w:p w:rsidR="00A62E9E" w:rsidRDefault="00A62E9E" w:rsidP="004F344B">
      <w:pPr>
        <w:rPr>
          <w:rFonts w:eastAsia="?? ??"/>
          <w:lang w:val="en-US"/>
        </w:rPr>
      </w:pPr>
    </w:p>
    <w:p w:rsidR="00A62E9E" w:rsidRDefault="00A62E9E" w:rsidP="004F344B">
      <w:pPr>
        <w:rPr>
          <w:rFonts w:eastAsia="?? ??"/>
          <w:lang w:val="en-US"/>
        </w:rPr>
      </w:pPr>
      <w:r>
        <w:rPr>
          <w:rFonts w:eastAsia="?? ??" w:hint="eastAsia"/>
          <w:lang w:val="en-US"/>
        </w:rPr>
        <w:t>The value of Q</w:t>
      </w:r>
      <w:r w:rsidRPr="00A62E9E">
        <w:rPr>
          <w:rFonts w:eastAsia="?? ??" w:hint="eastAsia"/>
          <w:vertAlign w:val="subscript"/>
          <w:lang w:val="en-US"/>
        </w:rPr>
        <w:t>out_LR</w:t>
      </w:r>
      <w:r>
        <w:rPr>
          <w:rFonts w:eastAsia="?? ??" w:hint="eastAsia"/>
          <w:lang w:val="en-US"/>
        </w:rPr>
        <w:t xml:space="preserve"> and Q</w:t>
      </w:r>
      <w:r w:rsidRPr="00A62E9E">
        <w:rPr>
          <w:rFonts w:eastAsia="?? ??" w:hint="eastAsia"/>
          <w:vertAlign w:val="subscript"/>
          <w:lang w:val="en-US"/>
        </w:rPr>
        <w:t>in_LR</w:t>
      </w:r>
      <w:r>
        <w:rPr>
          <w:rFonts w:eastAsia="?? ??" w:hint="eastAsia"/>
          <w:lang w:val="en-US"/>
        </w:rPr>
        <w:t xml:space="preserve"> are deterministic value derived from the </w:t>
      </w:r>
      <w:r>
        <w:rPr>
          <w:rFonts w:eastAsia="?? ??"/>
          <w:lang w:val="en-US"/>
        </w:rPr>
        <w:t>hypothetical PDCCH defined in the spec. For example, if NW configured different aggregation level which is different from the value in the table above, UE should detect beam failure using the same Q</w:t>
      </w:r>
      <w:r w:rsidRPr="00A62E9E">
        <w:rPr>
          <w:rFonts w:eastAsia="?? ??"/>
          <w:vertAlign w:val="subscript"/>
          <w:lang w:val="en-US"/>
        </w:rPr>
        <w:t>out_LR</w:t>
      </w:r>
      <w:r>
        <w:rPr>
          <w:rFonts w:eastAsia="?? ??"/>
          <w:lang w:val="en-US"/>
        </w:rPr>
        <w:t xml:space="preserve"> threshold.</w:t>
      </w:r>
    </w:p>
    <w:p w:rsidR="00A62E9E" w:rsidRPr="00925137" w:rsidRDefault="00A62E9E" w:rsidP="004F344B">
      <w:pPr>
        <w:rPr>
          <w:rFonts w:eastAsia="?? ??"/>
          <w:b/>
          <w:lang w:val="en-US"/>
        </w:rPr>
      </w:pPr>
      <w:r w:rsidRPr="00925137">
        <w:rPr>
          <w:rFonts w:eastAsia="?? ??"/>
          <w:b/>
          <w:lang w:val="en-US"/>
        </w:rPr>
        <w:t xml:space="preserve">Observation 2: The threshold of </w:t>
      </w:r>
      <w:r w:rsidRPr="00925137">
        <w:rPr>
          <w:rFonts w:eastAsia="?? ??" w:hint="eastAsia"/>
          <w:b/>
          <w:lang w:val="en-US"/>
        </w:rPr>
        <w:t>Q</w:t>
      </w:r>
      <w:r w:rsidRPr="00925137">
        <w:rPr>
          <w:rFonts w:eastAsia="?? ??" w:hint="eastAsia"/>
          <w:b/>
          <w:vertAlign w:val="subscript"/>
          <w:lang w:val="en-US"/>
        </w:rPr>
        <w:t>out_LR</w:t>
      </w:r>
      <w:r w:rsidRPr="00925137">
        <w:rPr>
          <w:rFonts w:eastAsia="?? ??" w:hint="eastAsia"/>
          <w:b/>
          <w:lang w:val="en-US"/>
        </w:rPr>
        <w:t xml:space="preserve"> and Q</w:t>
      </w:r>
      <w:r w:rsidRPr="00925137">
        <w:rPr>
          <w:rFonts w:eastAsia="?? ??" w:hint="eastAsia"/>
          <w:b/>
          <w:vertAlign w:val="subscript"/>
          <w:lang w:val="en-US"/>
        </w:rPr>
        <w:t>in_LR</w:t>
      </w:r>
      <w:r w:rsidRPr="00925137">
        <w:rPr>
          <w:rFonts w:eastAsia="?? ??"/>
          <w:b/>
          <w:vertAlign w:val="subscript"/>
          <w:lang w:val="en-US"/>
        </w:rPr>
        <w:t xml:space="preserve"> </w:t>
      </w:r>
      <w:r w:rsidRPr="00925137">
        <w:rPr>
          <w:rFonts w:eastAsia="?? ??"/>
          <w:b/>
          <w:lang w:val="en-US"/>
        </w:rPr>
        <w:t>are deterministic value derived from the fixed hypothetical PDCCH and will not change with the actual configuration of aggregation level.</w:t>
      </w:r>
    </w:p>
    <w:p w:rsidR="00A62E9E" w:rsidRDefault="00925137" w:rsidP="004F344B">
      <w:pPr>
        <w:rPr>
          <w:rFonts w:eastAsia="?? ??"/>
          <w:lang w:val="en-US"/>
        </w:rPr>
      </w:pPr>
      <w:r>
        <w:rPr>
          <w:rFonts w:eastAsia="?? ??" w:hint="eastAsia"/>
          <w:lang w:val="en-US"/>
        </w:rPr>
        <w:t xml:space="preserve">Based on </w:t>
      </w:r>
      <w:r>
        <w:rPr>
          <w:rFonts w:eastAsia="?? ??"/>
          <w:lang w:val="en-US"/>
        </w:rPr>
        <w:t>current</w:t>
      </w:r>
      <w:r>
        <w:rPr>
          <w:rFonts w:eastAsia="?? ??" w:hint="eastAsia"/>
          <w:lang w:val="en-US"/>
        </w:rPr>
        <w:t xml:space="preserve"> </w:t>
      </w:r>
      <w:r>
        <w:rPr>
          <w:rFonts w:eastAsia="?? ??"/>
          <w:lang w:val="en-US"/>
        </w:rPr>
        <w:t>configurations of test 2, UE is expected to detect beam failure at -4 dB but shout not do so at -2 dB. It means UE will trigger beam failure when the channel condition is still good and with extreme accurate measurement of SNR condition. Triggering BFD (OOS in RLM) at such high channel condition is not acceptable for both UE side and NW side. For example, the side conditions for most accuracy requirements are -4 dB even -6 dB, and it could not be the condition for beam failure or OOS.</w:t>
      </w:r>
    </w:p>
    <w:p w:rsidR="00925137" w:rsidRPr="00925137" w:rsidRDefault="00925137" w:rsidP="004F344B">
      <w:pPr>
        <w:rPr>
          <w:rFonts w:eastAsia="?? ??"/>
          <w:b/>
          <w:lang w:val="en-US"/>
        </w:rPr>
      </w:pPr>
      <w:r w:rsidRPr="00925137">
        <w:rPr>
          <w:rFonts w:eastAsia="?? ??"/>
          <w:b/>
          <w:lang w:val="en-US"/>
        </w:rPr>
        <w:t>Observation 3: Triggering BF (OOS in RLM) at high channel condition is not expected to both NW side and UE side.</w:t>
      </w:r>
    </w:p>
    <w:p w:rsidR="00925137" w:rsidRDefault="00925137" w:rsidP="004F344B">
      <w:pPr>
        <w:rPr>
          <w:rFonts w:eastAsia="?? ??"/>
          <w:lang w:val="en-US"/>
        </w:rPr>
      </w:pPr>
      <w:r>
        <w:rPr>
          <w:rFonts w:eastAsia="?? ??"/>
          <w:lang w:val="en-US"/>
        </w:rPr>
        <w:t>With the understanding of the SNR level to trigger BF, we further look in the unique design in NR-U where the evaluation period is defined with different SNR level. The req</w:t>
      </w:r>
      <w:r w:rsidR="005F6FF3">
        <w:rPr>
          <w:rFonts w:eastAsia="?? ??"/>
          <w:lang w:val="en-US"/>
        </w:rPr>
        <w:t>uirements are shown as follows:</w:t>
      </w:r>
    </w:p>
    <w:tbl>
      <w:tblPr>
        <w:tblStyle w:val="a7"/>
        <w:tblW w:w="0" w:type="auto"/>
        <w:tblLook w:val="04A0" w:firstRow="1" w:lastRow="0" w:firstColumn="1" w:lastColumn="0" w:noHBand="0" w:noVBand="1"/>
      </w:tblPr>
      <w:tblGrid>
        <w:gridCol w:w="9562"/>
      </w:tblGrid>
      <w:tr w:rsidR="00925137" w:rsidTr="00925137">
        <w:tc>
          <w:tcPr>
            <w:tcW w:w="9562" w:type="dxa"/>
          </w:tcPr>
          <w:p w:rsidR="00925137" w:rsidRPr="00DB2199" w:rsidRDefault="00925137" w:rsidP="00925137">
            <w:pPr>
              <w:pStyle w:val="TH"/>
              <w:rPr>
                <w:lang w:val="en-US"/>
              </w:rPr>
            </w:pPr>
            <w:r w:rsidRPr="00DB2199">
              <w:rPr>
                <w:lang w:val="en-US"/>
              </w:rPr>
              <w:t>Table 8.5A.2.2-1: Evaluation period T</w:t>
            </w:r>
            <w:r w:rsidRPr="00DB2199">
              <w:rPr>
                <w:vertAlign w:val="subscript"/>
                <w:lang w:val="en-US"/>
              </w:rPr>
              <w:t>Evaluate_BFD_SSB_CCA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3683"/>
              <w:gridCol w:w="3826"/>
            </w:tblGrid>
            <w:tr w:rsidR="00925137" w:rsidRPr="00DB2199" w:rsidTr="007551E4">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rsidR="00925137" w:rsidRPr="00DB2199" w:rsidRDefault="00925137" w:rsidP="00925137">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925137" w:rsidRPr="00DB2199" w:rsidTr="007551E4">
              <w:trPr>
                <w:jc w:val="center"/>
              </w:trPr>
              <w:tc>
                <w:tcPr>
                  <w:tcW w:w="1852" w:type="dxa"/>
                  <w:tcBorders>
                    <w:top w:val="nil"/>
                    <w:left w:val="single" w:sz="4" w:space="0" w:color="auto"/>
                    <w:bottom w:val="single" w:sz="4" w:space="0" w:color="auto"/>
                    <w:right w:val="single" w:sz="4" w:space="0" w:color="auto"/>
                  </w:tcBorders>
                  <w:shd w:val="clear" w:color="auto" w:fill="auto"/>
                </w:tcPr>
                <w:p w:rsidR="00925137" w:rsidRPr="00DB2199" w:rsidRDefault="00925137" w:rsidP="00925137">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rsidR="00925137" w:rsidRPr="00DB2199" w:rsidRDefault="00925137" w:rsidP="00925137">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 -7 dB</w:t>
                  </w:r>
                </w:p>
              </w:tc>
              <w:tc>
                <w:tcPr>
                  <w:tcW w:w="3964" w:type="dxa"/>
                  <w:tcBorders>
                    <w:top w:val="single" w:sz="4" w:space="0" w:color="auto"/>
                    <w:left w:val="single" w:sz="4" w:space="0" w:color="auto"/>
                    <w:bottom w:val="single" w:sz="4" w:space="0" w:color="auto"/>
                    <w:right w:val="single" w:sz="4" w:space="0" w:color="auto"/>
                  </w:tcBorders>
                </w:tcPr>
                <w:p w:rsidR="00925137" w:rsidRPr="00DB2199" w:rsidRDefault="00925137" w:rsidP="00925137">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&lt; -7 dB</w:t>
                  </w:r>
                </w:p>
              </w:tc>
            </w:tr>
            <w:tr w:rsidR="00925137" w:rsidRPr="00DB2199" w:rsidTr="007551E4">
              <w:trPr>
                <w:jc w:val="center"/>
              </w:trPr>
              <w:tc>
                <w:tcPr>
                  <w:tcW w:w="1852" w:type="dxa"/>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szCs w:val="18"/>
                      <w:lang w:val="en-US"/>
                    </w:rPr>
                    <w:sym w:font="Symbol" w:char="F0B4"/>
                  </w:r>
                  <w:r w:rsidRPr="00DB2199">
                    <w:rPr>
                      <w:szCs w:val="18"/>
                      <w:lang w:val="en-US"/>
                    </w:rPr>
                    <w:t xml:space="preserve"> </w:t>
                  </w:r>
                  <w:r w:rsidRPr="00DB2199">
                    <w:rPr>
                      <w:rFonts w:cs="v4.2.0"/>
                      <w:lang w:val="en-US"/>
                    </w:rPr>
                    <w:t xml:space="preserve">P) </w:t>
                  </w:r>
                  <w:r w:rsidRPr="00DB2199">
                    <w:rPr>
                      <w:szCs w:val="18"/>
                      <w:lang w:val="en-US"/>
                    </w:rPr>
                    <w:sym w:font="Symbol" w:char="F0B4"/>
                  </w:r>
                  <w:r w:rsidRPr="00DB2199">
                    <w:rPr>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rsidR="00925137" w:rsidRPr="00DB2199" w:rsidRDefault="00925137" w:rsidP="00925137">
                  <w:pPr>
                    <w:pStyle w:val="TAC"/>
                    <w:rPr>
                      <w:rFonts w:cs="v4.2.0"/>
                      <w:lang w:val="en-US"/>
                    </w:rPr>
                  </w:pPr>
                  <w:r w:rsidRPr="00DB2199">
                    <w:rPr>
                      <w:rFonts w:cs="v4.2.0"/>
                      <w:lang w:val="en-US"/>
                    </w:rPr>
                    <w:t xml:space="preserve">Max(50, Ceil((12 </w:t>
                  </w:r>
                  <w:r w:rsidRPr="00DB2199">
                    <w:rPr>
                      <w:szCs w:val="18"/>
                      <w:lang w:val="en-US"/>
                    </w:rPr>
                    <w:sym w:font="Symbol" w:char="F0B4"/>
                  </w:r>
                  <w:r w:rsidRPr="00DB2199">
                    <w:rPr>
                      <w:szCs w:val="18"/>
                      <w:lang w:val="en-US"/>
                    </w:rPr>
                    <w:t xml:space="preserve"> </w:t>
                  </w:r>
                  <w:r w:rsidRPr="00DB2199">
                    <w:rPr>
                      <w:rFonts w:cs="v4.2.0"/>
                      <w:lang w:val="en-US"/>
                    </w:rPr>
                    <w:t xml:space="preserve">P) </w:t>
                  </w:r>
                  <w:r w:rsidRPr="00DB2199">
                    <w:rPr>
                      <w:szCs w:val="18"/>
                      <w:lang w:val="en-US"/>
                    </w:rPr>
                    <w:sym w:font="Symbol" w:char="F0B4"/>
                  </w:r>
                  <w:r w:rsidRPr="00DB2199">
                    <w:rPr>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925137" w:rsidRPr="00DB2199" w:rsidTr="007551E4">
              <w:trPr>
                <w:jc w:val="center"/>
              </w:trPr>
              <w:tc>
                <w:tcPr>
                  <w:tcW w:w="1852" w:type="dxa"/>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C"/>
                    <w:rPr>
                      <w:lang w:val="en-US"/>
                    </w:rPr>
                  </w:pPr>
                  <w:r w:rsidRPr="00DB2199">
                    <w:rPr>
                      <w:lang w:val="en-US"/>
                    </w:rPr>
                    <w:t>DRX cycle ≤ 320ms</w:t>
                  </w:r>
                </w:p>
              </w:tc>
              <w:tc>
                <w:tcPr>
                  <w:tcW w:w="3813" w:type="dxa"/>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C"/>
                    <w:rPr>
                      <w:lang w:val="en-US"/>
                    </w:rPr>
                  </w:pPr>
                  <w:r w:rsidRPr="00DB2199">
                    <w:rPr>
                      <w:rFonts w:cs="v4.2.0"/>
                      <w:lang w:val="en-US"/>
                    </w:rPr>
                    <w:t xml:space="preserve">Max(50, Ceil(1.5 </w:t>
                  </w:r>
                  <w:r w:rsidRPr="00DB2199">
                    <w:rPr>
                      <w:szCs w:val="18"/>
                      <w:lang w:val="en-US"/>
                    </w:rPr>
                    <w:sym w:font="Symbol" w:char="F0B4"/>
                  </w:r>
                  <w:r w:rsidRPr="00DB2199">
                    <w:rPr>
                      <w:szCs w:val="18"/>
                      <w:lang w:val="en-US"/>
                    </w:rPr>
                    <w:t xml:space="preserve"> 8 </w:t>
                  </w:r>
                  <w:r w:rsidRPr="00DB2199">
                    <w:rPr>
                      <w:szCs w:val="18"/>
                      <w:lang w:val="en-US"/>
                    </w:rPr>
                    <w:sym w:font="Symbol" w:char="F0B4"/>
                  </w:r>
                  <w:r w:rsidRPr="00DB2199">
                    <w:rPr>
                      <w:szCs w:val="18"/>
                      <w:lang w:val="en-US"/>
                    </w:rPr>
                    <w:t xml:space="preserve"> </w:t>
                  </w:r>
                  <w:r w:rsidRPr="00DB2199">
                    <w:rPr>
                      <w:rFonts w:cs="v4.2.0"/>
                      <w:lang w:val="en-US"/>
                    </w:rPr>
                    <w:t xml:space="preserve">P) </w:t>
                  </w:r>
                  <w:r w:rsidRPr="00DB2199">
                    <w:rPr>
                      <w:szCs w:val="18"/>
                      <w:lang w:val="en-US"/>
                    </w:rPr>
                    <w:sym w:font="Symbol" w:char="F0B4"/>
                  </w:r>
                  <w:r w:rsidRPr="00DB2199">
                    <w:rPr>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rsidR="00925137" w:rsidRPr="00DB2199" w:rsidRDefault="00925137" w:rsidP="00925137">
                  <w:pPr>
                    <w:pStyle w:val="TAC"/>
                    <w:rPr>
                      <w:rFonts w:cs="v4.2.0"/>
                      <w:lang w:val="en-US"/>
                    </w:rPr>
                  </w:pPr>
                  <w:r w:rsidRPr="00DB2199">
                    <w:rPr>
                      <w:rFonts w:cs="v4.2.0"/>
                      <w:lang w:val="en-US"/>
                    </w:rPr>
                    <w:t xml:space="preserve">Max(50, Ceil(1.5 </w:t>
                  </w:r>
                  <w:r w:rsidRPr="00DB2199">
                    <w:rPr>
                      <w:szCs w:val="18"/>
                      <w:lang w:val="en-US"/>
                    </w:rPr>
                    <w:sym w:font="Symbol" w:char="F0B4"/>
                  </w:r>
                  <w:r w:rsidRPr="00DB2199">
                    <w:rPr>
                      <w:szCs w:val="18"/>
                      <w:lang w:val="en-US"/>
                    </w:rPr>
                    <w:t xml:space="preserve"> 10</w:t>
                  </w:r>
                  <w:r w:rsidRPr="00DB2199">
                    <w:rPr>
                      <w:rFonts w:cs="v4.2.0"/>
                      <w:lang w:val="en-US"/>
                    </w:rPr>
                    <w:t xml:space="preserve"> </w:t>
                  </w:r>
                  <w:r w:rsidRPr="00DB2199">
                    <w:rPr>
                      <w:szCs w:val="18"/>
                      <w:lang w:val="en-US"/>
                    </w:rPr>
                    <w:sym w:font="Symbol" w:char="F0B4"/>
                  </w:r>
                  <w:r w:rsidRPr="00DB2199">
                    <w:rPr>
                      <w:szCs w:val="18"/>
                      <w:lang w:val="en-US"/>
                    </w:rPr>
                    <w:t xml:space="preserve"> </w:t>
                  </w:r>
                  <w:r w:rsidRPr="00DB2199">
                    <w:rPr>
                      <w:rFonts w:cs="v4.2.0"/>
                      <w:lang w:val="en-US"/>
                    </w:rPr>
                    <w:t xml:space="preserve">P) </w:t>
                  </w:r>
                  <w:r w:rsidRPr="00DB2199">
                    <w:rPr>
                      <w:szCs w:val="18"/>
                      <w:lang w:val="en-US"/>
                    </w:rPr>
                    <w:sym w:font="Symbol" w:char="F0B4"/>
                  </w:r>
                  <w:r w:rsidRPr="00DB2199">
                    <w:rPr>
                      <w:szCs w:val="18"/>
                      <w:lang w:val="en-US"/>
                    </w:rPr>
                    <w:t xml:space="preserve"> </w:t>
                  </w:r>
                  <w:r w:rsidRPr="00DB2199">
                    <w:rPr>
                      <w:rFonts w:cs="v4.2.0"/>
                      <w:lang w:val="en-US"/>
                    </w:rPr>
                    <w:t>Max(T</w:t>
                  </w:r>
                  <w:r w:rsidRPr="00DB2199">
                    <w:rPr>
                      <w:rFonts w:cs="v4.2.0"/>
                      <w:vertAlign w:val="subscript"/>
                      <w:lang w:val="en-US"/>
                    </w:rPr>
                    <w:t>DRX</w:t>
                  </w:r>
                  <w:r w:rsidRPr="00DB2199">
                    <w:rPr>
                      <w:rFonts w:cs="v4.2.0"/>
                      <w:lang w:val="en-US"/>
                    </w:rPr>
                    <w:t>,T</w:t>
                  </w:r>
                  <w:r w:rsidRPr="00DB2199">
                    <w:rPr>
                      <w:rFonts w:cs="v4.2.0"/>
                      <w:vertAlign w:val="subscript"/>
                      <w:lang w:val="en-US"/>
                    </w:rPr>
                    <w:t>SSB</w:t>
                  </w:r>
                  <w:r w:rsidRPr="00DB2199">
                    <w:rPr>
                      <w:rFonts w:cs="v4.2.0"/>
                      <w:lang w:val="en-US"/>
                    </w:rPr>
                    <w:t>))</w:t>
                  </w:r>
                </w:p>
              </w:tc>
            </w:tr>
            <w:tr w:rsidR="00925137" w:rsidRPr="00DB2199" w:rsidTr="007551E4">
              <w:trPr>
                <w:jc w:val="center"/>
              </w:trPr>
              <w:tc>
                <w:tcPr>
                  <w:tcW w:w="1852" w:type="dxa"/>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C"/>
                    <w:rPr>
                      <w:lang w:val="en-US"/>
                    </w:rPr>
                  </w:pPr>
                  <w:r w:rsidRPr="00DB2199">
                    <w:rPr>
                      <w:rFonts w:cs="v4.2.0"/>
                      <w:lang w:val="en-US"/>
                    </w:rPr>
                    <w:t xml:space="preserve">Ceil(7 </w:t>
                  </w:r>
                  <w:r w:rsidRPr="00DB2199">
                    <w:rPr>
                      <w:szCs w:val="18"/>
                      <w:lang w:val="en-US"/>
                    </w:rPr>
                    <w:sym w:font="Symbol" w:char="F0B4"/>
                  </w:r>
                  <w:r w:rsidRPr="00DB2199">
                    <w:rPr>
                      <w:szCs w:val="18"/>
                      <w:lang w:val="en-US"/>
                    </w:rPr>
                    <w:t xml:space="preserve"> </w:t>
                  </w:r>
                  <w:r w:rsidRPr="00DB2199">
                    <w:rPr>
                      <w:rFonts w:cs="v4.2.0"/>
                      <w:lang w:val="en-US"/>
                    </w:rPr>
                    <w:t xml:space="preserve">P) </w:t>
                  </w:r>
                  <w:r w:rsidRPr="00DB2199">
                    <w:rPr>
                      <w:szCs w:val="18"/>
                      <w:lang w:val="en-US"/>
                    </w:rPr>
                    <w:sym w:font="Symbol" w:char="F0B4"/>
                  </w:r>
                  <w:r w:rsidRPr="00DB2199">
                    <w:rPr>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rsidR="00925137" w:rsidRPr="00DB2199" w:rsidRDefault="00925137" w:rsidP="00925137">
                  <w:pPr>
                    <w:pStyle w:val="TAC"/>
                    <w:rPr>
                      <w:rFonts w:cs="v4.2.0"/>
                      <w:lang w:val="en-US"/>
                    </w:rPr>
                  </w:pPr>
                  <w:r w:rsidRPr="00DB2199">
                    <w:rPr>
                      <w:rFonts w:cs="v4.2.0"/>
                      <w:lang w:val="en-US"/>
                    </w:rPr>
                    <w:t xml:space="preserve">Ceil(8 </w:t>
                  </w:r>
                  <w:r w:rsidRPr="00DB2199">
                    <w:rPr>
                      <w:szCs w:val="18"/>
                      <w:lang w:val="en-US"/>
                    </w:rPr>
                    <w:sym w:font="Symbol" w:char="F0B4"/>
                  </w:r>
                  <w:r w:rsidRPr="00DB2199">
                    <w:rPr>
                      <w:szCs w:val="18"/>
                      <w:lang w:val="en-US"/>
                    </w:rPr>
                    <w:t xml:space="preserve"> </w:t>
                  </w:r>
                  <w:r w:rsidRPr="00DB2199">
                    <w:rPr>
                      <w:rFonts w:cs="v4.2.0"/>
                      <w:lang w:val="en-US"/>
                    </w:rPr>
                    <w:t xml:space="preserve">P) </w:t>
                  </w:r>
                  <w:r w:rsidRPr="00DB2199">
                    <w:rPr>
                      <w:szCs w:val="18"/>
                      <w:lang w:val="en-US"/>
                    </w:rPr>
                    <w:sym w:font="Symbol" w:char="F0B4"/>
                  </w:r>
                  <w:r w:rsidRPr="00DB2199">
                    <w:rPr>
                      <w:szCs w:val="18"/>
                      <w:lang w:val="en-US"/>
                    </w:rPr>
                    <w:t xml:space="preserve"> </w:t>
                  </w:r>
                  <w:r w:rsidRPr="00DB2199">
                    <w:rPr>
                      <w:rFonts w:cs="v4.2.0"/>
                      <w:lang w:val="en-US"/>
                    </w:rPr>
                    <w:t>T</w:t>
                  </w:r>
                  <w:r w:rsidRPr="00DB2199">
                    <w:rPr>
                      <w:rFonts w:cs="v4.2.0"/>
                      <w:vertAlign w:val="subscript"/>
                      <w:lang w:val="en-US"/>
                    </w:rPr>
                    <w:t>DRX</w:t>
                  </w:r>
                </w:p>
              </w:tc>
            </w:tr>
            <w:tr w:rsidR="00925137" w:rsidRPr="00DB2199" w:rsidTr="007551E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rsidR="00925137" w:rsidRPr="00DB2199" w:rsidRDefault="00925137" w:rsidP="00925137">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rsidR="00925137" w:rsidRPr="00DB2199" w:rsidRDefault="00925137" w:rsidP="00925137">
                  <w:pPr>
                    <w:pStyle w:val="TAN"/>
                    <w:rPr>
                      <w:lang w:val="en-US"/>
                    </w:rPr>
                  </w:pPr>
                  <w:r w:rsidRPr="00DB2199">
                    <w:rPr>
                      <w:lang w:val="en-US"/>
                    </w:rPr>
                    <w:t>Note 2:</w:t>
                  </w:r>
                  <w:r w:rsidRPr="00DB2199">
                    <w:rPr>
                      <w:lang w:val="en-US"/>
                    </w:rPr>
                    <w:tab/>
                  </w:r>
                  <w:r w:rsidRPr="005F6FF3">
                    <w:rPr>
                      <w:highlight w:val="yellow"/>
                      <w:lang w:val="en-US"/>
                    </w:rPr>
                    <w:t>BFD-RS SSB Es/Iot is the averaged BFD-RS SSB Es/Iot over the most recent previous evaluation period.</w:t>
                  </w:r>
                </w:p>
              </w:tc>
            </w:tr>
          </w:tbl>
          <w:p w:rsidR="00925137" w:rsidRPr="00925137" w:rsidRDefault="00925137" w:rsidP="004F344B">
            <w:pPr>
              <w:rPr>
                <w:rFonts w:eastAsia="?? ??"/>
              </w:rPr>
            </w:pPr>
          </w:p>
        </w:tc>
      </w:tr>
    </w:tbl>
    <w:p w:rsidR="00925137" w:rsidRDefault="00925137" w:rsidP="004F344B">
      <w:pPr>
        <w:rPr>
          <w:rFonts w:eastAsia="?? ??"/>
          <w:lang w:val="en-US"/>
        </w:rPr>
      </w:pPr>
    </w:p>
    <w:p w:rsidR="005F6FF3" w:rsidRDefault="005F6FF3" w:rsidP="004F344B">
      <w:pPr>
        <w:rPr>
          <w:rFonts w:eastAsia="?? ??"/>
          <w:lang w:val="en-US"/>
        </w:rPr>
      </w:pPr>
      <w:r>
        <w:rPr>
          <w:rFonts w:eastAsia="?? ??" w:hint="eastAsia"/>
          <w:lang w:val="en-US"/>
        </w:rPr>
        <w:t xml:space="preserve">During the </w:t>
      </w:r>
      <w:r>
        <w:rPr>
          <w:rFonts w:eastAsia="?? ??"/>
          <w:lang w:val="en-US"/>
        </w:rPr>
        <w:t>discussion</w:t>
      </w:r>
      <w:r>
        <w:rPr>
          <w:rFonts w:eastAsia="?? ??" w:hint="eastAsia"/>
          <w:lang w:val="en-US"/>
        </w:rPr>
        <w:t xml:space="preserve"> </w:t>
      </w:r>
      <w:r>
        <w:rPr>
          <w:rFonts w:eastAsia="?? ??"/>
          <w:lang w:val="en-US"/>
        </w:rPr>
        <w:t>in core part stage, the motivation is that due to LBT failure, the measurement results of a RLM-RS could be very low and UE is not able to distinguish whether it is caused by LBT failure or channel condition is getting worse. Then to avoid unnecessary BF(OOS in RLM) triggering which will greatly damage the system perform, it is proposed to extend the evaluation period to a fixed length. Typically, the beam failure detection and OOS evaluation are performed using sliding window, company explained that when the channel condition is good, UE is able to tell whether there is LBT failure. And the threshold is agreed to be -7 dB, which is reused from the RLM OOS test cases.</w:t>
      </w:r>
      <w:r>
        <w:rPr>
          <w:rFonts w:eastAsia="?? ??" w:hint="eastAsia"/>
          <w:lang w:val="en-US"/>
        </w:rPr>
        <w:t xml:space="preserve"> </w:t>
      </w:r>
      <w:r>
        <w:rPr>
          <w:rFonts w:eastAsia="?? ??"/>
          <w:lang w:val="en-US"/>
        </w:rPr>
        <w:t>But we should make it very clear here that UE is able to tell whether there is LBT failure when the measured sample is above -7 dB doesn’t means UE shall trigger BF (OOS) when SNR is above -7 dB.</w:t>
      </w:r>
    </w:p>
    <w:p w:rsidR="005F6FF3" w:rsidRDefault="005F6FF3" w:rsidP="004F344B">
      <w:pPr>
        <w:rPr>
          <w:rFonts w:eastAsia="?? ??"/>
          <w:b/>
          <w:lang w:val="en-US"/>
        </w:rPr>
      </w:pPr>
      <w:r w:rsidRPr="005F6FF3">
        <w:rPr>
          <w:rFonts w:eastAsia="?? ??"/>
          <w:b/>
          <w:lang w:val="en-US"/>
        </w:rPr>
        <w:t>Observation 4: UE is able to UE is able to tell whether there is LBT failure when the measured sample is above -7 dB doesn’t mean UE shall trigger BF (OOS) when SNR is above -7 dB.</w:t>
      </w:r>
    </w:p>
    <w:p w:rsidR="005F6FF3" w:rsidRDefault="005F6FF3" w:rsidP="004F344B">
      <w:pPr>
        <w:rPr>
          <w:rFonts w:eastAsiaTheme="minorEastAsia"/>
          <w:lang w:val="en-US" w:eastAsia="zh-CN"/>
        </w:rPr>
      </w:pPr>
      <w:r w:rsidRPr="005F6FF3">
        <w:rPr>
          <w:rFonts w:eastAsia="?? ??"/>
          <w:lang w:val="en-US"/>
        </w:rPr>
        <w:lastRenderedPageBreak/>
        <w:t>Companies have different understanding of the exact meaning of -7 dB. Eventually, it is agreed BFD-RS SSB Es/Iot is the averaged BFD-RS SSB Es/Iot over the most recent previous evaluation period.</w:t>
      </w:r>
      <w:r>
        <w:rPr>
          <w:rFonts w:eastAsia="?? ??"/>
          <w:lang w:val="en-US"/>
        </w:rPr>
        <w:t xml:space="preserve"> It means when the evaluation period is above -7 dB, UE could choose to use a shorter sliding window. When the channel condition is getting worse, more samples with </w:t>
      </w:r>
      <w:r w:rsidR="007551E4">
        <w:rPr>
          <w:rFonts w:eastAsia="?? ??"/>
          <w:lang w:val="en-US"/>
        </w:rPr>
        <w:t xml:space="preserve">low SNR values will be accommodated within the sliding window. </w:t>
      </w:r>
      <w:r w:rsidR="007551E4">
        <w:rPr>
          <w:rFonts w:eastAsiaTheme="minorEastAsia" w:hint="eastAsia"/>
          <w:lang w:val="en-US" w:eastAsia="zh-CN"/>
        </w:rPr>
        <w:t>Afterwards,</w:t>
      </w:r>
      <w:r w:rsidR="007551E4">
        <w:rPr>
          <w:rFonts w:eastAsiaTheme="minorEastAsia"/>
          <w:lang w:val="en-US" w:eastAsia="zh-CN"/>
        </w:rPr>
        <w:t xml:space="preserve"> the most recent evaluation results will be lower than -7 dB and UE should extend the sliding window to avoid false alarm of BF or OOS. Eventually, when the evaluated period is -12 dB (defined in the test cases considering the margin), UE will trigger BF. We elaborate the process in the following Fig.</w:t>
      </w:r>
      <w:r w:rsidR="00D57E77">
        <w:rPr>
          <w:rFonts w:eastAsiaTheme="minorEastAsia"/>
          <w:lang w:val="en-US" w:eastAsia="zh-CN"/>
        </w:rPr>
        <w:t xml:space="preserve"> With more and more samples with lower SNR accommodated within the evaluation period, the </w:t>
      </w:r>
      <w:r w:rsidR="000A16A2">
        <w:rPr>
          <w:rFonts w:eastAsiaTheme="minorEastAsia"/>
          <w:lang w:val="en-US" w:eastAsia="zh-CN"/>
        </w:rPr>
        <w:t>averaged SNR over the most recent evaluation period will be lower than the threshold at Point A, then UE shall use a longer evaluation period defined in the spec. And at point B, the evaluated period using samples within the long window reach the Qout_LR, then UE shall trigger BFD or OOS.</w:t>
      </w:r>
    </w:p>
    <w:p w:rsidR="007551E4" w:rsidRDefault="00D57E77" w:rsidP="004F344B">
      <w:pPr>
        <w:rPr>
          <w:rFonts w:eastAsiaTheme="minorEastAsia"/>
          <w:lang w:val="en-US" w:eastAsia="zh-CN"/>
        </w:rPr>
      </w:pPr>
      <w:r>
        <w:rPr>
          <w:noProof/>
          <w:lang w:val="en-US" w:eastAsia="zh-CN"/>
        </w:rPr>
        <w:drawing>
          <wp:inline distT="0" distB="0" distL="0" distR="0" wp14:anchorId="6B79F128" wp14:editId="4977DB8C">
            <wp:extent cx="4798771" cy="175667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5027" cy="1766286"/>
                    </a:xfrm>
                    <a:prstGeom prst="rect">
                      <a:avLst/>
                    </a:prstGeom>
                  </pic:spPr>
                </pic:pic>
              </a:graphicData>
            </a:graphic>
          </wp:inline>
        </w:drawing>
      </w:r>
    </w:p>
    <w:p w:rsidR="00D57E77" w:rsidRPr="000A16A2" w:rsidRDefault="00D57E77" w:rsidP="004F344B">
      <w:pPr>
        <w:rPr>
          <w:rFonts w:eastAsiaTheme="minorEastAsia"/>
          <w:b/>
          <w:lang w:val="en-US" w:eastAsia="zh-CN"/>
        </w:rPr>
      </w:pPr>
      <w:r w:rsidRPr="000A16A2">
        <w:rPr>
          <w:rFonts w:eastAsiaTheme="minorEastAsia" w:hint="eastAsia"/>
          <w:b/>
          <w:lang w:val="en-US" w:eastAsia="zh-CN"/>
        </w:rPr>
        <w:t>F</w:t>
      </w:r>
      <w:r w:rsidRPr="000A16A2">
        <w:rPr>
          <w:rFonts w:eastAsiaTheme="minorEastAsia"/>
          <w:b/>
          <w:lang w:val="en-US" w:eastAsia="zh-CN"/>
        </w:rPr>
        <w:t>ig. 1 Evaluation period changing with SNR condition.</w:t>
      </w:r>
    </w:p>
    <w:p w:rsidR="00D57E77" w:rsidRDefault="00D57E77" w:rsidP="004F344B">
      <w:pPr>
        <w:rPr>
          <w:rFonts w:eastAsiaTheme="minorEastAsia"/>
          <w:lang w:val="en-US" w:eastAsia="zh-CN"/>
        </w:rPr>
      </w:pPr>
    </w:p>
    <w:p w:rsidR="00D57E77" w:rsidRPr="000A16A2" w:rsidRDefault="000A16A2" w:rsidP="004F344B">
      <w:pPr>
        <w:rPr>
          <w:rFonts w:eastAsiaTheme="minorEastAsia"/>
          <w:b/>
          <w:lang w:val="en-US" w:eastAsia="zh-CN"/>
        </w:rPr>
      </w:pPr>
      <w:r w:rsidRPr="000A16A2">
        <w:rPr>
          <w:rFonts w:eastAsiaTheme="minorEastAsia" w:hint="eastAsia"/>
          <w:b/>
          <w:lang w:val="en-US" w:eastAsia="zh-CN"/>
        </w:rPr>
        <w:t>O</w:t>
      </w:r>
      <w:r w:rsidRPr="000A16A2">
        <w:rPr>
          <w:rFonts w:eastAsiaTheme="minorEastAsia"/>
          <w:b/>
          <w:lang w:val="en-US" w:eastAsia="zh-CN"/>
        </w:rPr>
        <w:t>bservation 5: UE will trigger BF/OOS using long evaluation period as the averaged SNR before BF/OOS over the evaluation period will drop below the condition (-7 dB).</w:t>
      </w:r>
    </w:p>
    <w:p w:rsidR="000A16A2" w:rsidRDefault="000A16A2" w:rsidP="004F344B">
      <w:pPr>
        <w:rPr>
          <w:rFonts w:eastAsiaTheme="minorEastAsia"/>
          <w:lang w:val="en-US" w:eastAsia="zh-CN"/>
        </w:rPr>
      </w:pPr>
      <w:r>
        <w:rPr>
          <w:rFonts w:eastAsiaTheme="minorEastAsia" w:hint="eastAsia"/>
          <w:lang w:val="en-US" w:eastAsia="zh-CN"/>
        </w:rPr>
        <w:t>T</w:t>
      </w:r>
      <w:r>
        <w:rPr>
          <w:rFonts w:eastAsiaTheme="minorEastAsia"/>
          <w:lang w:val="en-US" w:eastAsia="zh-CN"/>
        </w:rPr>
        <w:t>hus, based on the analysis above, the PDCCH configuration shall be same as the hypothetical PDCCH in spec and test 1 is no needed.</w:t>
      </w:r>
    </w:p>
    <w:p w:rsidR="000A16A2" w:rsidRPr="000A16A2" w:rsidRDefault="000A16A2" w:rsidP="004F344B">
      <w:pPr>
        <w:rPr>
          <w:rFonts w:eastAsiaTheme="minorEastAsia"/>
          <w:b/>
          <w:lang w:val="en-US" w:eastAsia="zh-CN"/>
        </w:rPr>
      </w:pPr>
      <w:r w:rsidRPr="000A16A2">
        <w:rPr>
          <w:rFonts w:eastAsiaTheme="minorEastAsia"/>
          <w:b/>
          <w:lang w:val="en-US" w:eastAsia="zh-CN"/>
        </w:rPr>
        <w:t xml:space="preserve">Proposal 1: The PDCCH configuration shall be same as the hypothetical PDCCH in the spec and test </w:t>
      </w:r>
      <w:r w:rsidR="00894819">
        <w:rPr>
          <w:rFonts w:eastAsiaTheme="minorEastAsia"/>
          <w:b/>
          <w:lang w:val="en-US" w:eastAsia="zh-CN"/>
        </w:rPr>
        <w:t>2</w:t>
      </w:r>
      <w:r w:rsidRPr="000A16A2">
        <w:rPr>
          <w:rFonts w:eastAsiaTheme="minorEastAsia"/>
          <w:b/>
          <w:lang w:val="en-US" w:eastAsia="zh-CN"/>
        </w:rPr>
        <w:t xml:space="preserve"> is not needed.</w:t>
      </w:r>
    </w:p>
    <w:p w:rsidR="000A16A2" w:rsidRPr="007551E4" w:rsidRDefault="000A16A2" w:rsidP="004F344B">
      <w:pPr>
        <w:rPr>
          <w:rFonts w:eastAsiaTheme="minorEastAsia"/>
          <w:lang w:val="en-US" w:eastAsia="zh-CN"/>
        </w:rPr>
      </w:pPr>
      <w:r>
        <w:rPr>
          <w:rFonts w:eastAsiaTheme="minorEastAsia"/>
          <w:lang w:val="en-US" w:eastAsia="zh-CN"/>
        </w:rPr>
        <w:t>We make the corresponding changes in our companion CR. And the analysis in this paper also apply to RLM test cases.</w:t>
      </w:r>
    </w:p>
    <w:p w:rsidR="00DF0231" w:rsidRDefault="00DF0231" w:rsidP="00DF0231">
      <w:pPr>
        <w:pStyle w:val="1"/>
        <w:numPr>
          <w:ilvl w:val="0"/>
          <w:numId w:val="1"/>
        </w:numPr>
        <w:rPr>
          <w:lang w:val="en-US"/>
        </w:rPr>
      </w:pPr>
      <w:r w:rsidRPr="002D2977">
        <w:rPr>
          <w:lang w:val="en-US"/>
        </w:rPr>
        <w:t>Conclusions</w:t>
      </w:r>
    </w:p>
    <w:p w:rsidR="000A16A2" w:rsidRPr="00A62E9E" w:rsidRDefault="000A16A2" w:rsidP="000A16A2">
      <w:pPr>
        <w:rPr>
          <w:rFonts w:eastAsia="?? ??"/>
          <w:b/>
          <w:lang w:val="en-US"/>
        </w:rPr>
      </w:pPr>
      <w:r w:rsidRPr="00A62E9E">
        <w:rPr>
          <w:rFonts w:eastAsia="?? ??"/>
          <w:b/>
          <w:lang w:val="en-US"/>
        </w:rPr>
        <w:t>Observation 1: In the current test cases for BFD and CBD, the aggregation level of PDCCH is configured as 2 to let UE detect the beam failure at higher SNR condition (-4 dB).</w:t>
      </w:r>
    </w:p>
    <w:p w:rsidR="000A16A2" w:rsidRPr="00925137" w:rsidRDefault="000A16A2" w:rsidP="000A16A2">
      <w:pPr>
        <w:rPr>
          <w:rFonts w:eastAsia="?? ??"/>
          <w:b/>
          <w:lang w:val="en-US"/>
        </w:rPr>
      </w:pPr>
      <w:r w:rsidRPr="00925137">
        <w:rPr>
          <w:rFonts w:eastAsia="?? ??"/>
          <w:b/>
          <w:lang w:val="en-US"/>
        </w:rPr>
        <w:t xml:space="preserve">Observation 2: The threshold of </w:t>
      </w:r>
      <w:r w:rsidRPr="00925137">
        <w:rPr>
          <w:rFonts w:eastAsia="?? ??" w:hint="eastAsia"/>
          <w:b/>
          <w:lang w:val="en-US"/>
        </w:rPr>
        <w:t>Q</w:t>
      </w:r>
      <w:r w:rsidRPr="00925137">
        <w:rPr>
          <w:rFonts w:eastAsia="?? ??" w:hint="eastAsia"/>
          <w:b/>
          <w:vertAlign w:val="subscript"/>
          <w:lang w:val="en-US"/>
        </w:rPr>
        <w:t>out_LR</w:t>
      </w:r>
      <w:r w:rsidRPr="00925137">
        <w:rPr>
          <w:rFonts w:eastAsia="?? ??" w:hint="eastAsia"/>
          <w:b/>
          <w:lang w:val="en-US"/>
        </w:rPr>
        <w:t xml:space="preserve"> and Q</w:t>
      </w:r>
      <w:r w:rsidRPr="00925137">
        <w:rPr>
          <w:rFonts w:eastAsia="?? ??" w:hint="eastAsia"/>
          <w:b/>
          <w:vertAlign w:val="subscript"/>
          <w:lang w:val="en-US"/>
        </w:rPr>
        <w:t>in_LR</w:t>
      </w:r>
      <w:r w:rsidRPr="00925137">
        <w:rPr>
          <w:rFonts w:eastAsia="?? ??"/>
          <w:b/>
          <w:vertAlign w:val="subscript"/>
          <w:lang w:val="en-US"/>
        </w:rPr>
        <w:t xml:space="preserve"> </w:t>
      </w:r>
      <w:r w:rsidRPr="00925137">
        <w:rPr>
          <w:rFonts w:eastAsia="?? ??"/>
          <w:b/>
          <w:lang w:val="en-US"/>
        </w:rPr>
        <w:t>are deterministic value derived from the fixed hypothetical PDCCH and will not change with the actual configuration of aggregation level.</w:t>
      </w:r>
    </w:p>
    <w:p w:rsidR="000A16A2" w:rsidRPr="00925137" w:rsidRDefault="000A16A2" w:rsidP="000A16A2">
      <w:pPr>
        <w:rPr>
          <w:rFonts w:eastAsia="?? ??"/>
          <w:b/>
          <w:lang w:val="en-US"/>
        </w:rPr>
      </w:pPr>
      <w:r w:rsidRPr="00925137">
        <w:rPr>
          <w:rFonts w:eastAsia="?? ??"/>
          <w:b/>
          <w:lang w:val="en-US"/>
        </w:rPr>
        <w:t>Observation 3: Triggering BF (OOS in RLM) at high channel condition is not expected to both NW side and UE side.</w:t>
      </w:r>
    </w:p>
    <w:p w:rsidR="000A16A2" w:rsidRDefault="000A16A2" w:rsidP="000A16A2">
      <w:pPr>
        <w:rPr>
          <w:rFonts w:eastAsia="?? ??"/>
          <w:b/>
          <w:lang w:val="en-US"/>
        </w:rPr>
      </w:pPr>
      <w:r w:rsidRPr="005F6FF3">
        <w:rPr>
          <w:rFonts w:eastAsia="?? ??"/>
          <w:b/>
          <w:lang w:val="en-US"/>
        </w:rPr>
        <w:t>Observation 4: UE is able to UE is able to tell whether there is LBT failure when the measured sample is above -7 dB doesn’t mean UE shall trigger BF (OOS) when SNR is above -7 dB.</w:t>
      </w:r>
    </w:p>
    <w:p w:rsidR="000A16A2" w:rsidRPr="000A16A2" w:rsidRDefault="000A16A2" w:rsidP="000A16A2">
      <w:pPr>
        <w:rPr>
          <w:rFonts w:eastAsiaTheme="minorEastAsia"/>
          <w:b/>
          <w:lang w:val="en-US" w:eastAsia="zh-CN"/>
        </w:rPr>
      </w:pPr>
      <w:r w:rsidRPr="000A16A2">
        <w:rPr>
          <w:rFonts w:eastAsiaTheme="minorEastAsia" w:hint="eastAsia"/>
          <w:b/>
          <w:lang w:val="en-US" w:eastAsia="zh-CN"/>
        </w:rPr>
        <w:t>O</w:t>
      </w:r>
      <w:r w:rsidRPr="000A16A2">
        <w:rPr>
          <w:rFonts w:eastAsiaTheme="minorEastAsia"/>
          <w:b/>
          <w:lang w:val="en-US" w:eastAsia="zh-CN"/>
        </w:rPr>
        <w:t>bservation 5: UE will trigger BF/OOS using long evaluation period as the averaged SNR before BF/OOS over the evaluation period will drop below the condition (-7 dB).</w:t>
      </w:r>
    </w:p>
    <w:p w:rsidR="000A16A2" w:rsidRPr="000A16A2" w:rsidRDefault="000A16A2" w:rsidP="000A16A2">
      <w:pPr>
        <w:rPr>
          <w:rFonts w:eastAsiaTheme="minorEastAsia"/>
          <w:b/>
          <w:lang w:val="en-US" w:eastAsia="zh-CN"/>
        </w:rPr>
      </w:pPr>
      <w:r w:rsidRPr="000A16A2">
        <w:rPr>
          <w:rFonts w:eastAsiaTheme="minorEastAsia"/>
          <w:b/>
          <w:lang w:val="en-US" w:eastAsia="zh-CN"/>
        </w:rPr>
        <w:t>Proposal 1: The PDCCH configuration shall be same as the hypothetical PDCCH in the spec and test 1 is not needed.</w:t>
      </w:r>
    </w:p>
    <w:p w:rsidR="00637A49" w:rsidRPr="000A16A2" w:rsidRDefault="00637A49" w:rsidP="00BE194F">
      <w:pPr>
        <w:rPr>
          <w:b/>
          <w:lang w:val="en-US" w:eastAsia="zh-CN"/>
        </w:rPr>
      </w:pPr>
    </w:p>
    <w:p w:rsidR="00EB700E" w:rsidRPr="008F37CA" w:rsidRDefault="00EB700E" w:rsidP="0037468E">
      <w:pPr>
        <w:rPr>
          <w:rFonts w:eastAsiaTheme="minorEastAsia"/>
          <w:b/>
          <w:lang w:val="en-US" w:eastAsia="zh-CN"/>
        </w:rPr>
      </w:pPr>
    </w:p>
    <w:p w:rsidR="00DF0231" w:rsidRPr="002D2977" w:rsidRDefault="00DF0231" w:rsidP="00DF0231">
      <w:pPr>
        <w:pStyle w:val="1"/>
        <w:tabs>
          <w:tab w:val="clear" w:pos="432"/>
        </w:tabs>
        <w:ind w:left="0" w:firstLine="0"/>
        <w:rPr>
          <w:lang w:val="en-US"/>
        </w:rPr>
      </w:pPr>
      <w:r w:rsidRPr="002D2977">
        <w:rPr>
          <w:lang w:val="en-US"/>
        </w:rPr>
        <w:lastRenderedPageBreak/>
        <w:t>References</w:t>
      </w:r>
    </w:p>
    <w:p w:rsidR="00637A49" w:rsidRPr="00637A49" w:rsidRDefault="00637A49" w:rsidP="00637A49">
      <w:pPr>
        <w:rPr>
          <w:rFonts w:eastAsiaTheme="minorEastAsia"/>
        </w:rPr>
      </w:pPr>
    </w:p>
    <w:p w:rsidR="00BA4C0A" w:rsidRPr="00637A49" w:rsidRDefault="00BA4C0A">
      <w:pPr>
        <w:rPr>
          <w:rFonts w:eastAsiaTheme="minorEastAsia"/>
          <w:lang w:val="en-US" w:eastAsia="zh-CN"/>
        </w:rPr>
      </w:pPr>
    </w:p>
    <w:sectPr w:rsidR="00BA4C0A" w:rsidRPr="00637A49"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097" w:rsidRDefault="00DA2097">
      <w:pPr>
        <w:spacing w:after="0"/>
      </w:pPr>
      <w:r>
        <w:separator/>
      </w:r>
    </w:p>
  </w:endnote>
  <w:endnote w:type="continuationSeparator" w:id="0">
    <w:p w:rsidR="00DA2097" w:rsidRDefault="00DA20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E4" w:rsidRDefault="007551E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551E4" w:rsidRDefault="007551E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1E4" w:rsidRDefault="007551E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65BD7">
      <w:rPr>
        <w:rStyle w:val="a5"/>
      </w:rPr>
      <w:t>5</w:t>
    </w:r>
    <w:r>
      <w:rPr>
        <w:rStyle w:val="a5"/>
      </w:rPr>
      <w:fldChar w:fldCharType="end"/>
    </w:r>
  </w:p>
  <w:p w:rsidR="007551E4" w:rsidRDefault="007551E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097" w:rsidRDefault="00DA2097">
      <w:pPr>
        <w:spacing w:after="0"/>
      </w:pPr>
      <w:r>
        <w:separator/>
      </w:r>
    </w:p>
  </w:footnote>
  <w:footnote w:type="continuationSeparator" w:id="0">
    <w:p w:rsidR="00DA2097" w:rsidRDefault="00DA209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7"/>
  </w:num>
  <w:num w:numId="4">
    <w:abstractNumId w:val="16"/>
  </w:num>
  <w:num w:numId="5">
    <w:abstractNumId w:val="0"/>
  </w:num>
  <w:num w:numId="6">
    <w:abstractNumId w:val="7"/>
  </w:num>
  <w:num w:numId="7">
    <w:abstractNumId w:val="2"/>
  </w:num>
  <w:num w:numId="8">
    <w:abstractNumId w:val="10"/>
  </w:num>
  <w:num w:numId="9">
    <w:abstractNumId w:val="11"/>
  </w:num>
  <w:num w:numId="10">
    <w:abstractNumId w:val="8"/>
  </w:num>
  <w:num w:numId="11">
    <w:abstractNumId w:val="9"/>
  </w:num>
  <w:num w:numId="12">
    <w:abstractNumId w:val="1"/>
  </w:num>
  <w:num w:numId="13">
    <w:abstractNumId w:val="4"/>
  </w:num>
  <w:num w:numId="1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4"/>
  </w:num>
  <w:num w:numId="17">
    <w:abstractNumId w:val="13"/>
  </w:num>
  <w:num w:numId="1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25036"/>
    <w:rsid w:val="0004558E"/>
    <w:rsid w:val="00055B5D"/>
    <w:rsid w:val="00063E08"/>
    <w:rsid w:val="00067A48"/>
    <w:rsid w:val="00067B89"/>
    <w:rsid w:val="00076C0A"/>
    <w:rsid w:val="00087858"/>
    <w:rsid w:val="000903D2"/>
    <w:rsid w:val="00096503"/>
    <w:rsid w:val="00097E39"/>
    <w:rsid w:val="000A16A2"/>
    <w:rsid w:val="000A1878"/>
    <w:rsid w:val="000A2ED7"/>
    <w:rsid w:val="000A4BCB"/>
    <w:rsid w:val="000A7A19"/>
    <w:rsid w:val="000B15EC"/>
    <w:rsid w:val="000C2147"/>
    <w:rsid w:val="000D2930"/>
    <w:rsid w:val="000D6B9B"/>
    <w:rsid w:val="000E0A8A"/>
    <w:rsid w:val="000E2C03"/>
    <w:rsid w:val="000F04C6"/>
    <w:rsid w:val="0010016B"/>
    <w:rsid w:val="00100360"/>
    <w:rsid w:val="00110BAD"/>
    <w:rsid w:val="0011207E"/>
    <w:rsid w:val="001230FF"/>
    <w:rsid w:val="001241FC"/>
    <w:rsid w:val="00124231"/>
    <w:rsid w:val="00132B63"/>
    <w:rsid w:val="001365E9"/>
    <w:rsid w:val="001406A8"/>
    <w:rsid w:val="0014128A"/>
    <w:rsid w:val="00141870"/>
    <w:rsid w:val="001435CB"/>
    <w:rsid w:val="00145CA7"/>
    <w:rsid w:val="00151949"/>
    <w:rsid w:val="00161981"/>
    <w:rsid w:val="0017747E"/>
    <w:rsid w:val="0018314E"/>
    <w:rsid w:val="00184719"/>
    <w:rsid w:val="00197964"/>
    <w:rsid w:val="001A1E7C"/>
    <w:rsid w:val="001C4240"/>
    <w:rsid w:val="001D3006"/>
    <w:rsid w:val="001E7174"/>
    <w:rsid w:val="001F411A"/>
    <w:rsid w:val="0020033A"/>
    <w:rsid w:val="00216AAB"/>
    <w:rsid w:val="00217770"/>
    <w:rsid w:val="002221AC"/>
    <w:rsid w:val="00222A85"/>
    <w:rsid w:val="00222AF7"/>
    <w:rsid w:val="00232120"/>
    <w:rsid w:val="002328DD"/>
    <w:rsid w:val="00234AA1"/>
    <w:rsid w:val="00243552"/>
    <w:rsid w:val="00243BFC"/>
    <w:rsid w:val="00245810"/>
    <w:rsid w:val="00254F38"/>
    <w:rsid w:val="00267D3F"/>
    <w:rsid w:val="00272F1F"/>
    <w:rsid w:val="0027365E"/>
    <w:rsid w:val="002736F0"/>
    <w:rsid w:val="00282D3C"/>
    <w:rsid w:val="00294B79"/>
    <w:rsid w:val="002A235C"/>
    <w:rsid w:val="002A2EF8"/>
    <w:rsid w:val="002A5E54"/>
    <w:rsid w:val="002B45C3"/>
    <w:rsid w:val="002D4234"/>
    <w:rsid w:val="002E3A74"/>
    <w:rsid w:val="002E668C"/>
    <w:rsid w:val="002F00F2"/>
    <w:rsid w:val="002F579F"/>
    <w:rsid w:val="00311CF9"/>
    <w:rsid w:val="003158EC"/>
    <w:rsid w:val="00321181"/>
    <w:rsid w:val="00323702"/>
    <w:rsid w:val="00336939"/>
    <w:rsid w:val="003422A4"/>
    <w:rsid w:val="00352697"/>
    <w:rsid w:val="00356FB6"/>
    <w:rsid w:val="003622B2"/>
    <w:rsid w:val="003664ED"/>
    <w:rsid w:val="0037468E"/>
    <w:rsid w:val="00377D59"/>
    <w:rsid w:val="0038462A"/>
    <w:rsid w:val="0038557C"/>
    <w:rsid w:val="003A5CBC"/>
    <w:rsid w:val="003A5E2B"/>
    <w:rsid w:val="003D6F09"/>
    <w:rsid w:val="003E7C96"/>
    <w:rsid w:val="003F762D"/>
    <w:rsid w:val="00401473"/>
    <w:rsid w:val="00415933"/>
    <w:rsid w:val="00430F24"/>
    <w:rsid w:val="00435D65"/>
    <w:rsid w:val="00435EBD"/>
    <w:rsid w:val="00451B80"/>
    <w:rsid w:val="00455FD0"/>
    <w:rsid w:val="00466D02"/>
    <w:rsid w:val="00477263"/>
    <w:rsid w:val="0049501A"/>
    <w:rsid w:val="004A29B2"/>
    <w:rsid w:val="004A678E"/>
    <w:rsid w:val="004A7CF2"/>
    <w:rsid w:val="004B1ECE"/>
    <w:rsid w:val="004B4633"/>
    <w:rsid w:val="004C11F4"/>
    <w:rsid w:val="004C4868"/>
    <w:rsid w:val="004D3C97"/>
    <w:rsid w:val="004E3732"/>
    <w:rsid w:val="004E5D51"/>
    <w:rsid w:val="004F0167"/>
    <w:rsid w:val="004F344B"/>
    <w:rsid w:val="00502991"/>
    <w:rsid w:val="00514A5F"/>
    <w:rsid w:val="005235DB"/>
    <w:rsid w:val="00530EB0"/>
    <w:rsid w:val="005375AA"/>
    <w:rsid w:val="005409B9"/>
    <w:rsid w:val="00545C21"/>
    <w:rsid w:val="00545EC2"/>
    <w:rsid w:val="0054734A"/>
    <w:rsid w:val="005546D8"/>
    <w:rsid w:val="00557527"/>
    <w:rsid w:val="005755A4"/>
    <w:rsid w:val="005763DF"/>
    <w:rsid w:val="00582652"/>
    <w:rsid w:val="005A2C70"/>
    <w:rsid w:val="005A456B"/>
    <w:rsid w:val="005B0D68"/>
    <w:rsid w:val="005B6053"/>
    <w:rsid w:val="005C337F"/>
    <w:rsid w:val="005D15A2"/>
    <w:rsid w:val="005D231A"/>
    <w:rsid w:val="005D3DC0"/>
    <w:rsid w:val="005D6BEF"/>
    <w:rsid w:val="005E29AA"/>
    <w:rsid w:val="005E4CCD"/>
    <w:rsid w:val="005F5231"/>
    <w:rsid w:val="005F6FF3"/>
    <w:rsid w:val="00604490"/>
    <w:rsid w:val="0060650F"/>
    <w:rsid w:val="00607CE8"/>
    <w:rsid w:val="0061679F"/>
    <w:rsid w:val="00637A49"/>
    <w:rsid w:val="0066186B"/>
    <w:rsid w:val="00672FCE"/>
    <w:rsid w:val="00681F59"/>
    <w:rsid w:val="006A68E5"/>
    <w:rsid w:val="006C4BDB"/>
    <w:rsid w:val="006D43CD"/>
    <w:rsid w:val="006D7325"/>
    <w:rsid w:val="006E28F1"/>
    <w:rsid w:val="006F1BAF"/>
    <w:rsid w:val="006F27CD"/>
    <w:rsid w:val="006F5874"/>
    <w:rsid w:val="00701598"/>
    <w:rsid w:val="00702FA5"/>
    <w:rsid w:val="00712608"/>
    <w:rsid w:val="00714064"/>
    <w:rsid w:val="007200C7"/>
    <w:rsid w:val="00723883"/>
    <w:rsid w:val="00732D90"/>
    <w:rsid w:val="007334B6"/>
    <w:rsid w:val="00734B34"/>
    <w:rsid w:val="00736D84"/>
    <w:rsid w:val="007551E4"/>
    <w:rsid w:val="00763EF7"/>
    <w:rsid w:val="00766048"/>
    <w:rsid w:val="0077159B"/>
    <w:rsid w:val="00782C5D"/>
    <w:rsid w:val="00784099"/>
    <w:rsid w:val="00786C50"/>
    <w:rsid w:val="007902A8"/>
    <w:rsid w:val="007A336E"/>
    <w:rsid w:val="007A37DA"/>
    <w:rsid w:val="007A52D1"/>
    <w:rsid w:val="007A6ED4"/>
    <w:rsid w:val="007B119C"/>
    <w:rsid w:val="007B3DC0"/>
    <w:rsid w:val="007B57F3"/>
    <w:rsid w:val="007B7B6A"/>
    <w:rsid w:val="007C0D2E"/>
    <w:rsid w:val="007C5B24"/>
    <w:rsid w:val="007D0DF7"/>
    <w:rsid w:val="007D3409"/>
    <w:rsid w:val="007D58F5"/>
    <w:rsid w:val="007E2057"/>
    <w:rsid w:val="007E2E8A"/>
    <w:rsid w:val="007E5F97"/>
    <w:rsid w:val="007E67EC"/>
    <w:rsid w:val="007F045C"/>
    <w:rsid w:val="007F2371"/>
    <w:rsid w:val="007F2E6A"/>
    <w:rsid w:val="007F7E14"/>
    <w:rsid w:val="00804945"/>
    <w:rsid w:val="00821B76"/>
    <w:rsid w:val="00836C28"/>
    <w:rsid w:val="008408E7"/>
    <w:rsid w:val="00840E09"/>
    <w:rsid w:val="00841386"/>
    <w:rsid w:val="008446CE"/>
    <w:rsid w:val="00852630"/>
    <w:rsid w:val="008708B9"/>
    <w:rsid w:val="0087326D"/>
    <w:rsid w:val="00873C1C"/>
    <w:rsid w:val="00873F55"/>
    <w:rsid w:val="00874D51"/>
    <w:rsid w:val="008766C3"/>
    <w:rsid w:val="00885469"/>
    <w:rsid w:val="008921D4"/>
    <w:rsid w:val="008924AB"/>
    <w:rsid w:val="00892EAE"/>
    <w:rsid w:val="00893C66"/>
    <w:rsid w:val="00894819"/>
    <w:rsid w:val="008A1C4E"/>
    <w:rsid w:val="008A2B76"/>
    <w:rsid w:val="008A4FA1"/>
    <w:rsid w:val="008B3970"/>
    <w:rsid w:val="008B4A2C"/>
    <w:rsid w:val="008B4F73"/>
    <w:rsid w:val="008B7660"/>
    <w:rsid w:val="008C31D2"/>
    <w:rsid w:val="008C398B"/>
    <w:rsid w:val="008D2D3D"/>
    <w:rsid w:val="008D55C5"/>
    <w:rsid w:val="008E2591"/>
    <w:rsid w:val="008E79C6"/>
    <w:rsid w:val="008F37CA"/>
    <w:rsid w:val="008F67CF"/>
    <w:rsid w:val="00904C87"/>
    <w:rsid w:val="009118FA"/>
    <w:rsid w:val="00914A03"/>
    <w:rsid w:val="00915DEA"/>
    <w:rsid w:val="0092386A"/>
    <w:rsid w:val="00923CC3"/>
    <w:rsid w:val="00925137"/>
    <w:rsid w:val="00931830"/>
    <w:rsid w:val="009333B5"/>
    <w:rsid w:val="009450D8"/>
    <w:rsid w:val="00957098"/>
    <w:rsid w:val="009708D0"/>
    <w:rsid w:val="00972D26"/>
    <w:rsid w:val="00973C4C"/>
    <w:rsid w:val="009814D6"/>
    <w:rsid w:val="0099102E"/>
    <w:rsid w:val="009968CF"/>
    <w:rsid w:val="009A5118"/>
    <w:rsid w:val="009B7C4C"/>
    <w:rsid w:val="009C4E39"/>
    <w:rsid w:val="009C5BBA"/>
    <w:rsid w:val="009C6CB9"/>
    <w:rsid w:val="009C6FD7"/>
    <w:rsid w:val="009C7D5E"/>
    <w:rsid w:val="009D03C6"/>
    <w:rsid w:val="009D1A47"/>
    <w:rsid w:val="009D2942"/>
    <w:rsid w:val="009D4189"/>
    <w:rsid w:val="009D75DF"/>
    <w:rsid w:val="009E6763"/>
    <w:rsid w:val="009E6DC8"/>
    <w:rsid w:val="009F7F10"/>
    <w:rsid w:val="00A0093B"/>
    <w:rsid w:val="00A1597D"/>
    <w:rsid w:val="00A22790"/>
    <w:rsid w:val="00A26AB0"/>
    <w:rsid w:val="00A34913"/>
    <w:rsid w:val="00A35F07"/>
    <w:rsid w:val="00A42E3A"/>
    <w:rsid w:val="00A628B8"/>
    <w:rsid w:val="00A62E9E"/>
    <w:rsid w:val="00A7739E"/>
    <w:rsid w:val="00A848D0"/>
    <w:rsid w:val="00A87084"/>
    <w:rsid w:val="00A93E0D"/>
    <w:rsid w:val="00AC2317"/>
    <w:rsid w:val="00AC2C97"/>
    <w:rsid w:val="00AC2CD4"/>
    <w:rsid w:val="00AC7A7B"/>
    <w:rsid w:val="00AD65F4"/>
    <w:rsid w:val="00AD69AA"/>
    <w:rsid w:val="00AE384C"/>
    <w:rsid w:val="00AE6BE0"/>
    <w:rsid w:val="00AF02CB"/>
    <w:rsid w:val="00AF5966"/>
    <w:rsid w:val="00B02A13"/>
    <w:rsid w:val="00B07979"/>
    <w:rsid w:val="00B10C6E"/>
    <w:rsid w:val="00B1402B"/>
    <w:rsid w:val="00B22016"/>
    <w:rsid w:val="00B23292"/>
    <w:rsid w:val="00B26D02"/>
    <w:rsid w:val="00B33CDD"/>
    <w:rsid w:val="00B343A3"/>
    <w:rsid w:val="00B41E6D"/>
    <w:rsid w:val="00B450D5"/>
    <w:rsid w:val="00B51F58"/>
    <w:rsid w:val="00B55463"/>
    <w:rsid w:val="00B60998"/>
    <w:rsid w:val="00B71C35"/>
    <w:rsid w:val="00B72BEC"/>
    <w:rsid w:val="00B73A82"/>
    <w:rsid w:val="00B76F4D"/>
    <w:rsid w:val="00B77412"/>
    <w:rsid w:val="00B77752"/>
    <w:rsid w:val="00B83BC0"/>
    <w:rsid w:val="00B87A6F"/>
    <w:rsid w:val="00BA4C0A"/>
    <w:rsid w:val="00BB2A32"/>
    <w:rsid w:val="00BB6484"/>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65BD7"/>
    <w:rsid w:val="00C76E52"/>
    <w:rsid w:val="00C83525"/>
    <w:rsid w:val="00CA1729"/>
    <w:rsid w:val="00CA1984"/>
    <w:rsid w:val="00CA1DAE"/>
    <w:rsid w:val="00CA7429"/>
    <w:rsid w:val="00CB6216"/>
    <w:rsid w:val="00CC4578"/>
    <w:rsid w:val="00CD0284"/>
    <w:rsid w:val="00CD160F"/>
    <w:rsid w:val="00CE0DA0"/>
    <w:rsid w:val="00CF030B"/>
    <w:rsid w:val="00CF1DFC"/>
    <w:rsid w:val="00CF2856"/>
    <w:rsid w:val="00CF5CE7"/>
    <w:rsid w:val="00CF5EF5"/>
    <w:rsid w:val="00CF7481"/>
    <w:rsid w:val="00CF7EE3"/>
    <w:rsid w:val="00D107EB"/>
    <w:rsid w:val="00D13FC8"/>
    <w:rsid w:val="00D3442D"/>
    <w:rsid w:val="00D34F1B"/>
    <w:rsid w:val="00D41D2D"/>
    <w:rsid w:val="00D463A3"/>
    <w:rsid w:val="00D51833"/>
    <w:rsid w:val="00D57E77"/>
    <w:rsid w:val="00D73373"/>
    <w:rsid w:val="00D828E1"/>
    <w:rsid w:val="00D94E39"/>
    <w:rsid w:val="00D94EF7"/>
    <w:rsid w:val="00DA2097"/>
    <w:rsid w:val="00DB10D2"/>
    <w:rsid w:val="00DB1DD4"/>
    <w:rsid w:val="00DB61B3"/>
    <w:rsid w:val="00DD0915"/>
    <w:rsid w:val="00DD1DFF"/>
    <w:rsid w:val="00DE3896"/>
    <w:rsid w:val="00DF0231"/>
    <w:rsid w:val="00E04C43"/>
    <w:rsid w:val="00E07E29"/>
    <w:rsid w:val="00E13E91"/>
    <w:rsid w:val="00E16D37"/>
    <w:rsid w:val="00E17E17"/>
    <w:rsid w:val="00E17F78"/>
    <w:rsid w:val="00E21B03"/>
    <w:rsid w:val="00E222F0"/>
    <w:rsid w:val="00E22D0F"/>
    <w:rsid w:val="00E31284"/>
    <w:rsid w:val="00E406F2"/>
    <w:rsid w:val="00E415BA"/>
    <w:rsid w:val="00E470EC"/>
    <w:rsid w:val="00E5666B"/>
    <w:rsid w:val="00E577DD"/>
    <w:rsid w:val="00E72064"/>
    <w:rsid w:val="00E76A71"/>
    <w:rsid w:val="00E85BF2"/>
    <w:rsid w:val="00E91110"/>
    <w:rsid w:val="00E9184C"/>
    <w:rsid w:val="00E94DD3"/>
    <w:rsid w:val="00EA49BA"/>
    <w:rsid w:val="00EA4E79"/>
    <w:rsid w:val="00EA5149"/>
    <w:rsid w:val="00EB02DF"/>
    <w:rsid w:val="00EB700E"/>
    <w:rsid w:val="00EE1CF7"/>
    <w:rsid w:val="00EE6F45"/>
    <w:rsid w:val="00EF0E38"/>
    <w:rsid w:val="00EF2DE4"/>
    <w:rsid w:val="00EF66B2"/>
    <w:rsid w:val="00F0497C"/>
    <w:rsid w:val="00F076D1"/>
    <w:rsid w:val="00F0770B"/>
    <w:rsid w:val="00F10653"/>
    <w:rsid w:val="00F14670"/>
    <w:rsid w:val="00F1617A"/>
    <w:rsid w:val="00F2033F"/>
    <w:rsid w:val="00F20D63"/>
    <w:rsid w:val="00F22DF5"/>
    <w:rsid w:val="00F303F4"/>
    <w:rsid w:val="00F31FA7"/>
    <w:rsid w:val="00F34526"/>
    <w:rsid w:val="00F413E7"/>
    <w:rsid w:val="00F42BFC"/>
    <w:rsid w:val="00F52FE8"/>
    <w:rsid w:val="00F5790A"/>
    <w:rsid w:val="00F609CD"/>
    <w:rsid w:val="00F76B81"/>
    <w:rsid w:val="00FA4943"/>
    <w:rsid w:val="00FB6BD9"/>
    <w:rsid w:val="00FC0544"/>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Char">
    <w:name w:val="标题 4 Char"/>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b">
    <w:name w:val="annotation text"/>
    <w:basedOn w:val="a"/>
    <w:link w:val="Char3"/>
    <w:semiHidden/>
    <w:unhideWhenUsed/>
    <w:rsid w:val="000F04C6"/>
    <w:pPr>
      <w:overflowPunct w:val="0"/>
      <w:autoSpaceDE w:val="0"/>
      <w:autoSpaceDN w:val="0"/>
      <w:adjustRightInd w:val="0"/>
    </w:pPr>
    <w:rPr>
      <w:rFonts w:eastAsia="宋体"/>
      <w:lang w:eastAsia="en-GB"/>
    </w:rPr>
  </w:style>
  <w:style w:type="character" w:customStyle="1" w:styleId="Char3">
    <w:name w:val="批注文字 Char"/>
    <w:basedOn w:val="a0"/>
    <w:link w:val="ab"/>
    <w:semiHidden/>
    <w:rsid w:val="000F04C6"/>
    <w:rPr>
      <w:rFonts w:ascii="Times New Roman" w:eastAsia="宋体" w:hAnsi="Times New Roman" w:cs="Times New Roman"/>
      <w:kern w:val="0"/>
      <w:sz w:val="20"/>
      <w:szCs w:val="20"/>
      <w:lang w:val="en-GB" w:eastAsia="en-GB"/>
    </w:rPr>
  </w:style>
  <w:style w:type="character" w:styleId="ac">
    <w:name w:val="annotation reference"/>
    <w:semiHidden/>
    <w:unhideWhenUsed/>
    <w:rsid w:val="000F04C6"/>
    <w:rPr>
      <w:sz w:val="16"/>
      <w:szCs w:val="16"/>
    </w:rPr>
  </w:style>
  <w:style w:type="paragraph" w:customStyle="1" w:styleId="TAL">
    <w:name w:val="TAL"/>
    <w:basedOn w:val="a"/>
    <w:link w:val="TALCar"/>
    <w:qFormat/>
    <w:rsid w:val="00EB700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ar">
    <w:name w:val="TAL Car"/>
    <w:link w:val="TAL"/>
    <w:qFormat/>
    <w:rsid w:val="00EB700E"/>
    <w:rPr>
      <w:rFonts w:ascii="Arial" w:eastAsia="Times New Roman" w:hAnsi="Arial" w:cs="Times New Roman"/>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800F5-6303-4066-804D-439438665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9183</TotalTime>
  <Pages>1</Pages>
  <Words>1535</Words>
  <Characters>8756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10271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156</cp:revision>
  <dcterms:created xsi:type="dcterms:W3CDTF">2019-09-18T02:52:00Z</dcterms:created>
  <dcterms:modified xsi:type="dcterms:W3CDTF">2021-08-06T15:42:00Z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(3)X382GIwp2V6tVInVtVudxL2fqmhAIBoSoeupZndROmeoUpEl2Q32qcgvZq5e3onUhdv/WWIt
J3oad9BPXJye5rC444iJHCi1OZNAj6lp2xKvU4pw5meGSNOWY6wcjelvi6yYrHqG41AkA//d
sBcrx75narYiJNi5r2AQne72IMBIGvjdJj2akAIu9lvVsfmgGTODogDb2nG/Sc00ELxoFSiW
hSRqUFCQRc3dMYhppM</vt:lpwstr>
  </property>
  <property fmtid="{D5CDD505-2E9C-101B-9397-08002B2CF9AE}" pid="3" name="_2015_ms_pID_7253431">
    <vt:lpwstr>qfZeAfqbEocO3s5krOrHK4N6nIL9WrYk365Wm7djVinDKgoNa0OLhW
Rsa4mBFdT4DuVI1uqof1aA6fDSsD17Q9iXB8POyuCsamJZd3ZrPENG5oKe5lZoz6SVpR6I3h
WQSpTIEUPSMNahs+X7SpAxylJDR6PYKemhugJxY8UOX6l6xdjAGaJ0p3dd/P4p0cxRRu+qBO
tuUPro23U8dN0znjvGuDSoi8g2bium+KRXm1</vt:lpwstr>
  </property>
  <property fmtid="{D5CDD505-2E9C-101B-9397-08002B2CF9AE}" pid="4" name="_2015_ms_pID_7253432">
    <vt:lpwstr>ZQVrDttKRUMeuABDSm0zMBY=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