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17F0A" w14:textId="09F70400"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3GPP TSG-RAN WG4 Meeting # 100-e</w:t>
      </w:r>
      <w:r w:rsidRPr="00F725BC">
        <w:rPr>
          <w:rFonts w:asciiTheme="minorHAnsi" w:eastAsiaTheme="minorEastAsia" w:hAnsiTheme="minorHAnsi" w:cstheme="minorHAnsi"/>
          <w:bCs/>
          <w:noProof w:val="0"/>
          <w:sz w:val="22"/>
          <w:szCs w:val="22"/>
          <w:lang w:eastAsia="zh-CN"/>
        </w:rPr>
        <w:tab/>
        <w:t>R4-21</w:t>
      </w:r>
      <w:r w:rsidR="00AD508C">
        <w:rPr>
          <w:rFonts w:asciiTheme="minorHAnsi" w:eastAsiaTheme="minorEastAsia" w:hAnsiTheme="minorHAnsi" w:cstheme="minorHAnsi"/>
          <w:bCs/>
          <w:noProof w:val="0"/>
          <w:sz w:val="22"/>
          <w:szCs w:val="22"/>
          <w:lang w:eastAsia="zh-CN"/>
        </w:rPr>
        <w:t>12529</w:t>
      </w:r>
      <w:bookmarkStart w:id="0" w:name="_GoBack"/>
      <w:bookmarkEnd w:id="0"/>
    </w:p>
    <w:p w14:paraId="31735775"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Electronic Meeting, August 16-27, 2021</w:t>
      </w:r>
    </w:p>
    <w:p w14:paraId="2C6261C6" w14:textId="5C7F9C15"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Agenda Item: </w:t>
      </w:r>
      <w:r w:rsidRPr="00F725BC">
        <w:rPr>
          <w:rFonts w:asciiTheme="minorHAnsi" w:eastAsiaTheme="minorEastAsia" w:hAnsiTheme="minorHAnsi" w:cstheme="minorHAnsi" w:hint="eastAsia"/>
          <w:bCs/>
          <w:noProof w:val="0"/>
          <w:sz w:val="22"/>
          <w:szCs w:val="22"/>
          <w:lang w:eastAsia="zh-CN"/>
        </w:rPr>
        <w:t>5.1.8</w:t>
      </w:r>
    </w:p>
    <w:p w14:paraId="554DB402"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Source: MediaTek Inc.</w:t>
      </w:r>
    </w:p>
    <w:p w14:paraId="20FF8AB8" w14:textId="2411FECD"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Title: </w:t>
      </w:r>
      <w:r w:rsidRPr="00F725BC">
        <w:rPr>
          <w:rFonts w:asciiTheme="minorHAnsi" w:hAnsiTheme="minorHAnsi" w:cstheme="minorHAnsi"/>
          <w:bCs/>
          <w:sz w:val="22"/>
          <w:szCs w:val="22"/>
        </w:rPr>
        <w:t>Discussion on FR2 inter-frequency relative RSRP accuracy</w:t>
      </w:r>
    </w:p>
    <w:p w14:paraId="6F580D61" w14:textId="3388298F" w:rsidR="0034111C" w:rsidRPr="00F725BC" w:rsidRDefault="00F725BC" w:rsidP="00F725BC">
      <w:pPr>
        <w:pStyle w:val="a5"/>
        <w:tabs>
          <w:tab w:val="right" w:pos="9639"/>
          <w:tab w:val="right" w:pos="13323"/>
        </w:tabs>
        <w:jc w:val="both"/>
        <w:rPr>
          <w:rFonts w:asciiTheme="minorHAnsi" w:hAnsiTheme="minorHAnsi" w:cstheme="minorHAnsi"/>
          <w:b w:val="0"/>
          <w:bCs/>
          <w:sz w:val="22"/>
          <w:szCs w:val="22"/>
        </w:rPr>
      </w:pPr>
      <w:r w:rsidRPr="00F725BC">
        <w:rPr>
          <w:rFonts w:asciiTheme="minorHAnsi" w:eastAsiaTheme="minorEastAsia" w:hAnsiTheme="minorHAnsi" w:cstheme="minorHAnsi"/>
          <w:bCs/>
          <w:noProof w:val="0"/>
          <w:sz w:val="22"/>
          <w:szCs w:val="22"/>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716950EE" w:rsidR="008873E8" w:rsidRDefault="00A6403E"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last meeting, this issue </w:t>
      </w:r>
      <w:r w:rsidR="00C72890">
        <w:rPr>
          <w:rFonts w:asciiTheme="minorHAnsi" w:eastAsiaTheme="minorEastAsia" w:hAnsiTheme="minorHAnsi" w:cstheme="minorBidi"/>
          <w:color w:val="auto"/>
          <w:sz w:val="22"/>
          <w:szCs w:val="22"/>
        </w:rPr>
        <w:t>was raised but not yet reached conclusion</w:t>
      </w:r>
      <w:r>
        <w:rPr>
          <w:rFonts w:asciiTheme="minorHAnsi" w:eastAsiaTheme="minorEastAsia" w:hAnsiTheme="minorHAnsi" w:cstheme="minorBidi"/>
          <w:color w:val="auto"/>
          <w:sz w:val="22"/>
          <w:szCs w:val="22"/>
        </w:rPr>
        <w:t xml:space="preserve"> [1]. </w:t>
      </w:r>
      <w:r w:rsidR="00B61281">
        <w:rPr>
          <w:rFonts w:asciiTheme="minorHAnsi" w:eastAsiaTheme="minorEastAsia" w:hAnsiTheme="minorHAnsi" w:cstheme="minorBidi"/>
          <w:color w:val="auto"/>
          <w:sz w:val="22"/>
          <w:szCs w:val="22"/>
        </w:rPr>
        <w:t xml:space="preserve">In this paper, </w:t>
      </w:r>
      <w:r w:rsidR="00FA6805">
        <w:rPr>
          <w:rFonts w:asciiTheme="minorHAnsi" w:eastAsiaTheme="minorEastAsia" w:hAnsiTheme="minorHAnsi" w:cstheme="minorBidi"/>
          <w:color w:val="auto"/>
          <w:sz w:val="22"/>
          <w:szCs w:val="22"/>
        </w:rPr>
        <w:t xml:space="preserve">we </w:t>
      </w:r>
      <w:r w:rsidR="00ED04B0">
        <w:rPr>
          <w:rFonts w:asciiTheme="minorHAnsi" w:eastAsiaTheme="minorEastAsia" w:hAnsiTheme="minorHAnsi" w:cstheme="minorBidi"/>
          <w:color w:val="auto"/>
          <w:sz w:val="22"/>
          <w:szCs w:val="22"/>
        </w:rPr>
        <w:t xml:space="preserve">provide the background of the current requirement and propose a solution for </w:t>
      </w:r>
      <w:r w:rsidR="00FA6805" w:rsidRPr="00FA6805">
        <w:rPr>
          <w:rFonts w:asciiTheme="minorHAnsi" w:eastAsiaTheme="minorEastAsia" w:hAnsiTheme="minorHAnsi" w:cstheme="minorBidi"/>
          <w:color w:val="auto"/>
          <w:sz w:val="22"/>
          <w:szCs w:val="22"/>
        </w:rPr>
        <w:t>FR2 inter-frequency relative RSRP accuracy</w:t>
      </w:r>
      <w:r w:rsidR="008873E8">
        <w:rPr>
          <w:rFonts w:asciiTheme="minorHAnsi" w:eastAsiaTheme="minorEastAsia" w:hAnsiTheme="minorHAnsi" w:cstheme="minorBidi"/>
          <w:color w:val="auto"/>
          <w:sz w:val="22"/>
          <w:szCs w:val="22"/>
        </w:rPr>
        <w:t>.</w:t>
      </w:r>
      <w:r w:rsidR="00FA6805">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058113CB" w14:textId="18277F07" w:rsidR="00FA6805" w:rsidRPr="007B097A" w:rsidRDefault="00ED04B0" w:rsidP="000B6C74">
      <w:pPr>
        <w:pStyle w:val="af1"/>
        <w:jc w:val="both"/>
        <w:rPr>
          <w:b w:val="0"/>
          <w:sz w:val="22"/>
          <w:szCs w:val="22"/>
          <w:lang w:val="en-US" w:eastAsia="zh-CN"/>
        </w:rPr>
      </w:pPr>
      <w:r w:rsidRPr="007B097A">
        <w:rPr>
          <w:b w:val="0"/>
          <w:sz w:val="22"/>
          <w:szCs w:val="22"/>
          <w:lang w:val="en-US" w:eastAsia="zh-CN"/>
        </w:rPr>
        <w:t xml:space="preserve">For the inter frequency relative RSRP accuracy in FR2, there are two test cases in </w:t>
      </w:r>
      <w:r w:rsidR="000B6C74" w:rsidRPr="007B097A">
        <w:rPr>
          <w:b w:val="0"/>
          <w:sz w:val="22"/>
          <w:szCs w:val="22"/>
          <w:lang w:val="en-US" w:eastAsia="zh-CN"/>
        </w:rPr>
        <w:t>TS 38.133:</w:t>
      </w:r>
    </w:p>
    <w:p w14:paraId="34E3CBC4" w14:textId="1957EEB1" w:rsidR="003F1052" w:rsidRPr="007B097A" w:rsidRDefault="00FA6805" w:rsidP="00FA6805">
      <w:pPr>
        <w:pStyle w:val="af1"/>
        <w:numPr>
          <w:ilvl w:val="0"/>
          <w:numId w:val="46"/>
        </w:numPr>
        <w:jc w:val="both"/>
        <w:rPr>
          <w:b w:val="0"/>
          <w:sz w:val="22"/>
          <w:szCs w:val="22"/>
          <w:lang w:val="en-US" w:eastAsia="zh-CN"/>
        </w:rPr>
      </w:pPr>
      <w:r w:rsidRPr="007B097A">
        <w:rPr>
          <w:b w:val="0"/>
          <w:sz w:val="22"/>
          <w:szCs w:val="22"/>
          <w:lang w:val="en-US" w:eastAsia="zh-CN"/>
        </w:rPr>
        <w:t>A.5.7.1.2 EN-DC inter-frequency case measurement accuracy with FR2 serving cell and FR2 target cell</w:t>
      </w:r>
    </w:p>
    <w:p w14:paraId="6BEC94B7" w14:textId="080CA3B2" w:rsidR="00FA6805" w:rsidRPr="007B097A" w:rsidRDefault="00FA6805" w:rsidP="00FA6805">
      <w:pPr>
        <w:pStyle w:val="af5"/>
        <w:numPr>
          <w:ilvl w:val="0"/>
          <w:numId w:val="46"/>
        </w:numPr>
        <w:rPr>
          <w:lang w:eastAsia="zh-CN"/>
        </w:rPr>
      </w:pPr>
      <w:r w:rsidRPr="007B097A">
        <w:rPr>
          <w:lang w:eastAsia="zh-CN"/>
        </w:rPr>
        <w:t>A.7.7.1.2 SA inter-frequency case measurement accuracy with FR2 serving cell and FR2 target cell</w:t>
      </w:r>
    </w:p>
    <w:p w14:paraId="75A6F73A" w14:textId="77777777" w:rsidR="0038658C" w:rsidRPr="007B097A" w:rsidRDefault="0038658C" w:rsidP="00802C5F">
      <w:pPr>
        <w:rPr>
          <w:lang w:val="x-none" w:eastAsia="x-none"/>
        </w:rPr>
      </w:pPr>
    </w:p>
    <w:p w14:paraId="1F575180" w14:textId="200300B7" w:rsidR="00802C5F" w:rsidRPr="007B097A" w:rsidRDefault="00FA6805" w:rsidP="00802C5F">
      <w:pPr>
        <w:rPr>
          <w:lang w:val="x-none" w:eastAsia="x-none"/>
        </w:rPr>
      </w:pPr>
      <w:r w:rsidRPr="007B097A">
        <w:rPr>
          <w:lang w:val="x-none" w:eastAsia="x-none"/>
        </w:rPr>
        <w:t xml:space="preserve">We will take A.5.7.1.2 as an example to illustrate the </w:t>
      </w:r>
      <w:r w:rsidR="00B9660F" w:rsidRPr="007B097A">
        <w:rPr>
          <w:lang w:val="x-none" w:eastAsia="x-none"/>
        </w:rPr>
        <w:t xml:space="preserve">accuracy uncertainty </w:t>
      </w:r>
      <w:r w:rsidRPr="007B097A">
        <w:rPr>
          <w:lang w:val="x-none" w:eastAsia="x-none"/>
        </w:rPr>
        <w:t>issue</w:t>
      </w:r>
      <w:r w:rsidR="0038658C" w:rsidRPr="007B097A">
        <w:rPr>
          <w:lang w:val="x-none" w:eastAsia="x-none"/>
        </w:rPr>
        <w:t xml:space="preserve">s caused by </w:t>
      </w:r>
      <w:r w:rsidR="001C717C" w:rsidRPr="007B097A">
        <w:rPr>
          <w:lang w:val="x-none" w:eastAsia="x-none"/>
        </w:rPr>
        <w:t xml:space="preserve">1) </w:t>
      </w:r>
      <w:r w:rsidR="0038658C" w:rsidRPr="007B097A">
        <w:rPr>
          <w:lang w:val="x-none" w:eastAsia="x-none"/>
        </w:rPr>
        <w:t xml:space="preserve">different beam type and </w:t>
      </w:r>
      <w:r w:rsidR="001C717C" w:rsidRPr="007B097A">
        <w:rPr>
          <w:lang w:val="x-none" w:eastAsia="x-none"/>
        </w:rPr>
        <w:t xml:space="preserve">2) </w:t>
      </w:r>
      <w:r w:rsidR="0038658C" w:rsidRPr="007B097A">
        <w:rPr>
          <w:lang w:val="x-none" w:eastAsia="x-none"/>
        </w:rPr>
        <w:t>different frequency</w:t>
      </w:r>
      <w:r w:rsidRPr="007B097A">
        <w:rPr>
          <w:lang w:val="x-none" w:eastAsia="x-none"/>
        </w:rPr>
        <w:t>.</w:t>
      </w:r>
      <w:r w:rsidR="00437447" w:rsidRPr="007B097A">
        <w:rPr>
          <w:lang w:val="x-none" w:eastAsia="x-none"/>
        </w:rPr>
        <w:t xml:space="preserve"> </w:t>
      </w:r>
      <w:r w:rsidR="00802C5F" w:rsidRPr="007B097A">
        <w:rPr>
          <w:lang w:val="x-none" w:eastAsia="x-none"/>
        </w:rPr>
        <w:t xml:space="preserve">The </w:t>
      </w:r>
      <w:r w:rsidR="00005626" w:rsidRPr="007B097A">
        <w:rPr>
          <w:lang w:val="x-none" w:eastAsia="x-none"/>
        </w:rPr>
        <w:t xml:space="preserve">current </w:t>
      </w:r>
      <w:r w:rsidR="00802C5F" w:rsidRPr="007B097A">
        <w:rPr>
          <w:lang w:val="x-none" w:eastAsia="x-none"/>
        </w:rPr>
        <w:t xml:space="preserve">test </w:t>
      </w:r>
      <w:r w:rsidR="00255DC3" w:rsidRPr="007B097A">
        <w:rPr>
          <w:lang w:val="x-none" w:eastAsia="x-none"/>
        </w:rPr>
        <w:t>re</w:t>
      </w:r>
      <w:r w:rsidR="00255DC3" w:rsidRPr="007B097A">
        <w:rPr>
          <w:rFonts w:eastAsia="新細明體" w:hint="eastAsia"/>
          <w:lang w:val="x-none"/>
        </w:rPr>
        <w:t>quirement</w:t>
      </w:r>
      <w:r w:rsidR="0038658C" w:rsidRPr="007B097A">
        <w:rPr>
          <w:lang w:val="x-none" w:eastAsia="x-none"/>
        </w:rPr>
        <w:t xml:space="preserve"> </w:t>
      </w:r>
      <w:r w:rsidR="00802C5F" w:rsidRPr="007B097A">
        <w:rPr>
          <w:lang w:val="x-none" w:eastAsia="x-none"/>
        </w:rPr>
        <w:t xml:space="preserve">for this SS-RSRP relative accuracy is provided </w:t>
      </w:r>
      <w:r w:rsidR="00EF312D" w:rsidRPr="007B097A">
        <w:rPr>
          <w:lang w:val="x-none" w:eastAsia="x-none"/>
        </w:rPr>
        <w:t>for reference</w:t>
      </w:r>
      <w:r w:rsidR="00A00A60" w:rsidRPr="007B097A">
        <w:rPr>
          <w:lang w:val="x-none" w:eastAsia="x-none"/>
        </w:rPr>
        <w:t>, as in Table A.5.7.1.2.3-2</w:t>
      </w:r>
      <w:r w:rsidR="00802C5F" w:rsidRPr="007B097A">
        <w:rPr>
          <w:lang w:val="x-none" w:eastAsia="x-none"/>
        </w:rPr>
        <w:t xml:space="preserve">. </w:t>
      </w:r>
    </w:p>
    <w:p w14:paraId="21676981" w14:textId="77777777" w:rsidR="0038658C" w:rsidRPr="007B097A" w:rsidRDefault="0038658C" w:rsidP="00802C5F">
      <w:pPr>
        <w:rPr>
          <w:lang w:val="x-none" w:eastAsia="x-none"/>
        </w:rPr>
      </w:pPr>
    </w:p>
    <w:p w14:paraId="73DE5485" w14:textId="77777777" w:rsidR="00802C5F" w:rsidRPr="007B097A" w:rsidRDefault="00802C5F" w:rsidP="00802C5F">
      <w:pPr>
        <w:keepNext/>
        <w:keepLines/>
        <w:spacing w:before="60"/>
        <w:jc w:val="center"/>
        <w:rPr>
          <w:rFonts w:ascii="Arial" w:eastAsia="SimSun" w:hAnsi="Arial"/>
          <w:b/>
        </w:rPr>
      </w:pPr>
      <w:r w:rsidRPr="007B097A">
        <w:rPr>
          <w:rFonts w:ascii="Arial" w:eastAsia="SimSun" w:hAnsi="Arial"/>
          <w:b/>
        </w:rPr>
        <w:t>Table A.5.7.1.2.3-2: SS-RSRP relative accuracy test requirement</w:t>
      </w:r>
    </w:p>
    <w:tbl>
      <w:tblPr>
        <w:tblStyle w:val="af7"/>
        <w:tblW w:w="0" w:type="auto"/>
        <w:tblLook w:val="04A0" w:firstRow="1" w:lastRow="0" w:firstColumn="1" w:lastColumn="0" w:noHBand="0" w:noVBand="1"/>
      </w:tblPr>
      <w:tblGrid>
        <w:gridCol w:w="2547"/>
        <w:gridCol w:w="7082"/>
      </w:tblGrid>
      <w:tr w:rsidR="00802C5F" w:rsidRPr="007B097A" w14:paraId="0B55457E" w14:textId="77777777" w:rsidTr="00703082">
        <w:tc>
          <w:tcPr>
            <w:tcW w:w="2547" w:type="dxa"/>
          </w:tcPr>
          <w:p w14:paraId="335D54EC" w14:textId="77777777" w:rsidR="00802C5F" w:rsidRPr="007B097A" w:rsidRDefault="00802C5F" w:rsidP="00703082">
            <w:pPr>
              <w:pStyle w:val="TH"/>
              <w:rPr>
                <w:sz w:val="18"/>
                <w:szCs w:val="18"/>
              </w:rPr>
            </w:pPr>
          </w:p>
        </w:tc>
        <w:tc>
          <w:tcPr>
            <w:tcW w:w="7082" w:type="dxa"/>
          </w:tcPr>
          <w:p w14:paraId="1E8FBD13" w14:textId="77777777" w:rsidR="00802C5F" w:rsidRPr="007B097A" w:rsidRDefault="00802C5F" w:rsidP="00703082">
            <w:pPr>
              <w:pStyle w:val="TH"/>
              <w:rPr>
                <w:sz w:val="18"/>
                <w:szCs w:val="18"/>
              </w:rPr>
            </w:pPr>
            <w:r w:rsidRPr="007B097A">
              <w:rPr>
                <w:sz w:val="18"/>
                <w:szCs w:val="18"/>
              </w:rPr>
              <w:t>Test requirement</w:t>
            </w:r>
            <w:r w:rsidRPr="007B097A">
              <w:rPr>
                <w:b w:val="0"/>
                <w:sz w:val="18"/>
                <w:szCs w:val="18"/>
                <w:vertAlign w:val="superscript"/>
              </w:rPr>
              <w:t xml:space="preserve"> Notes1,2,3,4</w:t>
            </w:r>
          </w:p>
        </w:tc>
      </w:tr>
      <w:tr w:rsidR="00802C5F" w:rsidRPr="007B097A" w14:paraId="70956A16" w14:textId="77777777" w:rsidTr="00703082">
        <w:tc>
          <w:tcPr>
            <w:tcW w:w="2547" w:type="dxa"/>
          </w:tcPr>
          <w:p w14:paraId="6157A01A" w14:textId="77777777" w:rsidR="00802C5F" w:rsidRPr="007B097A" w:rsidRDefault="00802C5F" w:rsidP="00703082">
            <w:pPr>
              <w:pStyle w:val="TAC"/>
              <w:rPr>
                <w:szCs w:val="18"/>
              </w:rPr>
            </w:pPr>
            <w:r w:rsidRPr="007B097A">
              <w:rPr>
                <w:szCs w:val="18"/>
              </w:rPr>
              <w:t>Cell 3 – Cell 2</w:t>
            </w:r>
          </w:p>
        </w:tc>
        <w:tc>
          <w:tcPr>
            <w:tcW w:w="7082" w:type="dxa"/>
          </w:tcPr>
          <w:p w14:paraId="79A60186" w14:textId="77777777" w:rsidR="00802C5F" w:rsidRPr="007B097A" w:rsidRDefault="00802C5F" w:rsidP="00703082">
            <w:pPr>
              <w:pStyle w:val="TAC"/>
              <w:rPr>
                <w:szCs w:val="18"/>
              </w:rPr>
            </w:pPr>
            <w:r w:rsidRPr="007B097A">
              <w:rPr>
                <w:szCs w:val="18"/>
              </w:rPr>
              <w:t>SSB_RP3 - SSB_RP2 -</w:t>
            </w:r>
            <w:r w:rsidRPr="007B097A">
              <w:rPr>
                <w:rFonts w:cs="Arial"/>
                <w:szCs w:val="18"/>
              </w:rPr>
              <w:t>δ</w:t>
            </w:r>
            <w:r w:rsidRPr="007B097A">
              <w:rPr>
                <w:szCs w:val="18"/>
              </w:rPr>
              <w:t xml:space="preserve"> </w:t>
            </w:r>
            <w:r w:rsidRPr="007B097A">
              <w:rPr>
                <w:rFonts w:cs="Arial"/>
                <w:szCs w:val="18"/>
              </w:rPr>
              <w:t xml:space="preserve">≤ </w:t>
            </w:r>
            <w:r w:rsidRPr="007B097A">
              <w:rPr>
                <w:szCs w:val="18"/>
              </w:rPr>
              <w:t xml:space="preserve">Reported RSRP(dB) </w:t>
            </w:r>
            <w:r w:rsidRPr="007B097A">
              <w:rPr>
                <w:rFonts w:cs="Arial"/>
                <w:szCs w:val="18"/>
              </w:rPr>
              <w:t xml:space="preserve">≤ </w:t>
            </w:r>
            <w:r w:rsidRPr="007B097A">
              <w:rPr>
                <w:szCs w:val="18"/>
              </w:rPr>
              <w:t>SSB_RP3 - SSB_RP2 +</w:t>
            </w:r>
            <w:r w:rsidRPr="007B097A">
              <w:rPr>
                <w:rFonts w:cs="Arial"/>
                <w:szCs w:val="18"/>
              </w:rPr>
              <w:t>δ</w:t>
            </w:r>
            <w:r w:rsidRPr="007B097A">
              <w:rPr>
                <w:szCs w:val="18"/>
                <w:vertAlign w:val="superscript"/>
              </w:rPr>
              <w:t xml:space="preserve"> </w:t>
            </w:r>
            <w:r w:rsidRPr="007B097A">
              <w:rPr>
                <w:rFonts w:cs="Arial"/>
                <w:szCs w:val="18"/>
              </w:rPr>
              <w:t>–(X)</w:t>
            </w:r>
          </w:p>
        </w:tc>
      </w:tr>
      <w:tr w:rsidR="00802C5F" w:rsidRPr="007B097A" w14:paraId="41565489" w14:textId="77777777" w:rsidTr="00703082">
        <w:tc>
          <w:tcPr>
            <w:tcW w:w="9629" w:type="dxa"/>
            <w:gridSpan w:val="2"/>
          </w:tcPr>
          <w:p w14:paraId="2F13CA4D" w14:textId="77777777" w:rsidR="00802C5F" w:rsidRPr="007B097A" w:rsidRDefault="00802C5F" w:rsidP="00703082">
            <w:pPr>
              <w:pStyle w:val="TAN"/>
              <w:rPr>
                <w:szCs w:val="18"/>
                <w:lang w:val="en-US"/>
              </w:rPr>
            </w:pPr>
            <w:r w:rsidRPr="007B097A">
              <w:rPr>
                <w:szCs w:val="18"/>
              </w:rPr>
              <w:t>Note 1:</w:t>
            </w:r>
            <w:r w:rsidRPr="007B097A">
              <w:rPr>
                <w:rFonts w:cs="Arial"/>
                <w:szCs w:val="18"/>
                <w:lang w:val="en-US"/>
              </w:rPr>
              <w:t xml:space="preserve"> </w:t>
            </w:r>
            <w:r w:rsidRPr="007B097A">
              <w:rPr>
                <w:rFonts w:cs="Arial"/>
                <w:szCs w:val="18"/>
                <w:lang w:val="en-US"/>
              </w:rPr>
              <w:tab/>
            </w:r>
            <w:r w:rsidRPr="007B097A">
              <w:rPr>
                <w:szCs w:val="18"/>
              </w:rPr>
              <w:t>SSB_RPn is the</w:t>
            </w:r>
            <w:r w:rsidRPr="007B097A">
              <w:rPr>
                <w:szCs w:val="18"/>
                <w:lang w:val="en-US"/>
              </w:rPr>
              <w:t xml:space="preserve"> equivalent power received by an antenna with 0dBi gain at the centre of the quiet zone configured in the test for the cell n under consideration</w:t>
            </w:r>
          </w:p>
          <w:p w14:paraId="2544ACA3" w14:textId="77777777" w:rsidR="00802C5F" w:rsidRPr="007B097A" w:rsidRDefault="00802C5F" w:rsidP="00703082">
            <w:pPr>
              <w:pStyle w:val="TAN"/>
              <w:rPr>
                <w:szCs w:val="18"/>
              </w:rPr>
            </w:pPr>
            <w:r w:rsidRPr="007B097A">
              <w:rPr>
                <w:szCs w:val="18"/>
              </w:rPr>
              <w:t>Note 2:</w:t>
            </w:r>
            <w:r w:rsidRPr="007B097A">
              <w:rPr>
                <w:rFonts w:cs="Arial"/>
                <w:szCs w:val="18"/>
                <w:lang w:val="en-US"/>
              </w:rPr>
              <w:t xml:space="preserve"> </w:t>
            </w:r>
            <w:r w:rsidRPr="007B097A">
              <w:rPr>
                <w:rFonts w:cs="Arial"/>
                <w:szCs w:val="18"/>
                <w:lang w:val="en-US"/>
              </w:rPr>
              <w:tab/>
            </w:r>
            <w:r w:rsidRPr="007B097A">
              <w:rPr>
                <w:szCs w:val="18"/>
              </w:rPr>
              <w:t>δ is the RSRP relative accuracy requirement from Table 10.1.5.1.2-1</w:t>
            </w:r>
          </w:p>
          <w:p w14:paraId="569FB9B0" w14:textId="77777777" w:rsidR="00802C5F" w:rsidRPr="007B097A" w:rsidRDefault="00802C5F" w:rsidP="00703082">
            <w:pPr>
              <w:pStyle w:val="TAN"/>
              <w:rPr>
                <w:szCs w:val="18"/>
              </w:rPr>
            </w:pPr>
            <w:r w:rsidRPr="007B097A">
              <w:rPr>
                <w:szCs w:val="18"/>
              </w:rPr>
              <w:t>Note 3:</w:t>
            </w:r>
            <w:r w:rsidRPr="007B097A">
              <w:rPr>
                <w:rFonts w:cs="Arial"/>
                <w:szCs w:val="18"/>
                <w:lang w:val="en-US"/>
              </w:rPr>
              <w:t xml:space="preserve"> </w:t>
            </w:r>
            <w:r w:rsidRPr="007B097A">
              <w:rPr>
                <w:rFonts w:cs="Arial"/>
                <w:szCs w:val="18"/>
                <w:lang w:val="en-US"/>
              </w:rPr>
              <w:tab/>
              <w:t>Void</w:t>
            </w:r>
            <w:r w:rsidRPr="007B097A">
              <w:rPr>
                <w:szCs w:val="18"/>
              </w:rPr>
              <w:t xml:space="preserve"> </w:t>
            </w:r>
          </w:p>
          <w:p w14:paraId="48A371EC" w14:textId="77777777" w:rsidR="00802C5F" w:rsidRPr="007B097A" w:rsidRDefault="00802C5F" w:rsidP="00703082">
            <w:pPr>
              <w:pStyle w:val="TAN"/>
              <w:rPr>
                <w:b/>
                <w:szCs w:val="18"/>
                <w:lang w:val="en-US"/>
              </w:rPr>
            </w:pPr>
            <w:r w:rsidRPr="007B097A">
              <w:rPr>
                <w:szCs w:val="18"/>
              </w:rPr>
              <w:t>Note 4:</w:t>
            </w:r>
            <w:r w:rsidRPr="007B097A">
              <w:rPr>
                <w:rFonts w:cs="Arial"/>
                <w:szCs w:val="18"/>
                <w:lang w:val="en-US"/>
              </w:rPr>
              <w:t xml:space="preserve"> </w:t>
            </w:r>
            <w:r w:rsidRPr="007B097A">
              <w:rPr>
                <w:rFonts w:cs="Arial"/>
                <w:szCs w:val="18"/>
                <w:lang w:val="en-US"/>
              </w:rPr>
              <w:tab/>
              <w:t xml:space="preserve">X is the </w:t>
            </w:r>
            <w:r w:rsidRPr="007B097A">
              <w:rPr>
                <w:szCs w:val="18"/>
                <w:lang w:val="en-US"/>
              </w:rPr>
              <w:t>Spherical coverage gain difference in dB, derived as (UE Refsens - UE Spherical coverage)</w:t>
            </w:r>
            <w:r w:rsidRPr="007B097A">
              <w:rPr>
                <w:szCs w:val="18"/>
              </w:rPr>
              <w:t xml:space="preserve"> from TS 38.101-2 [19] clauses 7.3.2 and 7.3.4, selected according to the UE power class and operating band. X is always a negative value.</w:t>
            </w:r>
          </w:p>
        </w:tc>
      </w:tr>
    </w:tbl>
    <w:p w14:paraId="27F5D188" w14:textId="77777777" w:rsidR="00802C5F" w:rsidRPr="007B097A" w:rsidRDefault="00802C5F" w:rsidP="00802C5F">
      <w:pPr>
        <w:rPr>
          <w:lang w:val="x-none" w:eastAsia="x-none"/>
        </w:rPr>
      </w:pPr>
    </w:p>
    <w:p w14:paraId="1E694CDA" w14:textId="2E3F42E0" w:rsidR="00EF312D" w:rsidRPr="007B097A" w:rsidRDefault="00A52908" w:rsidP="00DD1D73">
      <w:pPr>
        <w:pStyle w:val="af5"/>
        <w:numPr>
          <w:ilvl w:val="0"/>
          <w:numId w:val="47"/>
        </w:numPr>
        <w:rPr>
          <w:b/>
          <w:u w:val="single"/>
          <w:lang w:val="x-none" w:eastAsia="x-none"/>
        </w:rPr>
      </w:pPr>
      <w:r w:rsidRPr="007B097A">
        <w:rPr>
          <w:b/>
          <w:u w:val="single"/>
          <w:lang w:val="x-none" w:eastAsia="x-none"/>
        </w:rPr>
        <w:t>Uncertainty caused by d</w:t>
      </w:r>
      <w:r w:rsidR="002F2A37" w:rsidRPr="007B097A">
        <w:rPr>
          <w:b/>
          <w:u w:val="single"/>
          <w:lang w:val="x-none" w:eastAsia="x-none"/>
        </w:rPr>
        <w:t xml:space="preserve">ifferent </w:t>
      </w:r>
      <w:r w:rsidR="00EF312D" w:rsidRPr="007B097A">
        <w:rPr>
          <w:b/>
          <w:u w:val="single"/>
          <w:lang w:val="x-none" w:eastAsia="x-none"/>
        </w:rPr>
        <w:t>Beam type</w:t>
      </w:r>
    </w:p>
    <w:p w14:paraId="321138E6" w14:textId="1CF4464A" w:rsidR="00FA6805" w:rsidRPr="007B097A" w:rsidRDefault="00FA6805" w:rsidP="00F5467D">
      <w:pPr>
        <w:jc w:val="both"/>
        <w:rPr>
          <w:lang w:eastAsia="zh-CN"/>
        </w:rPr>
      </w:pPr>
      <w:r w:rsidRPr="007B097A">
        <w:rPr>
          <w:lang w:eastAsia="zh-CN"/>
        </w:rPr>
        <w:t>According to</w:t>
      </w:r>
      <w:r w:rsidR="00655189" w:rsidRPr="007B097A">
        <w:rPr>
          <w:lang w:eastAsia="zh-CN"/>
        </w:rPr>
        <w:t xml:space="preserve"> test parameters in</w:t>
      </w:r>
      <w:r w:rsidRPr="007B097A">
        <w:rPr>
          <w:lang w:eastAsia="zh-CN"/>
        </w:rPr>
        <w:t xml:space="preserve"> </w:t>
      </w:r>
      <w:r w:rsidR="00747702" w:rsidRPr="007B097A">
        <w:rPr>
          <w:lang w:eastAsia="zh-CN"/>
        </w:rPr>
        <w:t xml:space="preserve">Table </w:t>
      </w:r>
      <w:r w:rsidRPr="007B097A">
        <w:rPr>
          <w:lang w:eastAsia="zh-CN"/>
        </w:rPr>
        <w:t xml:space="preserve">A.5.7.1.2.2-2, Cell 2 (the serving cell) is at </w:t>
      </w:r>
      <w:r w:rsidRPr="007B097A">
        <w:rPr>
          <w:highlight w:val="yellow"/>
          <w:lang w:eastAsia="zh-CN"/>
        </w:rPr>
        <w:t>AoA1</w:t>
      </w:r>
      <w:r w:rsidRPr="007B097A">
        <w:rPr>
          <w:lang w:eastAsia="zh-CN"/>
        </w:rPr>
        <w:t xml:space="preserve"> which is randomly picked from the subset of angles which fulfils the spherical coverage requirement, while Cell 3 (neighboring cell) is at </w:t>
      </w:r>
      <w:r w:rsidRPr="007B097A">
        <w:rPr>
          <w:highlight w:val="green"/>
          <w:lang w:eastAsia="zh-CN"/>
        </w:rPr>
        <w:t>AoA2</w:t>
      </w:r>
      <w:r w:rsidRPr="007B097A">
        <w:rPr>
          <w:lang w:eastAsia="zh-CN"/>
        </w:rPr>
        <w:t xml:space="preserve"> along the Rx beam peak direction. </w:t>
      </w:r>
    </w:p>
    <w:p w14:paraId="7E855930" w14:textId="77777777" w:rsidR="00FD4AA1" w:rsidRPr="007B097A" w:rsidRDefault="00FD4AA1" w:rsidP="00F5467D">
      <w:pPr>
        <w:jc w:val="both"/>
        <w:rPr>
          <w:lang w:eastAsia="zh-CN"/>
        </w:rPr>
      </w:pPr>
    </w:p>
    <w:p w14:paraId="1B398D49" w14:textId="77777777" w:rsidR="00FA6805" w:rsidRPr="007B097A" w:rsidRDefault="00FA6805" w:rsidP="00FA6805">
      <w:pPr>
        <w:keepNext/>
        <w:keepLines/>
        <w:spacing w:before="60"/>
        <w:jc w:val="center"/>
        <w:rPr>
          <w:rFonts w:ascii="Arial" w:hAnsi="Arial"/>
          <w:b/>
          <w:lang w:eastAsia="ko-KR"/>
        </w:rPr>
      </w:pPr>
      <w:r w:rsidRPr="007B097A">
        <w:rPr>
          <w:rFonts w:ascii="Arial" w:hAnsi="Arial"/>
          <w:b/>
          <w:lang w:eastAsia="ko-KR"/>
        </w:rPr>
        <w:lastRenderedPageBreak/>
        <w:t>Table A.5.7.1.2.2-2: SS-RSRP inter-frequency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FA6805" w:rsidRPr="007B097A" w14:paraId="00B804F3" w14:textId="77777777" w:rsidTr="00FA6805">
        <w:trPr>
          <w:jc w:val="center"/>
        </w:trPr>
        <w:tc>
          <w:tcPr>
            <w:tcW w:w="1543" w:type="dxa"/>
            <w:vMerge w:val="restart"/>
            <w:tcBorders>
              <w:top w:val="single" w:sz="4" w:space="0" w:color="auto"/>
              <w:left w:val="single" w:sz="4" w:space="0" w:color="auto"/>
              <w:right w:val="single" w:sz="4" w:space="0" w:color="auto"/>
            </w:tcBorders>
            <w:vAlign w:val="center"/>
            <w:hideMark/>
          </w:tcPr>
          <w:p w14:paraId="09EDE76A"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Parameter</w:t>
            </w:r>
          </w:p>
        </w:tc>
        <w:tc>
          <w:tcPr>
            <w:tcW w:w="1092" w:type="dxa"/>
            <w:vMerge w:val="restart"/>
            <w:tcBorders>
              <w:top w:val="single" w:sz="4" w:space="0" w:color="auto"/>
              <w:left w:val="single" w:sz="4" w:space="0" w:color="auto"/>
              <w:right w:val="single" w:sz="4" w:space="0" w:color="auto"/>
            </w:tcBorders>
            <w:vAlign w:val="center"/>
          </w:tcPr>
          <w:p w14:paraId="06D38256"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B3BD2E3"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1650C4"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0254440"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Test 2</w:t>
            </w:r>
          </w:p>
        </w:tc>
      </w:tr>
      <w:tr w:rsidR="00FA6805" w:rsidRPr="007B097A" w14:paraId="43225EA8" w14:textId="77777777" w:rsidTr="00FA6805">
        <w:trPr>
          <w:jc w:val="center"/>
        </w:trPr>
        <w:tc>
          <w:tcPr>
            <w:tcW w:w="1543" w:type="dxa"/>
            <w:vMerge/>
            <w:tcBorders>
              <w:left w:val="single" w:sz="4" w:space="0" w:color="auto"/>
              <w:bottom w:val="single" w:sz="4" w:space="0" w:color="auto"/>
              <w:right w:val="single" w:sz="4" w:space="0" w:color="auto"/>
            </w:tcBorders>
            <w:vAlign w:val="center"/>
            <w:hideMark/>
          </w:tcPr>
          <w:p w14:paraId="2EA28C82" w14:textId="77777777" w:rsidR="00FA6805" w:rsidRPr="007B097A" w:rsidRDefault="00FA6805" w:rsidP="008D3CD0">
            <w:pPr>
              <w:keepNext/>
              <w:keepLines/>
              <w:jc w:val="center"/>
              <w:rPr>
                <w:rFonts w:ascii="Arial" w:eastAsia="Calibri" w:hAnsi="Arial"/>
                <w:b/>
                <w:sz w:val="18"/>
                <w:szCs w:val="18"/>
              </w:rPr>
            </w:pPr>
          </w:p>
        </w:tc>
        <w:tc>
          <w:tcPr>
            <w:tcW w:w="1092" w:type="dxa"/>
            <w:vMerge/>
            <w:tcBorders>
              <w:left w:val="single" w:sz="4" w:space="0" w:color="auto"/>
              <w:bottom w:val="single" w:sz="4" w:space="0" w:color="auto"/>
              <w:right w:val="single" w:sz="4" w:space="0" w:color="auto"/>
            </w:tcBorders>
          </w:tcPr>
          <w:p w14:paraId="2CF533D7" w14:textId="77777777" w:rsidR="00FA6805" w:rsidRPr="007B097A" w:rsidRDefault="00FA6805" w:rsidP="008D3CD0">
            <w:pPr>
              <w:keepNext/>
              <w:keepLines/>
              <w:jc w:val="center"/>
              <w:rPr>
                <w:rFonts w:ascii="Arial" w:eastAsia="Calibri" w:hAnsi="Arial"/>
                <w:b/>
                <w:sz w:val="18"/>
                <w:szCs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5D29190" w14:textId="77777777" w:rsidR="00FA6805" w:rsidRPr="007B097A" w:rsidRDefault="00FA6805" w:rsidP="008D3CD0">
            <w:pPr>
              <w:keepNext/>
              <w:keepLines/>
              <w:jc w:val="center"/>
              <w:rPr>
                <w:rFonts w:ascii="Arial" w:eastAsia="Calibri" w:hAnsi="Arial"/>
                <w:b/>
                <w:sz w:val="18"/>
                <w:szCs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0A272A54"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1B8F8E9E"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5EFC6B"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067779" w14:textId="77777777" w:rsidR="00FA6805" w:rsidRPr="007B097A" w:rsidRDefault="00FA6805" w:rsidP="008D3CD0">
            <w:pPr>
              <w:keepNext/>
              <w:keepLines/>
              <w:jc w:val="center"/>
              <w:rPr>
                <w:rFonts w:ascii="Arial" w:hAnsi="Arial"/>
                <w:b/>
                <w:sz w:val="18"/>
                <w:szCs w:val="18"/>
              </w:rPr>
            </w:pPr>
            <w:r w:rsidRPr="007B097A">
              <w:rPr>
                <w:rFonts w:ascii="Arial" w:hAnsi="Arial"/>
                <w:b/>
                <w:sz w:val="18"/>
                <w:szCs w:val="18"/>
              </w:rPr>
              <w:t>Cell 3</w:t>
            </w:r>
          </w:p>
        </w:tc>
      </w:tr>
      <w:tr w:rsidR="00FA6805" w:rsidRPr="007B097A" w14:paraId="1E31B73F" w14:textId="77777777" w:rsidTr="00FA6805">
        <w:trPr>
          <w:jc w:val="center"/>
        </w:trPr>
        <w:tc>
          <w:tcPr>
            <w:tcW w:w="1543" w:type="dxa"/>
            <w:vMerge w:val="restart"/>
            <w:tcBorders>
              <w:top w:val="single" w:sz="4" w:space="0" w:color="auto"/>
              <w:left w:val="single" w:sz="4" w:space="0" w:color="auto"/>
              <w:right w:val="single" w:sz="4" w:space="0" w:color="auto"/>
            </w:tcBorders>
            <w:vAlign w:val="center"/>
          </w:tcPr>
          <w:p w14:paraId="18963D0F" w14:textId="77777777" w:rsidR="00FA6805" w:rsidRPr="007B097A" w:rsidRDefault="00FA6805" w:rsidP="008D3CD0">
            <w:pPr>
              <w:keepNext/>
              <w:keepLines/>
              <w:rPr>
                <w:rFonts w:ascii="Arial" w:hAnsi="Arial"/>
                <w:sz w:val="18"/>
                <w:szCs w:val="18"/>
                <w:lang w:val="da-DK"/>
              </w:rPr>
            </w:pPr>
            <w:r w:rsidRPr="007B097A">
              <w:rPr>
                <w:rFonts w:ascii="Arial" w:hAnsi="Arial"/>
                <w:sz w:val="18"/>
                <w:szCs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6B11CC0" w14:textId="77777777" w:rsidR="00FA6805" w:rsidRPr="007B097A" w:rsidRDefault="00FA6805" w:rsidP="008D3CD0">
            <w:pPr>
              <w:keepNext/>
              <w:keepLines/>
              <w:jc w:val="center"/>
              <w:rPr>
                <w:rFonts w:ascii="Arial" w:hAnsi="Arial"/>
                <w:sz w:val="18"/>
                <w:szCs w:val="18"/>
                <w:lang w:val="da-DK"/>
              </w:rPr>
            </w:pPr>
            <w:r w:rsidRPr="007B097A">
              <w:rPr>
                <w:rFonts w:ascii="Arial" w:hAnsi="Arial" w:cs="Arial"/>
                <w:sz w:val="18"/>
                <w:szCs w:val="18"/>
              </w:rPr>
              <w:t>1~4</w:t>
            </w:r>
          </w:p>
        </w:tc>
        <w:tc>
          <w:tcPr>
            <w:tcW w:w="1092" w:type="dxa"/>
            <w:vMerge w:val="restart"/>
            <w:tcBorders>
              <w:top w:val="single" w:sz="4" w:space="0" w:color="auto"/>
              <w:left w:val="single" w:sz="4" w:space="0" w:color="auto"/>
              <w:right w:val="single" w:sz="4" w:space="0" w:color="auto"/>
            </w:tcBorders>
            <w:vAlign w:val="center"/>
          </w:tcPr>
          <w:p w14:paraId="63A8C358" w14:textId="77777777" w:rsidR="00FA6805" w:rsidRPr="007B097A" w:rsidRDefault="00FA6805" w:rsidP="008D3CD0">
            <w:pPr>
              <w:keepNext/>
              <w:keepLines/>
              <w:jc w:val="center"/>
              <w:rPr>
                <w:rFonts w:ascii="Arial" w:hAnsi="Arial"/>
                <w:sz w:val="18"/>
                <w:szCs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5AFFC0" w14:textId="77777777" w:rsidR="00FA6805" w:rsidRPr="007B097A" w:rsidRDefault="00FA6805" w:rsidP="008D3CD0">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126176" w14:textId="77777777" w:rsidR="00FA6805" w:rsidRPr="007B097A" w:rsidRDefault="00FA6805" w:rsidP="008D3CD0">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r>
      <w:tr w:rsidR="00FA6805" w:rsidRPr="007B097A" w14:paraId="330C9447" w14:textId="77777777" w:rsidTr="00FA6805">
        <w:trPr>
          <w:jc w:val="center"/>
        </w:trPr>
        <w:tc>
          <w:tcPr>
            <w:tcW w:w="1543" w:type="dxa"/>
            <w:vMerge/>
            <w:tcBorders>
              <w:left w:val="single" w:sz="4" w:space="0" w:color="auto"/>
              <w:bottom w:val="single" w:sz="4" w:space="0" w:color="auto"/>
              <w:right w:val="single" w:sz="4" w:space="0" w:color="auto"/>
            </w:tcBorders>
            <w:vAlign w:val="center"/>
          </w:tcPr>
          <w:p w14:paraId="744FBB62" w14:textId="77777777" w:rsidR="00FA6805" w:rsidRPr="007B097A" w:rsidRDefault="00FA6805" w:rsidP="008D3CD0">
            <w:pPr>
              <w:keepNext/>
              <w:keepLines/>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tcPr>
          <w:p w14:paraId="31D49417" w14:textId="77777777" w:rsidR="00FA6805" w:rsidRPr="007B097A" w:rsidRDefault="00FA6805" w:rsidP="008D3CD0">
            <w:pPr>
              <w:keepNext/>
              <w:keepLines/>
              <w:jc w:val="center"/>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vAlign w:val="center"/>
          </w:tcPr>
          <w:p w14:paraId="43420900" w14:textId="77777777" w:rsidR="00FA6805" w:rsidRPr="007B097A" w:rsidRDefault="00FA6805" w:rsidP="008D3CD0">
            <w:pPr>
              <w:keepNext/>
              <w:keepLines/>
              <w:jc w:val="center"/>
              <w:rPr>
                <w:rFonts w:ascii="Arial" w:hAnsi="Arial"/>
                <w:sz w:val="18"/>
                <w:szCs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602C40" w14:textId="77777777" w:rsidR="00FA6805" w:rsidRPr="007B097A" w:rsidRDefault="00FA6805" w:rsidP="008D3CD0">
            <w:pPr>
              <w:keepNext/>
              <w:keepLines/>
              <w:jc w:val="center"/>
              <w:rPr>
                <w:rFonts w:ascii="Arial" w:hAnsi="Arial"/>
                <w:sz w:val="18"/>
                <w:szCs w:val="18"/>
                <w:highlight w:val="yellow"/>
              </w:rPr>
            </w:pPr>
            <w:r w:rsidRPr="007B097A">
              <w:rPr>
                <w:rFonts w:ascii="Arial" w:hAnsi="Arial"/>
                <w:sz w:val="18"/>
                <w:szCs w:val="18"/>
                <w:highlight w:val="yellow"/>
              </w:rPr>
              <w:t xml:space="preserve">AoA1 </w:t>
            </w:r>
            <w:r w:rsidRPr="007B097A">
              <w:rPr>
                <w:rFonts w:ascii="Arial" w:hAnsi="Arial"/>
                <w:sz w:val="18"/>
                <w:szCs w:val="18"/>
                <w:highlight w:val="yellow"/>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F8E78A1" w14:textId="77777777" w:rsidR="00FA6805" w:rsidRPr="007B097A" w:rsidRDefault="00FA6805" w:rsidP="008D3CD0">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7B6891D" w14:textId="77777777" w:rsidR="00FA6805" w:rsidRPr="007B097A" w:rsidRDefault="00FA6805" w:rsidP="008D3CD0">
            <w:pPr>
              <w:keepNext/>
              <w:keepLines/>
              <w:jc w:val="center"/>
              <w:rPr>
                <w:rFonts w:ascii="Arial" w:hAnsi="Arial"/>
                <w:sz w:val="18"/>
                <w:szCs w:val="18"/>
                <w:highlight w:val="yellow"/>
              </w:rPr>
            </w:pPr>
            <w:r w:rsidRPr="007B097A">
              <w:rPr>
                <w:rFonts w:ascii="Arial" w:hAnsi="Arial"/>
                <w:sz w:val="18"/>
                <w:szCs w:val="18"/>
                <w:highlight w:val="yellow"/>
              </w:rPr>
              <w:t xml:space="preserve">AoA1 </w:t>
            </w:r>
            <w:r w:rsidRPr="007B097A">
              <w:rPr>
                <w:rFonts w:ascii="Arial" w:hAnsi="Arial"/>
                <w:sz w:val="18"/>
                <w:szCs w:val="18"/>
                <w:highlight w:val="yellow"/>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0B6E218" w14:textId="77777777" w:rsidR="00FA6805" w:rsidRPr="007B097A" w:rsidRDefault="00FA6805" w:rsidP="008D3CD0">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r>
    </w:tbl>
    <w:p w14:paraId="387A2A35" w14:textId="77777777" w:rsidR="00F5467D" w:rsidRPr="007B097A" w:rsidRDefault="00F5467D" w:rsidP="00F5467D">
      <w:pPr>
        <w:rPr>
          <w:lang w:val="x-none" w:eastAsia="x-none"/>
        </w:rPr>
      </w:pPr>
    </w:p>
    <w:p w14:paraId="25B7FF3C" w14:textId="0B40BA63" w:rsidR="00730521" w:rsidRPr="007B097A" w:rsidRDefault="00C34F15" w:rsidP="00C34F15">
      <w:pPr>
        <w:jc w:val="both"/>
        <w:rPr>
          <w:lang w:val="x-none" w:eastAsia="x-none"/>
        </w:rPr>
      </w:pPr>
      <w:r w:rsidRPr="007B097A">
        <w:rPr>
          <w:lang w:val="x-none" w:eastAsia="x-none"/>
        </w:rPr>
        <w:t>Note that, the beam peak direction is determined based on fine beam assumption during EIS 3D scan</w:t>
      </w:r>
      <w:r w:rsidR="00FD4AA1" w:rsidRPr="007B097A">
        <w:rPr>
          <w:lang w:val="x-none" w:eastAsia="x-none"/>
        </w:rPr>
        <w:t>, and</w:t>
      </w:r>
      <w:r w:rsidRPr="007B097A">
        <w:rPr>
          <w:lang w:val="x-none" w:eastAsia="x-none"/>
        </w:rPr>
        <w:t xml:space="preserve"> </w:t>
      </w:r>
      <w:r w:rsidR="00FD4AA1" w:rsidRPr="007B097A">
        <w:rPr>
          <w:lang w:val="x-none" w:eastAsia="x-none"/>
        </w:rPr>
        <w:t>i</w:t>
      </w:r>
      <w:r w:rsidRPr="007B097A">
        <w:rPr>
          <w:lang w:val="x-none" w:eastAsia="x-none"/>
        </w:rPr>
        <w:t>t is not the beam peak for rough beam which is used for L3 measurement</w:t>
      </w:r>
      <w:r w:rsidR="0026781A" w:rsidRPr="007B097A">
        <w:rPr>
          <w:lang w:val="x-none" w:eastAsia="x-none"/>
        </w:rPr>
        <w:t xml:space="preserve"> as for SS-RSRP</w:t>
      </w:r>
      <w:r w:rsidRPr="007B097A">
        <w:rPr>
          <w:lang w:val="x-none" w:eastAsia="x-none"/>
        </w:rPr>
        <w:t xml:space="preserve">. On the other hand, since AoA1 </w:t>
      </w:r>
      <w:r w:rsidR="009038F1" w:rsidRPr="007B097A">
        <w:rPr>
          <w:lang w:val="x-none" w:eastAsia="x-none"/>
        </w:rPr>
        <w:t xml:space="preserve">is </w:t>
      </w:r>
      <w:r w:rsidR="00730521" w:rsidRPr="007B097A">
        <w:rPr>
          <w:lang w:val="x-none" w:eastAsia="x-none"/>
        </w:rPr>
        <w:t xml:space="preserve">randomly </w:t>
      </w:r>
      <w:r w:rsidRPr="007B097A">
        <w:rPr>
          <w:lang w:val="x-none" w:eastAsia="x-none"/>
        </w:rPr>
        <w:t xml:space="preserve">picked from the spherical coverage (based on fine beam), it is possible that </w:t>
      </w:r>
      <w:r w:rsidR="008B104C" w:rsidRPr="007B097A">
        <w:rPr>
          <w:lang w:val="x-none" w:eastAsia="x-none"/>
        </w:rPr>
        <w:t>UE may achieve worse rough beamforming gain at AoA2 (i.e. at the fine beam peak) than at AoA1 (selected from spherical coverage)</w:t>
      </w:r>
      <w:r w:rsidR="00730521" w:rsidRPr="007B097A">
        <w:rPr>
          <w:lang w:val="x-none" w:eastAsia="x-none"/>
        </w:rPr>
        <w:t xml:space="preserve">, as illustrated in </w:t>
      </w:r>
      <w:r w:rsidR="00BA39CA" w:rsidRPr="007B097A">
        <w:rPr>
          <w:lang w:val="x-none" w:eastAsia="x-none"/>
        </w:rPr>
        <w:fldChar w:fldCharType="begin"/>
      </w:r>
      <w:r w:rsidR="00BA39CA" w:rsidRPr="007B097A">
        <w:rPr>
          <w:lang w:val="x-none" w:eastAsia="x-none"/>
        </w:rPr>
        <w:instrText xml:space="preserve"> REF _Ref71053605 \h </w:instrText>
      </w:r>
      <w:r w:rsidR="007B097A">
        <w:rPr>
          <w:lang w:val="x-none" w:eastAsia="x-none"/>
        </w:rPr>
        <w:instrText xml:space="preserve"> \* MERGEFORMAT </w:instrText>
      </w:r>
      <w:r w:rsidR="00BA39CA" w:rsidRPr="007B097A">
        <w:rPr>
          <w:lang w:val="x-none" w:eastAsia="x-none"/>
        </w:rPr>
      </w:r>
      <w:r w:rsidR="00BA39CA" w:rsidRPr="007B097A">
        <w:rPr>
          <w:lang w:val="x-none" w:eastAsia="x-none"/>
        </w:rPr>
        <w:fldChar w:fldCharType="separate"/>
      </w:r>
      <w:r w:rsidR="00DC5E50">
        <w:t xml:space="preserve">Figure </w:t>
      </w:r>
      <w:r w:rsidR="00DC5E50">
        <w:rPr>
          <w:noProof/>
        </w:rPr>
        <w:t>1</w:t>
      </w:r>
      <w:r w:rsidR="00BA39CA" w:rsidRPr="007B097A">
        <w:rPr>
          <w:lang w:val="x-none" w:eastAsia="x-none"/>
        </w:rPr>
        <w:fldChar w:fldCharType="end"/>
      </w:r>
      <w:r w:rsidR="00BA39CA" w:rsidRPr="007B097A">
        <w:rPr>
          <w:lang w:val="x-none" w:eastAsia="x-none"/>
        </w:rPr>
        <w:t>.</w:t>
      </w:r>
    </w:p>
    <w:p w14:paraId="630C6FAA" w14:textId="77777777" w:rsidR="00730521" w:rsidRDefault="00730521" w:rsidP="00C34F15">
      <w:pPr>
        <w:jc w:val="both"/>
        <w:rPr>
          <w:lang w:val="x-none" w:eastAsia="x-none"/>
        </w:rPr>
      </w:pPr>
    </w:p>
    <w:p w14:paraId="2C80508D" w14:textId="2481B43D" w:rsidR="00C34F15" w:rsidRDefault="00730521" w:rsidP="00730521">
      <w:pPr>
        <w:jc w:val="center"/>
        <w:rPr>
          <w:lang w:val="x-none" w:eastAsia="x-none"/>
        </w:rPr>
      </w:pPr>
      <w:r w:rsidRPr="00730521">
        <w:rPr>
          <w:noProof/>
        </w:rPr>
        <w:drawing>
          <wp:inline distT="0" distB="0" distL="0" distR="0" wp14:anchorId="78785471" wp14:editId="096FE3C5">
            <wp:extent cx="4400451" cy="2236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1376" cy="2241612"/>
                    </a:xfrm>
                    <a:prstGeom prst="rect">
                      <a:avLst/>
                    </a:prstGeom>
                    <a:noFill/>
                    <a:ln>
                      <a:noFill/>
                    </a:ln>
                  </pic:spPr>
                </pic:pic>
              </a:graphicData>
            </a:graphic>
          </wp:inline>
        </w:drawing>
      </w:r>
    </w:p>
    <w:p w14:paraId="1EEC606E" w14:textId="45196C19" w:rsidR="00730521" w:rsidRDefault="00730521" w:rsidP="00730521">
      <w:pPr>
        <w:pStyle w:val="af1"/>
        <w:jc w:val="center"/>
      </w:pPr>
      <w:bookmarkStart w:id="1" w:name="_Ref71053605"/>
      <w:r>
        <w:t xml:space="preserve">Figure </w:t>
      </w:r>
      <w:r w:rsidR="00D45902">
        <w:rPr>
          <w:noProof/>
        </w:rPr>
        <w:fldChar w:fldCharType="begin"/>
      </w:r>
      <w:r w:rsidR="00D45902">
        <w:rPr>
          <w:noProof/>
        </w:rPr>
        <w:instrText xml:space="preserve"> SEQ Figure \* ARABIC </w:instrText>
      </w:r>
      <w:r w:rsidR="00D45902">
        <w:rPr>
          <w:noProof/>
        </w:rPr>
        <w:fldChar w:fldCharType="separate"/>
      </w:r>
      <w:r w:rsidR="00DC5E50">
        <w:rPr>
          <w:noProof/>
        </w:rPr>
        <w:t>1</w:t>
      </w:r>
      <w:r w:rsidR="00D45902">
        <w:rPr>
          <w:noProof/>
        </w:rPr>
        <w:fldChar w:fldCharType="end"/>
      </w:r>
      <w:bookmarkEnd w:id="1"/>
      <w:r>
        <w:t>. One example that the beam forming gain may be higher at AoA1 than at AoA2</w:t>
      </w:r>
    </w:p>
    <w:p w14:paraId="335DD1DD" w14:textId="77777777" w:rsidR="00BA39CA" w:rsidRPr="007B097A" w:rsidRDefault="00BA39CA" w:rsidP="00730521">
      <w:pPr>
        <w:pStyle w:val="af1"/>
        <w:jc w:val="both"/>
        <w:rPr>
          <w:sz w:val="22"/>
          <w:szCs w:val="22"/>
        </w:rPr>
      </w:pPr>
    </w:p>
    <w:p w14:paraId="544D9838" w14:textId="05529CCD" w:rsidR="00F53E56" w:rsidRPr="00DC5E50" w:rsidRDefault="00730521" w:rsidP="00730521">
      <w:pPr>
        <w:pStyle w:val="af1"/>
        <w:jc w:val="both"/>
        <w:rPr>
          <w:sz w:val="22"/>
          <w:szCs w:val="22"/>
        </w:rPr>
      </w:pPr>
      <w:bookmarkStart w:id="2" w:name="_Ref78398260"/>
      <w:bookmarkStart w:id="3" w:name="_Ref79000625"/>
      <w:bookmarkStart w:id="4" w:name="_Ref71054841"/>
      <w:r w:rsidRPr="00DC5E50">
        <w:rPr>
          <w:sz w:val="22"/>
          <w:szCs w:val="22"/>
        </w:rPr>
        <w:t xml:space="preserve">Observation </w:t>
      </w:r>
      <w:r w:rsidR="00D45902" w:rsidRPr="00DC5E50">
        <w:rPr>
          <w:noProof/>
          <w:sz w:val="22"/>
          <w:szCs w:val="22"/>
        </w:rPr>
        <w:fldChar w:fldCharType="begin"/>
      </w:r>
      <w:r w:rsidR="00D45902" w:rsidRPr="00DC5E50">
        <w:rPr>
          <w:noProof/>
          <w:sz w:val="22"/>
          <w:szCs w:val="22"/>
        </w:rPr>
        <w:instrText xml:space="preserve"> SEQ Observation \* ARABIC </w:instrText>
      </w:r>
      <w:r w:rsidR="00D45902" w:rsidRPr="00DC5E50">
        <w:rPr>
          <w:noProof/>
          <w:sz w:val="22"/>
          <w:szCs w:val="22"/>
        </w:rPr>
        <w:fldChar w:fldCharType="separate"/>
      </w:r>
      <w:r w:rsidR="00DC5E50">
        <w:rPr>
          <w:noProof/>
          <w:sz w:val="22"/>
          <w:szCs w:val="22"/>
        </w:rPr>
        <w:t>1</w:t>
      </w:r>
      <w:r w:rsidR="00D45902" w:rsidRPr="00DC5E50">
        <w:rPr>
          <w:noProof/>
          <w:sz w:val="22"/>
          <w:szCs w:val="22"/>
        </w:rPr>
        <w:fldChar w:fldCharType="end"/>
      </w:r>
      <w:bookmarkEnd w:id="2"/>
      <w:r w:rsidRPr="00DC5E50">
        <w:rPr>
          <w:sz w:val="22"/>
          <w:szCs w:val="22"/>
        </w:rPr>
        <w:t xml:space="preserve">: In the </w:t>
      </w:r>
      <w:r w:rsidR="00BA39CA" w:rsidRPr="00DC5E50">
        <w:rPr>
          <w:sz w:val="22"/>
          <w:szCs w:val="22"/>
        </w:rPr>
        <w:t xml:space="preserve">FR2 </w:t>
      </w:r>
      <w:r w:rsidRPr="00DC5E50">
        <w:rPr>
          <w:sz w:val="22"/>
          <w:szCs w:val="22"/>
        </w:rPr>
        <w:t xml:space="preserve">inter-frequency RSRP </w:t>
      </w:r>
      <w:r w:rsidR="0032472B" w:rsidRPr="00DC5E50">
        <w:rPr>
          <w:sz w:val="22"/>
          <w:szCs w:val="22"/>
        </w:rPr>
        <w:t xml:space="preserve">relative </w:t>
      </w:r>
      <w:r w:rsidRPr="00DC5E50">
        <w:rPr>
          <w:sz w:val="22"/>
          <w:szCs w:val="22"/>
        </w:rPr>
        <w:t xml:space="preserve">accuracy test, the beam peak AoA2 for Cell 3 is </w:t>
      </w:r>
      <w:r w:rsidR="004C2563" w:rsidRPr="00DC5E50">
        <w:rPr>
          <w:sz w:val="22"/>
          <w:szCs w:val="22"/>
        </w:rPr>
        <w:t>based on</w:t>
      </w:r>
      <w:r w:rsidRPr="00DC5E50">
        <w:rPr>
          <w:sz w:val="22"/>
          <w:szCs w:val="22"/>
        </w:rPr>
        <w:t xml:space="preserve"> fine beam, </w:t>
      </w:r>
      <w:r w:rsidR="004C2563" w:rsidRPr="00DC5E50">
        <w:rPr>
          <w:sz w:val="22"/>
          <w:szCs w:val="22"/>
        </w:rPr>
        <w:t xml:space="preserve">while SS-RSRP measurement </w:t>
      </w:r>
      <w:r w:rsidR="00F53E56" w:rsidRPr="00DC5E50">
        <w:rPr>
          <w:sz w:val="22"/>
          <w:szCs w:val="22"/>
        </w:rPr>
        <w:t>can</w:t>
      </w:r>
      <w:r w:rsidR="004C2563" w:rsidRPr="00DC5E50">
        <w:rPr>
          <w:sz w:val="22"/>
          <w:szCs w:val="22"/>
        </w:rPr>
        <w:t xml:space="preserve"> be conducted by rough beam</w:t>
      </w:r>
      <w:r w:rsidRPr="00DC5E50">
        <w:rPr>
          <w:sz w:val="22"/>
          <w:szCs w:val="22"/>
        </w:rPr>
        <w:t>.</w:t>
      </w:r>
      <w:bookmarkEnd w:id="3"/>
      <w:r w:rsidRPr="00DC5E50">
        <w:rPr>
          <w:sz w:val="22"/>
          <w:szCs w:val="22"/>
        </w:rPr>
        <w:t xml:space="preserve"> </w:t>
      </w:r>
    </w:p>
    <w:p w14:paraId="477D51E8" w14:textId="5C3156A3" w:rsidR="00730521" w:rsidRPr="00DC5E50" w:rsidRDefault="00F53E56" w:rsidP="00730521">
      <w:pPr>
        <w:pStyle w:val="af1"/>
        <w:jc w:val="both"/>
        <w:rPr>
          <w:sz w:val="22"/>
          <w:szCs w:val="22"/>
        </w:rPr>
      </w:pPr>
      <w:bookmarkStart w:id="5" w:name="_Ref79000463"/>
      <w:r w:rsidRPr="00DC5E50">
        <w:rPr>
          <w:sz w:val="22"/>
          <w:szCs w:val="22"/>
        </w:rPr>
        <w:t xml:space="preserve">Observation </w:t>
      </w:r>
      <w:r w:rsidRPr="00DC5E50">
        <w:rPr>
          <w:noProof/>
          <w:sz w:val="22"/>
          <w:szCs w:val="22"/>
        </w:rPr>
        <w:fldChar w:fldCharType="begin"/>
      </w:r>
      <w:r w:rsidRPr="00DC5E50">
        <w:rPr>
          <w:noProof/>
          <w:sz w:val="22"/>
          <w:szCs w:val="22"/>
        </w:rPr>
        <w:instrText xml:space="preserve"> SEQ Observation \* ARABIC </w:instrText>
      </w:r>
      <w:r w:rsidRPr="00DC5E50">
        <w:rPr>
          <w:noProof/>
          <w:sz w:val="22"/>
          <w:szCs w:val="22"/>
        </w:rPr>
        <w:fldChar w:fldCharType="separate"/>
      </w:r>
      <w:r w:rsidR="00DC5E50">
        <w:rPr>
          <w:noProof/>
          <w:sz w:val="22"/>
          <w:szCs w:val="22"/>
        </w:rPr>
        <w:t>2</w:t>
      </w:r>
      <w:r w:rsidRPr="00DC5E50">
        <w:rPr>
          <w:noProof/>
          <w:sz w:val="22"/>
          <w:szCs w:val="22"/>
        </w:rPr>
        <w:fldChar w:fldCharType="end"/>
      </w:r>
      <w:r w:rsidRPr="00DC5E50">
        <w:rPr>
          <w:sz w:val="22"/>
          <w:szCs w:val="22"/>
        </w:rPr>
        <w:t xml:space="preserve">: </w:t>
      </w:r>
      <w:r w:rsidR="00730521" w:rsidRPr="00DC5E50">
        <w:rPr>
          <w:sz w:val="22"/>
          <w:szCs w:val="22"/>
        </w:rPr>
        <w:t xml:space="preserve">UE may achieve </w:t>
      </w:r>
      <w:r w:rsidRPr="00DC5E50">
        <w:rPr>
          <w:sz w:val="22"/>
          <w:szCs w:val="22"/>
        </w:rPr>
        <w:t xml:space="preserve">worse </w:t>
      </w:r>
      <w:r w:rsidR="00730521" w:rsidRPr="00DC5E50">
        <w:rPr>
          <w:sz w:val="22"/>
          <w:szCs w:val="22"/>
        </w:rPr>
        <w:t>rough beam</w:t>
      </w:r>
      <w:r w:rsidRPr="00DC5E50">
        <w:rPr>
          <w:sz w:val="22"/>
          <w:szCs w:val="22"/>
        </w:rPr>
        <w:t>forming</w:t>
      </w:r>
      <w:r w:rsidR="00730521" w:rsidRPr="00DC5E50">
        <w:rPr>
          <w:sz w:val="22"/>
          <w:szCs w:val="22"/>
        </w:rPr>
        <w:t xml:space="preserve"> gain at </w:t>
      </w:r>
      <w:r w:rsidRPr="00DC5E50">
        <w:rPr>
          <w:sz w:val="22"/>
          <w:szCs w:val="22"/>
        </w:rPr>
        <w:t>AoA2 (</w:t>
      </w:r>
      <w:r w:rsidR="00FD4AA1" w:rsidRPr="00DC5E50">
        <w:rPr>
          <w:sz w:val="22"/>
          <w:szCs w:val="22"/>
        </w:rPr>
        <w:t xml:space="preserve">i.e. at </w:t>
      </w:r>
      <w:r w:rsidRPr="00DC5E50">
        <w:rPr>
          <w:sz w:val="22"/>
          <w:szCs w:val="22"/>
        </w:rPr>
        <w:t xml:space="preserve">the fine beam peak) </w:t>
      </w:r>
      <w:r w:rsidR="00730521" w:rsidRPr="00DC5E50">
        <w:rPr>
          <w:sz w:val="22"/>
          <w:szCs w:val="22"/>
        </w:rPr>
        <w:t xml:space="preserve">than </w:t>
      </w:r>
      <w:r w:rsidRPr="00DC5E50">
        <w:rPr>
          <w:sz w:val="22"/>
          <w:szCs w:val="22"/>
        </w:rPr>
        <w:t>at AoA1 (selected from spherical coverage)</w:t>
      </w:r>
      <w:r w:rsidR="00730521" w:rsidRPr="00DC5E50">
        <w:rPr>
          <w:sz w:val="22"/>
          <w:szCs w:val="22"/>
        </w:rPr>
        <w:t>.</w:t>
      </w:r>
      <w:bookmarkEnd w:id="4"/>
      <w:bookmarkEnd w:id="5"/>
    </w:p>
    <w:p w14:paraId="6521DBD1" w14:textId="77777777" w:rsidR="00D6708B" w:rsidRPr="007B097A" w:rsidRDefault="00D6708B" w:rsidP="00D6708B">
      <w:pPr>
        <w:rPr>
          <w:lang w:val="x-none" w:eastAsia="x-none"/>
        </w:rPr>
      </w:pPr>
    </w:p>
    <w:p w14:paraId="124B6971" w14:textId="557F478B" w:rsidR="00BF7DDD" w:rsidRPr="00DC5E50" w:rsidRDefault="00A52908" w:rsidP="00DC5E50">
      <w:pPr>
        <w:pStyle w:val="af5"/>
        <w:numPr>
          <w:ilvl w:val="0"/>
          <w:numId w:val="47"/>
        </w:numPr>
        <w:rPr>
          <w:b/>
          <w:u w:val="single"/>
          <w:lang w:val="x-none" w:eastAsia="x-none"/>
        </w:rPr>
      </w:pPr>
      <w:r w:rsidRPr="007B097A">
        <w:rPr>
          <w:b/>
          <w:u w:val="single"/>
          <w:lang w:val="x-none" w:eastAsia="x-none"/>
        </w:rPr>
        <w:t>Uncertainty caused by d</w:t>
      </w:r>
      <w:r w:rsidR="002F2A37" w:rsidRPr="007B097A">
        <w:rPr>
          <w:b/>
          <w:u w:val="single"/>
          <w:lang w:val="x-none" w:eastAsia="x-none"/>
        </w:rPr>
        <w:t xml:space="preserve">ifferent </w:t>
      </w:r>
      <w:r w:rsidR="00EF312D" w:rsidRPr="00DC5E50">
        <w:rPr>
          <w:b/>
          <w:u w:val="single"/>
          <w:lang w:val="x-none" w:eastAsia="x-none"/>
        </w:rPr>
        <w:t>Frequency layer</w:t>
      </w:r>
    </w:p>
    <w:p w14:paraId="7218C2E1" w14:textId="1D21DC10" w:rsidR="00BF7DDD" w:rsidRPr="007B097A" w:rsidRDefault="00BF7DDD" w:rsidP="00BF7DDD">
      <w:pPr>
        <w:jc w:val="both"/>
        <w:rPr>
          <w:lang w:val="x-none" w:eastAsia="x-none"/>
        </w:rPr>
      </w:pPr>
      <w:r w:rsidRPr="007B097A">
        <w:rPr>
          <w:lang w:val="x-none" w:eastAsia="x-none"/>
        </w:rPr>
        <w:t>Furthermore, in this inter-frequency test, Cell 2 and Cell 3 are selected from 2 different frequency layers,</w:t>
      </w:r>
      <w:r w:rsidR="00CD35E5" w:rsidRPr="007B097A">
        <w:rPr>
          <w:lang w:val="x-none" w:eastAsia="x-none"/>
        </w:rPr>
        <w:t xml:space="preserve"> where the antenna gains could be different at different frequenc</w:t>
      </w:r>
      <w:r w:rsidR="00DD1D73" w:rsidRPr="007B097A">
        <w:rPr>
          <w:lang w:val="x-none" w:eastAsia="x-none"/>
        </w:rPr>
        <w:t>ies</w:t>
      </w:r>
      <w:r w:rsidR="00FC2E84" w:rsidRPr="007B097A">
        <w:rPr>
          <w:lang w:val="x-none" w:eastAsia="x-none"/>
        </w:rPr>
        <w:t xml:space="preserve">, especially for different bands. </w:t>
      </w:r>
      <w:r w:rsidRPr="007B097A">
        <w:rPr>
          <w:lang w:val="x-none" w:eastAsia="x-none"/>
        </w:rPr>
        <w:t xml:space="preserve">For example, Cell 2 from AoA1 (spherical coverage) is on </w:t>
      </w:r>
      <w:r w:rsidR="00FC2E84" w:rsidRPr="007B097A">
        <w:rPr>
          <w:lang w:val="x-none" w:eastAsia="x-none"/>
        </w:rPr>
        <w:t xml:space="preserve">f1 </w:t>
      </w:r>
      <w:r w:rsidRPr="007B097A">
        <w:rPr>
          <w:lang w:val="x-none" w:eastAsia="x-none"/>
        </w:rPr>
        <w:t xml:space="preserve">while Cell 3 from AoA2 (beam peak) is on </w:t>
      </w:r>
      <w:r w:rsidR="00FC2E84" w:rsidRPr="007B097A">
        <w:rPr>
          <w:lang w:val="x-none" w:eastAsia="x-none"/>
        </w:rPr>
        <w:t>f2</w:t>
      </w:r>
      <w:r w:rsidRPr="007B097A">
        <w:rPr>
          <w:lang w:val="x-none" w:eastAsia="x-none"/>
        </w:rPr>
        <w:t xml:space="preserve">, and </w:t>
      </w:r>
      <w:r w:rsidR="00FC2E84" w:rsidRPr="007B097A">
        <w:rPr>
          <w:lang w:val="x-none" w:eastAsia="x-none"/>
        </w:rPr>
        <w:t xml:space="preserve">then </w:t>
      </w:r>
      <w:r w:rsidRPr="007B097A">
        <w:rPr>
          <w:lang w:val="x-none" w:eastAsia="x-none"/>
        </w:rPr>
        <w:t xml:space="preserve">the antenna gain </w:t>
      </w:r>
      <w:r w:rsidR="00FC2E84" w:rsidRPr="007B097A">
        <w:rPr>
          <w:lang w:val="x-none" w:eastAsia="x-none"/>
        </w:rPr>
        <w:t xml:space="preserve">on f1 could be </w:t>
      </w:r>
      <w:r w:rsidRPr="007B097A">
        <w:rPr>
          <w:lang w:val="x-none" w:eastAsia="x-none"/>
        </w:rPr>
        <w:t xml:space="preserve">higher than </w:t>
      </w:r>
      <w:r w:rsidR="00FC2E84" w:rsidRPr="007B097A">
        <w:rPr>
          <w:lang w:val="x-none" w:eastAsia="x-none"/>
        </w:rPr>
        <w:t>that on f2</w:t>
      </w:r>
      <w:r w:rsidRPr="007B097A">
        <w:rPr>
          <w:lang w:val="x-none" w:eastAsia="x-none"/>
        </w:rPr>
        <w:t xml:space="preserve">. </w:t>
      </w:r>
    </w:p>
    <w:p w14:paraId="466B3289" w14:textId="77777777" w:rsidR="00CD35E5" w:rsidRPr="007B097A" w:rsidRDefault="00CD35E5" w:rsidP="00BF7DDD">
      <w:pPr>
        <w:jc w:val="both"/>
        <w:rPr>
          <w:lang w:val="x-none" w:eastAsia="x-none"/>
        </w:rPr>
      </w:pPr>
    </w:p>
    <w:p w14:paraId="3AF91FBC" w14:textId="45DF6185" w:rsidR="00BF7DDD" w:rsidRPr="007B097A" w:rsidRDefault="00BF7DDD" w:rsidP="00BF7DDD">
      <w:pPr>
        <w:jc w:val="both"/>
        <w:rPr>
          <w:lang w:val="x-none" w:eastAsia="x-none"/>
        </w:rPr>
      </w:pPr>
      <w:r w:rsidRPr="007B097A">
        <w:rPr>
          <w:lang w:val="x-none" w:eastAsia="x-none"/>
        </w:rPr>
        <w:t xml:space="preserve">In order to fulfil the current test requirement, UE is mandated to equalize the antenna gain between 2 </w:t>
      </w:r>
      <w:r w:rsidR="008B37A2" w:rsidRPr="007B097A">
        <w:rPr>
          <w:lang w:val="x-none" w:eastAsia="x-none"/>
        </w:rPr>
        <w:t xml:space="preserve">frequencies or even 2 </w:t>
      </w:r>
      <w:r w:rsidRPr="007B097A">
        <w:rPr>
          <w:lang w:val="x-none" w:eastAsia="x-none"/>
        </w:rPr>
        <w:t xml:space="preserve">bands. Such a </w:t>
      </w:r>
      <w:r w:rsidR="00DD1D73" w:rsidRPr="007B097A">
        <w:rPr>
          <w:lang w:val="x-none" w:eastAsia="x-none"/>
        </w:rPr>
        <w:t>UE implementation does not seem</w:t>
      </w:r>
      <w:r w:rsidRPr="007B097A">
        <w:rPr>
          <w:lang w:val="x-none" w:eastAsia="x-none"/>
        </w:rPr>
        <w:t xml:space="preserve"> to honestly reflect the exact signal power level difference experienced by UE. We believe that during Rel-15, the discussion </w:t>
      </w:r>
      <w:r w:rsidR="00BC3E30" w:rsidRPr="007B097A">
        <w:rPr>
          <w:lang w:val="x-none" w:eastAsia="x-none"/>
        </w:rPr>
        <w:t xml:space="preserve">was </w:t>
      </w:r>
      <w:r w:rsidRPr="007B097A">
        <w:rPr>
          <w:lang w:val="x-none" w:eastAsia="x-none"/>
        </w:rPr>
        <w:t xml:space="preserve">mainly focused on intra-band scenarios. There was no attention paid on how the requirement should be applied for inter-band scenarios. </w:t>
      </w:r>
    </w:p>
    <w:p w14:paraId="02433BA7" w14:textId="06F0C663" w:rsidR="00BF7DDD" w:rsidRPr="00DC5E50" w:rsidRDefault="00BF7DDD" w:rsidP="00BF7DDD">
      <w:pPr>
        <w:pStyle w:val="af1"/>
        <w:jc w:val="both"/>
        <w:rPr>
          <w:sz w:val="22"/>
          <w:szCs w:val="22"/>
        </w:rPr>
      </w:pPr>
      <w:bookmarkStart w:id="6" w:name="_Ref78398261"/>
      <w:bookmarkStart w:id="7" w:name="_Ref71054849"/>
      <w:r w:rsidRPr="00DC5E50">
        <w:rPr>
          <w:sz w:val="22"/>
          <w:szCs w:val="22"/>
        </w:rPr>
        <w:t xml:space="preserve">Observation </w:t>
      </w:r>
      <w:r w:rsidRPr="00DC5E50">
        <w:rPr>
          <w:noProof/>
          <w:sz w:val="22"/>
          <w:szCs w:val="22"/>
        </w:rPr>
        <w:fldChar w:fldCharType="begin"/>
      </w:r>
      <w:r w:rsidRPr="00DC5E50">
        <w:rPr>
          <w:noProof/>
          <w:sz w:val="22"/>
          <w:szCs w:val="22"/>
        </w:rPr>
        <w:instrText xml:space="preserve"> SEQ Observation \* ARABIC </w:instrText>
      </w:r>
      <w:r w:rsidRPr="00DC5E50">
        <w:rPr>
          <w:noProof/>
          <w:sz w:val="22"/>
          <w:szCs w:val="22"/>
        </w:rPr>
        <w:fldChar w:fldCharType="separate"/>
      </w:r>
      <w:r w:rsidR="00DC5E50">
        <w:rPr>
          <w:noProof/>
          <w:sz w:val="22"/>
          <w:szCs w:val="22"/>
        </w:rPr>
        <w:t>3</w:t>
      </w:r>
      <w:r w:rsidRPr="00DC5E50">
        <w:rPr>
          <w:noProof/>
          <w:sz w:val="22"/>
          <w:szCs w:val="22"/>
        </w:rPr>
        <w:fldChar w:fldCharType="end"/>
      </w:r>
      <w:bookmarkEnd w:id="6"/>
      <w:r w:rsidRPr="00DC5E50">
        <w:rPr>
          <w:sz w:val="22"/>
          <w:szCs w:val="22"/>
        </w:rPr>
        <w:t xml:space="preserve">: Current SS-RSRP relative accuracy test requirement mandates UE to equalize the antenna gain difference between </w:t>
      </w:r>
      <w:r w:rsidR="003268D5" w:rsidRPr="00DC5E50">
        <w:rPr>
          <w:sz w:val="22"/>
          <w:szCs w:val="22"/>
        </w:rPr>
        <w:t xml:space="preserve">2 frequencies or even </w:t>
      </w:r>
      <w:r w:rsidRPr="00DC5E50">
        <w:rPr>
          <w:sz w:val="22"/>
          <w:szCs w:val="22"/>
        </w:rPr>
        <w:t>2 bands, which seems not well-discussion in Rel-15.</w:t>
      </w:r>
      <w:bookmarkEnd w:id="7"/>
    </w:p>
    <w:p w14:paraId="11D44286" w14:textId="6C13A9DC" w:rsidR="000A074C" w:rsidRDefault="000A074C" w:rsidP="000A074C">
      <w:pPr>
        <w:tabs>
          <w:tab w:val="left" w:pos="5344"/>
        </w:tabs>
        <w:rPr>
          <w:lang w:val="x-none" w:eastAsia="x-none"/>
        </w:rPr>
      </w:pPr>
      <w:r>
        <w:rPr>
          <w:lang w:val="x-none" w:eastAsia="x-none"/>
        </w:rPr>
        <w:tab/>
      </w:r>
    </w:p>
    <w:p w14:paraId="020745F6" w14:textId="77777777" w:rsidR="00604C7A" w:rsidRDefault="00604C7A" w:rsidP="000A074C">
      <w:pPr>
        <w:tabs>
          <w:tab w:val="left" w:pos="5344"/>
        </w:tabs>
        <w:rPr>
          <w:lang w:val="x-none" w:eastAsia="x-none"/>
        </w:rPr>
      </w:pPr>
      <w:r w:rsidRPr="000A074C">
        <w:rPr>
          <w:lang w:val="x-none" w:eastAsia="x-none"/>
        </w:rPr>
        <w:br w:type="page"/>
      </w:r>
      <w:r w:rsidR="000A074C">
        <w:rPr>
          <w:lang w:val="x-none" w:eastAsia="x-none"/>
        </w:rPr>
        <w:tab/>
      </w:r>
    </w:p>
    <w:p w14:paraId="24D55702" w14:textId="77777777" w:rsidR="00D6708B" w:rsidRPr="00D6708B" w:rsidRDefault="00D6708B" w:rsidP="00D6708B">
      <w:pPr>
        <w:rPr>
          <w:lang w:val="x-none" w:eastAsia="x-none"/>
        </w:rPr>
      </w:pPr>
    </w:p>
    <w:p w14:paraId="2BB69DD4" w14:textId="402B2865" w:rsidR="00EF312D" w:rsidRPr="00EF312D" w:rsidRDefault="00FA5327" w:rsidP="00BF7DDD">
      <w:pPr>
        <w:rPr>
          <w:b/>
          <w:u w:val="single"/>
        </w:rPr>
      </w:pPr>
      <w:r>
        <w:rPr>
          <w:b/>
          <w:u w:val="single"/>
        </w:rPr>
        <w:t xml:space="preserve">Measurement </w:t>
      </w:r>
      <w:r w:rsidR="00501B89">
        <w:rPr>
          <w:b/>
          <w:u w:val="single"/>
        </w:rPr>
        <w:t xml:space="preserve">and </w:t>
      </w:r>
      <w:r w:rsidR="00EF312D" w:rsidRPr="00EF312D">
        <w:rPr>
          <w:b/>
          <w:u w:val="single"/>
        </w:rPr>
        <w:t>Solution</w:t>
      </w:r>
    </w:p>
    <w:p w14:paraId="374BF3AC" w14:textId="30D955B1" w:rsidR="00C34F15" w:rsidRDefault="006A05A7" w:rsidP="00DC5E50">
      <w:pPr>
        <w:jc w:val="both"/>
      </w:pPr>
      <w:r>
        <w:t xml:space="preserve">To </w:t>
      </w:r>
      <w:r w:rsidR="00501B89">
        <w:t>evaluate</w:t>
      </w:r>
      <w:r w:rsidR="00E16C47">
        <w:t xml:space="preserve"> </w:t>
      </w:r>
      <w:r>
        <w:t>the problem found in</w:t>
      </w:r>
      <w:r w:rsidR="00E16C47">
        <w:t xml:space="preserve"> the above observations</w:t>
      </w:r>
      <w:r>
        <w:t>,</w:t>
      </w:r>
      <w:r w:rsidR="00FB42A3">
        <w:t xml:space="preserve"> </w:t>
      </w:r>
      <w:r w:rsidR="00B0048A">
        <w:t>on</w:t>
      </w:r>
      <w:r w:rsidR="00E16C47">
        <w:t>e</w:t>
      </w:r>
      <w:r w:rsidR="00B0048A">
        <w:t xml:space="preserve"> </w:t>
      </w:r>
      <w:r w:rsidR="001340A7">
        <w:t>rough beamforming</w:t>
      </w:r>
      <w:r w:rsidR="00BF52AA">
        <w:t xml:space="preserve"> gain</w:t>
      </w:r>
      <w:r w:rsidR="00FB42A3">
        <w:t xml:space="preserve"> </w:t>
      </w:r>
      <w:r w:rsidR="00FA5327">
        <w:t xml:space="preserve">measurement </w:t>
      </w:r>
      <w:r w:rsidR="00604C7A">
        <w:t xml:space="preserve">result </w:t>
      </w:r>
      <w:r w:rsidR="00750A99">
        <w:t>is provided</w:t>
      </w:r>
      <w:r w:rsidR="00FB42A3">
        <w:t xml:space="preserve"> </w:t>
      </w:r>
      <w:r w:rsidR="00BF52AA" w:rsidRPr="00BF52AA">
        <w:t xml:space="preserve">in </w:t>
      </w:r>
      <w:r w:rsidR="00BF52AA" w:rsidRPr="00BF52AA">
        <w:fldChar w:fldCharType="begin"/>
      </w:r>
      <w:r w:rsidR="00BF52AA" w:rsidRPr="00BF52AA">
        <w:instrText xml:space="preserve"> REF _Ref78373622 \h  \* MERGEFORMAT </w:instrText>
      </w:r>
      <w:r w:rsidR="00BF52AA" w:rsidRPr="00BF52AA">
        <w:fldChar w:fldCharType="separate"/>
      </w:r>
      <w:r w:rsidR="00DC5E50" w:rsidRPr="00DC5E50">
        <w:rPr>
          <w:rFonts w:cstheme="minorHAnsi"/>
        </w:rPr>
        <w:t xml:space="preserve">Table </w:t>
      </w:r>
      <w:r w:rsidR="00DC5E50" w:rsidRPr="00DC5E50">
        <w:rPr>
          <w:rFonts w:cstheme="minorHAnsi"/>
          <w:noProof/>
        </w:rPr>
        <w:t>1</w:t>
      </w:r>
      <w:r w:rsidR="00BF52AA" w:rsidRPr="00BF52AA">
        <w:fldChar w:fldCharType="end"/>
      </w:r>
      <w:r w:rsidR="00B0048A">
        <w:t>,</w:t>
      </w:r>
      <w:r w:rsidR="001340A7">
        <w:t xml:space="preserve"> </w:t>
      </w:r>
      <w:r w:rsidR="00501B89">
        <w:t>for</w:t>
      </w:r>
      <w:r w:rsidR="00BF52AA">
        <w:t xml:space="preserve"> different frequency layer</w:t>
      </w:r>
      <w:r w:rsidR="001A7815">
        <w:t>s</w:t>
      </w:r>
      <w:r w:rsidR="001340A7">
        <w:t xml:space="preserve"> at </w:t>
      </w:r>
      <w:r w:rsidR="001340A7" w:rsidRPr="00DC5E50">
        <w:t xml:space="preserve">1) </w:t>
      </w:r>
      <w:r w:rsidR="00B34DBF">
        <w:t xml:space="preserve">rough beam gain of 50% tile </w:t>
      </w:r>
      <w:r w:rsidR="001340A7">
        <w:t xml:space="preserve">and 2) </w:t>
      </w:r>
      <w:r w:rsidR="00501B89">
        <w:t xml:space="preserve">at the </w:t>
      </w:r>
      <w:r w:rsidR="001340A7">
        <w:t>rough beam peak.</w:t>
      </w:r>
    </w:p>
    <w:p w14:paraId="48A70002" w14:textId="77777777" w:rsidR="00B0048A" w:rsidRPr="00DC5E50" w:rsidRDefault="00B0048A" w:rsidP="00DC5E50">
      <w:pPr>
        <w:jc w:val="both"/>
        <w:rPr>
          <w:rFonts w:eastAsia="新細明體"/>
        </w:rPr>
      </w:pPr>
    </w:p>
    <w:p w14:paraId="4EB05E0F" w14:textId="60D2210D" w:rsidR="00BF7DDD" w:rsidRPr="00FB42A3" w:rsidRDefault="00FB42A3" w:rsidP="00FB42A3">
      <w:pPr>
        <w:jc w:val="center"/>
        <w:rPr>
          <w:b/>
        </w:rPr>
      </w:pPr>
      <w:bookmarkStart w:id="8" w:name="_Ref78373622"/>
      <w:r w:rsidRPr="00FB42A3">
        <w:rPr>
          <w:rFonts w:cstheme="minorHAnsi"/>
          <w:b/>
        </w:rPr>
        <w:t xml:space="preserve">Table </w:t>
      </w:r>
      <w:r w:rsidRPr="00FB42A3">
        <w:rPr>
          <w:rFonts w:cstheme="minorHAnsi"/>
          <w:b/>
          <w:noProof/>
        </w:rPr>
        <w:fldChar w:fldCharType="begin"/>
      </w:r>
      <w:r w:rsidRPr="00FB42A3">
        <w:rPr>
          <w:rFonts w:cstheme="minorHAnsi"/>
          <w:b/>
          <w:noProof/>
        </w:rPr>
        <w:instrText xml:space="preserve"> SEQ Table \* ARABIC </w:instrText>
      </w:r>
      <w:r w:rsidRPr="00FB42A3">
        <w:rPr>
          <w:rFonts w:cstheme="minorHAnsi"/>
          <w:b/>
          <w:noProof/>
        </w:rPr>
        <w:fldChar w:fldCharType="separate"/>
      </w:r>
      <w:r w:rsidR="00DC5E50">
        <w:rPr>
          <w:rFonts w:cstheme="minorHAnsi"/>
          <w:b/>
          <w:noProof/>
        </w:rPr>
        <w:t>1</w:t>
      </w:r>
      <w:r w:rsidRPr="00FB42A3">
        <w:rPr>
          <w:rFonts w:cstheme="minorHAnsi"/>
          <w:b/>
          <w:noProof/>
        </w:rPr>
        <w:fldChar w:fldCharType="end"/>
      </w:r>
      <w:bookmarkEnd w:id="8"/>
      <w:r w:rsidRPr="00FB42A3">
        <w:rPr>
          <w:rFonts w:cstheme="minorHAnsi"/>
          <w:b/>
        </w:rPr>
        <w:t xml:space="preserve">. </w:t>
      </w:r>
      <w:r>
        <w:rPr>
          <w:b/>
        </w:rPr>
        <w:t>A</w:t>
      </w:r>
      <w:r w:rsidRPr="00FB42A3">
        <w:rPr>
          <w:b/>
        </w:rPr>
        <w:t>rray gain in different frequency layer</w:t>
      </w:r>
    </w:p>
    <w:tbl>
      <w:tblPr>
        <w:tblStyle w:val="af7"/>
        <w:tblW w:w="0" w:type="auto"/>
        <w:tblLayout w:type="fixed"/>
        <w:tblLook w:val="04A0" w:firstRow="1" w:lastRow="0" w:firstColumn="1" w:lastColumn="0" w:noHBand="0" w:noVBand="1"/>
      </w:tblPr>
      <w:tblGrid>
        <w:gridCol w:w="2689"/>
        <w:gridCol w:w="1392"/>
        <w:gridCol w:w="1110"/>
        <w:gridCol w:w="1109"/>
        <w:gridCol w:w="1110"/>
        <w:gridCol w:w="1109"/>
        <w:gridCol w:w="1110"/>
      </w:tblGrid>
      <w:tr w:rsidR="00BF7DDD" w:rsidRPr="007B097A" w14:paraId="57C778F1" w14:textId="77777777" w:rsidTr="007B097A">
        <w:tc>
          <w:tcPr>
            <w:tcW w:w="2689" w:type="dxa"/>
          </w:tcPr>
          <w:p w14:paraId="44C8EB88" w14:textId="2430C35F" w:rsidR="00BF7DDD" w:rsidRPr="007B097A" w:rsidRDefault="00BF7DDD" w:rsidP="00BF7DDD">
            <w:pPr>
              <w:rPr>
                <w:sz w:val="20"/>
                <w:szCs w:val="20"/>
              </w:rPr>
            </w:pPr>
          </w:p>
        </w:tc>
        <w:tc>
          <w:tcPr>
            <w:tcW w:w="1392" w:type="dxa"/>
            <w:vAlign w:val="center"/>
          </w:tcPr>
          <w:p w14:paraId="6B00A675" w14:textId="73E356AC" w:rsidR="00BF7DDD" w:rsidRPr="007B097A" w:rsidRDefault="00BF7DDD" w:rsidP="007B097A">
            <w:pPr>
              <w:jc w:val="center"/>
              <w:rPr>
                <w:sz w:val="20"/>
                <w:szCs w:val="20"/>
              </w:rPr>
            </w:pPr>
            <w:r w:rsidRPr="007B097A">
              <w:rPr>
                <w:sz w:val="20"/>
                <w:szCs w:val="20"/>
              </w:rPr>
              <w:t>24.25 GHz</w:t>
            </w:r>
          </w:p>
        </w:tc>
        <w:tc>
          <w:tcPr>
            <w:tcW w:w="1110" w:type="dxa"/>
            <w:vAlign w:val="center"/>
          </w:tcPr>
          <w:p w14:paraId="12FEBF7B" w14:textId="7380FBC4" w:rsidR="00BF7DDD" w:rsidRPr="007B097A" w:rsidRDefault="00BF7DDD" w:rsidP="007B097A">
            <w:pPr>
              <w:jc w:val="center"/>
              <w:rPr>
                <w:sz w:val="20"/>
                <w:szCs w:val="20"/>
              </w:rPr>
            </w:pPr>
            <w:r w:rsidRPr="007B097A">
              <w:rPr>
                <w:sz w:val="20"/>
                <w:szCs w:val="20"/>
              </w:rPr>
              <w:t>27.5 GHz</w:t>
            </w:r>
          </w:p>
        </w:tc>
        <w:tc>
          <w:tcPr>
            <w:tcW w:w="1109" w:type="dxa"/>
            <w:vAlign w:val="center"/>
          </w:tcPr>
          <w:p w14:paraId="52049797" w14:textId="543CF645" w:rsidR="00BF7DDD" w:rsidRPr="007B097A" w:rsidRDefault="00D24CB4" w:rsidP="007B097A">
            <w:pPr>
              <w:jc w:val="center"/>
              <w:rPr>
                <w:sz w:val="20"/>
                <w:szCs w:val="20"/>
              </w:rPr>
            </w:pPr>
            <w:r w:rsidRPr="007B097A">
              <w:rPr>
                <w:sz w:val="20"/>
                <w:szCs w:val="20"/>
              </w:rPr>
              <w:t>29.5 GHz</w:t>
            </w:r>
          </w:p>
        </w:tc>
        <w:tc>
          <w:tcPr>
            <w:tcW w:w="1110" w:type="dxa"/>
            <w:vAlign w:val="center"/>
          </w:tcPr>
          <w:p w14:paraId="153867C1" w14:textId="41C08850" w:rsidR="00BF7DDD" w:rsidRPr="007B097A" w:rsidRDefault="00D24CB4" w:rsidP="007B097A">
            <w:pPr>
              <w:jc w:val="center"/>
              <w:rPr>
                <w:sz w:val="20"/>
                <w:szCs w:val="20"/>
              </w:rPr>
            </w:pPr>
            <w:r w:rsidRPr="007B097A">
              <w:rPr>
                <w:sz w:val="20"/>
                <w:szCs w:val="20"/>
              </w:rPr>
              <w:t>37 GHz</w:t>
            </w:r>
          </w:p>
        </w:tc>
        <w:tc>
          <w:tcPr>
            <w:tcW w:w="1109" w:type="dxa"/>
            <w:vAlign w:val="center"/>
          </w:tcPr>
          <w:p w14:paraId="2FF1202B" w14:textId="123A3756" w:rsidR="00BF7DDD" w:rsidRPr="007B097A" w:rsidRDefault="00D24CB4" w:rsidP="007B097A">
            <w:pPr>
              <w:jc w:val="center"/>
              <w:rPr>
                <w:sz w:val="20"/>
                <w:szCs w:val="20"/>
              </w:rPr>
            </w:pPr>
            <w:r w:rsidRPr="007B097A">
              <w:rPr>
                <w:sz w:val="20"/>
                <w:szCs w:val="20"/>
              </w:rPr>
              <w:t>29.5 GHz</w:t>
            </w:r>
          </w:p>
        </w:tc>
        <w:tc>
          <w:tcPr>
            <w:tcW w:w="1110" w:type="dxa"/>
            <w:vAlign w:val="center"/>
          </w:tcPr>
          <w:p w14:paraId="506BEF48" w14:textId="5E69A2A6" w:rsidR="00BF7DDD" w:rsidRPr="007B097A" w:rsidRDefault="00D24CB4" w:rsidP="007B097A">
            <w:pPr>
              <w:jc w:val="center"/>
              <w:rPr>
                <w:sz w:val="20"/>
                <w:szCs w:val="20"/>
              </w:rPr>
            </w:pPr>
            <w:r w:rsidRPr="007B097A">
              <w:rPr>
                <w:sz w:val="20"/>
                <w:szCs w:val="20"/>
              </w:rPr>
              <w:t>43.5 GHz</w:t>
            </w:r>
          </w:p>
        </w:tc>
      </w:tr>
      <w:tr w:rsidR="00BF7DDD" w:rsidRPr="007B097A" w14:paraId="11C89C10" w14:textId="77777777" w:rsidTr="00D24CB4">
        <w:tc>
          <w:tcPr>
            <w:tcW w:w="2689" w:type="dxa"/>
          </w:tcPr>
          <w:p w14:paraId="1A77A2F3" w14:textId="10B6FD9C" w:rsidR="00BF7DDD" w:rsidRPr="007B097A" w:rsidRDefault="001340A7" w:rsidP="00B34DBF">
            <w:pPr>
              <w:rPr>
                <w:sz w:val="20"/>
                <w:szCs w:val="20"/>
              </w:rPr>
            </w:pPr>
            <w:r w:rsidRPr="007B097A">
              <w:rPr>
                <w:sz w:val="20"/>
                <w:szCs w:val="20"/>
              </w:rPr>
              <w:t xml:space="preserve">1) </w:t>
            </w:r>
            <w:r w:rsidR="00B34DBF" w:rsidRPr="007B097A">
              <w:rPr>
                <w:sz w:val="20"/>
                <w:szCs w:val="20"/>
              </w:rPr>
              <w:t>Rough beam gain of 50% tile</w:t>
            </w:r>
            <w:r w:rsidR="00BF7DDD" w:rsidRPr="007B097A">
              <w:rPr>
                <w:sz w:val="20"/>
                <w:szCs w:val="20"/>
              </w:rPr>
              <w:t xml:space="preserve"> (dBi)</w:t>
            </w:r>
            <w:r w:rsidR="006A57B2" w:rsidRPr="007B097A">
              <w:rPr>
                <w:sz w:val="20"/>
                <w:szCs w:val="20"/>
              </w:rPr>
              <w:t xml:space="preserve">, which could be used as fine beam peak as AoA2 </w:t>
            </w:r>
          </w:p>
        </w:tc>
        <w:tc>
          <w:tcPr>
            <w:tcW w:w="1392" w:type="dxa"/>
            <w:vAlign w:val="center"/>
          </w:tcPr>
          <w:p w14:paraId="7AB2FF3E" w14:textId="79720D33" w:rsidR="00BF7DDD" w:rsidRPr="007B097A" w:rsidRDefault="00D24CB4" w:rsidP="00D24CB4">
            <w:pPr>
              <w:jc w:val="center"/>
              <w:rPr>
                <w:sz w:val="20"/>
                <w:szCs w:val="20"/>
              </w:rPr>
            </w:pPr>
            <w:r w:rsidRPr="007B097A">
              <w:rPr>
                <w:sz w:val="20"/>
                <w:szCs w:val="20"/>
              </w:rPr>
              <w:t>-3.67</w:t>
            </w:r>
          </w:p>
        </w:tc>
        <w:tc>
          <w:tcPr>
            <w:tcW w:w="1110" w:type="dxa"/>
            <w:vAlign w:val="center"/>
          </w:tcPr>
          <w:p w14:paraId="3FF6EBDA" w14:textId="27716620" w:rsidR="00BF7DDD" w:rsidRPr="007B097A" w:rsidRDefault="00D24CB4" w:rsidP="00D24CB4">
            <w:pPr>
              <w:jc w:val="center"/>
              <w:rPr>
                <w:sz w:val="20"/>
                <w:szCs w:val="20"/>
              </w:rPr>
            </w:pPr>
            <w:r w:rsidRPr="007B097A">
              <w:rPr>
                <w:sz w:val="20"/>
                <w:szCs w:val="20"/>
              </w:rPr>
              <w:t>-2.1</w:t>
            </w:r>
          </w:p>
        </w:tc>
        <w:tc>
          <w:tcPr>
            <w:tcW w:w="1109" w:type="dxa"/>
            <w:vAlign w:val="center"/>
          </w:tcPr>
          <w:p w14:paraId="7EC2ED9F" w14:textId="44679232" w:rsidR="00BF7DDD" w:rsidRPr="007B097A" w:rsidRDefault="00D24CB4" w:rsidP="00D24CB4">
            <w:pPr>
              <w:jc w:val="center"/>
              <w:rPr>
                <w:sz w:val="20"/>
                <w:szCs w:val="20"/>
              </w:rPr>
            </w:pPr>
            <w:r w:rsidRPr="007B097A">
              <w:rPr>
                <w:sz w:val="20"/>
                <w:szCs w:val="20"/>
              </w:rPr>
              <w:t>-4.47</w:t>
            </w:r>
          </w:p>
        </w:tc>
        <w:tc>
          <w:tcPr>
            <w:tcW w:w="1110" w:type="dxa"/>
            <w:vAlign w:val="center"/>
          </w:tcPr>
          <w:p w14:paraId="1722EE64" w14:textId="54606752" w:rsidR="00BF7DDD" w:rsidRPr="007B097A" w:rsidRDefault="00D24CB4" w:rsidP="00D24CB4">
            <w:pPr>
              <w:jc w:val="center"/>
              <w:rPr>
                <w:sz w:val="20"/>
                <w:szCs w:val="20"/>
              </w:rPr>
            </w:pPr>
            <w:r w:rsidRPr="007B097A">
              <w:rPr>
                <w:sz w:val="20"/>
                <w:szCs w:val="20"/>
              </w:rPr>
              <w:t>-2.92</w:t>
            </w:r>
          </w:p>
        </w:tc>
        <w:tc>
          <w:tcPr>
            <w:tcW w:w="1109" w:type="dxa"/>
            <w:vAlign w:val="center"/>
          </w:tcPr>
          <w:p w14:paraId="32202F19" w14:textId="1168A8DB" w:rsidR="00BF7DDD" w:rsidRPr="007B097A" w:rsidRDefault="00D24CB4" w:rsidP="00D24CB4">
            <w:pPr>
              <w:jc w:val="center"/>
              <w:rPr>
                <w:sz w:val="20"/>
                <w:szCs w:val="20"/>
              </w:rPr>
            </w:pPr>
            <w:r w:rsidRPr="007B097A">
              <w:rPr>
                <w:sz w:val="20"/>
                <w:szCs w:val="20"/>
              </w:rPr>
              <w:t>-2.48</w:t>
            </w:r>
          </w:p>
        </w:tc>
        <w:tc>
          <w:tcPr>
            <w:tcW w:w="1110" w:type="dxa"/>
            <w:vAlign w:val="center"/>
          </w:tcPr>
          <w:p w14:paraId="17BB9179" w14:textId="77229AE5" w:rsidR="00BF7DDD" w:rsidRPr="007B097A" w:rsidRDefault="00D24CB4" w:rsidP="00D24CB4">
            <w:pPr>
              <w:jc w:val="center"/>
              <w:rPr>
                <w:sz w:val="20"/>
                <w:szCs w:val="20"/>
              </w:rPr>
            </w:pPr>
            <w:r w:rsidRPr="00DC5E50">
              <w:rPr>
                <w:sz w:val="20"/>
                <w:szCs w:val="20"/>
                <w:highlight w:val="green"/>
              </w:rPr>
              <w:t>-4.88</w:t>
            </w:r>
          </w:p>
        </w:tc>
      </w:tr>
      <w:tr w:rsidR="00BF7DDD" w:rsidRPr="007B097A" w14:paraId="12E935FC" w14:textId="77777777" w:rsidTr="00D24CB4">
        <w:tc>
          <w:tcPr>
            <w:tcW w:w="2689" w:type="dxa"/>
          </w:tcPr>
          <w:p w14:paraId="02E2D30A" w14:textId="7F129E2F" w:rsidR="00BF7DDD" w:rsidRPr="007B097A" w:rsidRDefault="001340A7" w:rsidP="001340A7">
            <w:pPr>
              <w:rPr>
                <w:sz w:val="20"/>
                <w:szCs w:val="20"/>
              </w:rPr>
            </w:pPr>
            <w:r w:rsidRPr="007B097A">
              <w:rPr>
                <w:sz w:val="20"/>
                <w:szCs w:val="20"/>
              </w:rPr>
              <w:t>2)</w:t>
            </w:r>
            <w:r w:rsidR="00BF7DDD" w:rsidRPr="007B097A">
              <w:rPr>
                <w:sz w:val="20"/>
                <w:szCs w:val="20"/>
              </w:rPr>
              <w:t>Rough beam</w:t>
            </w:r>
            <w:r w:rsidR="00540533" w:rsidRPr="007B097A">
              <w:rPr>
                <w:sz w:val="20"/>
                <w:szCs w:val="20"/>
              </w:rPr>
              <w:t xml:space="preserve"> gain</w:t>
            </w:r>
            <w:r w:rsidR="00BF52AA" w:rsidRPr="007B097A">
              <w:rPr>
                <w:sz w:val="20"/>
                <w:szCs w:val="20"/>
              </w:rPr>
              <w:t xml:space="preserve"> @ </w:t>
            </w:r>
            <w:r w:rsidRPr="00DC5E50">
              <w:rPr>
                <w:sz w:val="20"/>
                <w:szCs w:val="20"/>
              </w:rPr>
              <w:t>rough</w:t>
            </w:r>
            <w:r w:rsidR="00540533" w:rsidRPr="007B097A">
              <w:rPr>
                <w:sz w:val="20"/>
                <w:szCs w:val="20"/>
              </w:rPr>
              <w:t xml:space="preserve"> </w:t>
            </w:r>
            <w:r w:rsidR="00BF52AA" w:rsidRPr="007B097A">
              <w:rPr>
                <w:sz w:val="20"/>
                <w:szCs w:val="20"/>
              </w:rPr>
              <w:t>beam peak</w:t>
            </w:r>
            <w:r w:rsidR="00BF7DDD" w:rsidRPr="007B097A">
              <w:rPr>
                <w:sz w:val="20"/>
                <w:szCs w:val="20"/>
              </w:rPr>
              <w:t xml:space="preserve"> (dBi)</w:t>
            </w:r>
            <w:r w:rsidR="006A57B2" w:rsidRPr="007B097A">
              <w:rPr>
                <w:sz w:val="20"/>
                <w:szCs w:val="20"/>
              </w:rPr>
              <w:t>, which could be</w:t>
            </w:r>
            <w:r w:rsidR="003A53BB" w:rsidRPr="007B097A">
              <w:rPr>
                <w:sz w:val="20"/>
                <w:szCs w:val="20"/>
              </w:rPr>
              <w:t xml:space="preserve"> used as</w:t>
            </w:r>
            <w:r w:rsidR="006A57B2" w:rsidRPr="007B097A">
              <w:rPr>
                <w:sz w:val="20"/>
                <w:szCs w:val="20"/>
              </w:rPr>
              <w:t xml:space="preserve"> fine beam </w:t>
            </w:r>
            <w:r w:rsidR="003A53BB" w:rsidRPr="007B097A">
              <w:rPr>
                <w:sz w:val="20"/>
                <w:szCs w:val="20"/>
              </w:rPr>
              <w:t xml:space="preserve">spherical coverage </w:t>
            </w:r>
            <w:r w:rsidR="006A57B2" w:rsidRPr="007B097A">
              <w:rPr>
                <w:sz w:val="20"/>
                <w:szCs w:val="20"/>
              </w:rPr>
              <w:t>as AoA1</w:t>
            </w:r>
          </w:p>
        </w:tc>
        <w:tc>
          <w:tcPr>
            <w:tcW w:w="1392" w:type="dxa"/>
            <w:vAlign w:val="center"/>
          </w:tcPr>
          <w:p w14:paraId="52C6E712" w14:textId="059D2C05" w:rsidR="00BF7DDD" w:rsidRPr="007B097A" w:rsidRDefault="00D24CB4" w:rsidP="00D24CB4">
            <w:pPr>
              <w:jc w:val="center"/>
              <w:rPr>
                <w:sz w:val="20"/>
                <w:szCs w:val="20"/>
              </w:rPr>
            </w:pPr>
            <w:r w:rsidRPr="007B097A">
              <w:rPr>
                <w:sz w:val="20"/>
                <w:szCs w:val="20"/>
              </w:rPr>
              <w:t>4.59</w:t>
            </w:r>
          </w:p>
        </w:tc>
        <w:tc>
          <w:tcPr>
            <w:tcW w:w="1110" w:type="dxa"/>
            <w:vAlign w:val="center"/>
          </w:tcPr>
          <w:p w14:paraId="339B7F79" w14:textId="79AE73C9" w:rsidR="00BF7DDD" w:rsidRPr="007B097A" w:rsidRDefault="00D24CB4" w:rsidP="00D24CB4">
            <w:pPr>
              <w:jc w:val="center"/>
              <w:rPr>
                <w:sz w:val="20"/>
                <w:szCs w:val="20"/>
              </w:rPr>
            </w:pPr>
            <w:r w:rsidRPr="007B097A">
              <w:rPr>
                <w:sz w:val="20"/>
                <w:szCs w:val="20"/>
              </w:rPr>
              <w:t>5.28</w:t>
            </w:r>
          </w:p>
        </w:tc>
        <w:tc>
          <w:tcPr>
            <w:tcW w:w="1109" w:type="dxa"/>
            <w:vAlign w:val="center"/>
          </w:tcPr>
          <w:p w14:paraId="6F761EF1" w14:textId="349CDA29" w:rsidR="00BF7DDD" w:rsidRPr="007B097A" w:rsidRDefault="00D24CB4" w:rsidP="00D24CB4">
            <w:pPr>
              <w:jc w:val="center"/>
              <w:rPr>
                <w:sz w:val="20"/>
                <w:szCs w:val="20"/>
              </w:rPr>
            </w:pPr>
            <w:r w:rsidRPr="007B097A">
              <w:rPr>
                <w:sz w:val="20"/>
                <w:szCs w:val="20"/>
              </w:rPr>
              <w:t>3.52</w:t>
            </w:r>
          </w:p>
        </w:tc>
        <w:tc>
          <w:tcPr>
            <w:tcW w:w="1110" w:type="dxa"/>
            <w:vAlign w:val="center"/>
          </w:tcPr>
          <w:p w14:paraId="218E0986" w14:textId="006A1F5B" w:rsidR="00BF7DDD" w:rsidRPr="007B097A" w:rsidRDefault="00D24CB4" w:rsidP="00D24CB4">
            <w:pPr>
              <w:jc w:val="center"/>
              <w:rPr>
                <w:sz w:val="20"/>
                <w:szCs w:val="20"/>
              </w:rPr>
            </w:pPr>
            <w:r w:rsidRPr="007B097A">
              <w:rPr>
                <w:sz w:val="20"/>
                <w:szCs w:val="20"/>
              </w:rPr>
              <w:t>6.12</w:t>
            </w:r>
          </w:p>
        </w:tc>
        <w:tc>
          <w:tcPr>
            <w:tcW w:w="1109" w:type="dxa"/>
            <w:vAlign w:val="center"/>
          </w:tcPr>
          <w:p w14:paraId="61102AD3" w14:textId="02418BFA" w:rsidR="00BF7DDD" w:rsidRPr="007B097A" w:rsidRDefault="00D24CB4" w:rsidP="00D24CB4">
            <w:pPr>
              <w:jc w:val="center"/>
              <w:rPr>
                <w:sz w:val="20"/>
                <w:szCs w:val="20"/>
              </w:rPr>
            </w:pPr>
            <w:r w:rsidRPr="007B097A">
              <w:rPr>
                <w:sz w:val="20"/>
                <w:szCs w:val="20"/>
                <w:highlight w:val="yellow"/>
              </w:rPr>
              <w:t>6.71</w:t>
            </w:r>
          </w:p>
        </w:tc>
        <w:tc>
          <w:tcPr>
            <w:tcW w:w="1110" w:type="dxa"/>
            <w:vAlign w:val="center"/>
          </w:tcPr>
          <w:p w14:paraId="4447D5FD" w14:textId="27A3A5DA" w:rsidR="00BF7DDD" w:rsidRPr="007B097A" w:rsidRDefault="00D24CB4" w:rsidP="00D24CB4">
            <w:pPr>
              <w:jc w:val="center"/>
              <w:rPr>
                <w:sz w:val="20"/>
                <w:szCs w:val="20"/>
              </w:rPr>
            </w:pPr>
            <w:r w:rsidRPr="007B097A">
              <w:rPr>
                <w:sz w:val="20"/>
                <w:szCs w:val="20"/>
              </w:rPr>
              <w:t>3.57</w:t>
            </w:r>
          </w:p>
        </w:tc>
      </w:tr>
    </w:tbl>
    <w:p w14:paraId="0F4B6278" w14:textId="77777777" w:rsidR="00BF7DDD" w:rsidRDefault="00BF7DDD" w:rsidP="00BF7DDD"/>
    <w:p w14:paraId="0B0105A9" w14:textId="51AA04FC" w:rsidR="001340A7" w:rsidRPr="00DC5E50" w:rsidRDefault="00BC54A2" w:rsidP="001340A7">
      <w:pPr>
        <w:jc w:val="both"/>
        <w:rPr>
          <w:rFonts w:eastAsia="新細明體" w:cstheme="minorHAnsi"/>
        </w:rPr>
      </w:pPr>
      <w:r w:rsidRPr="007B097A">
        <w:rPr>
          <w:rFonts w:cstheme="minorHAnsi"/>
        </w:rPr>
        <w:t xml:space="preserve">As mentioned in </w:t>
      </w:r>
      <w:r w:rsidRPr="007B097A">
        <w:rPr>
          <w:rFonts w:cstheme="minorHAnsi"/>
        </w:rPr>
        <w:fldChar w:fldCharType="begin"/>
      </w:r>
      <w:r w:rsidRPr="007B097A">
        <w:rPr>
          <w:rFonts w:cstheme="minorHAnsi"/>
        </w:rPr>
        <w:instrText xml:space="preserve"> REF _Ref78398260 \h </w:instrText>
      </w:r>
      <w:r w:rsidR="003A53BB" w:rsidRPr="007B097A">
        <w:rPr>
          <w:rFonts w:cstheme="minorHAnsi"/>
        </w:rPr>
        <w:instrText xml:space="preserve"> \* MERGEFORMAT </w:instrText>
      </w:r>
      <w:r w:rsidRPr="007B097A">
        <w:rPr>
          <w:rFonts w:cstheme="minorHAnsi"/>
        </w:rPr>
      </w:r>
      <w:r w:rsidRPr="007B097A">
        <w:rPr>
          <w:rFonts w:cstheme="minorHAnsi"/>
        </w:rPr>
        <w:fldChar w:fldCharType="separate"/>
      </w:r>
      <w:r w:rsidR="00DC5E50" w:rsidRPr="00DC5E50">
        <w:rPr>
          <w:rFonts w:cstheme="minorHAnsi"/>
        </w:rPr>
        <w:t xml:space="preserve">Observation </w:t>
      </w:r>
      <w:r w:rsidR="00DC5E50" w:rsidRPr="00DC5E50">
        <w:rPr>
          <w:rFonts w:cstheme="minorHAnsi"/>
          <w:noProof/>
        </w:rPr>
        <w:t>1</w:t>
      </w:r>
      <w:r w:rsidRPr="007B097A">
        <w:rPr>
          <w:rFonts w:cstheme="minorHAnsi"/>
        </w:rPr>
        <w:fldChar w:fldCharType="end"/>
      </w:r>
      <w:r w:rsidRPr="007B097A">
        <w:rPr>
          <w:rFonts w:cstheme="minorHAnsi"/>
        </w:rPr>
        <w:t>,</w:t>
      </w:r>
      <w:r w:rsidR="007403B1" w:rsidRPr="007B097A">
        <w:rPr>
          <w:rFonts w:eastAsia="新細明體" w:cstheme="minorHAnsi"/>
        </w:rPr>
        <w:t xml:space="preserve"> the </w:t>
      </w:r>
      <w:r w:rsidR="007403B1" w:rsidRPr="007B097A">
        <w:rPr>
          <w:rFonts w:eastAsia="新細明體" w:cstheme="minorHAnsi"/>
          <w:highlight w:val="yellow"/>
        </w:rPr>
        <w:t>AoA1</w:t>
      </w:r>
      <w:r w:rsidR="007403B1" w:rsidRPr="007B097A">
        <w:rPr>
          <w:rFonts w:eastAsia="新細明體" w:cstheme="minorHAnsi"/>
        </w:rPr>
        <w:t xml:space="preserve"> (fine beam </w:t>
      </w:r>
      <w:r w:rsidR="006A57B2" w:rsidRPr="007B097A">
        <w:rPr>
          <w:rFonts w:eastAsia="新細明體" w:cstheme="minorHAnsi"/>
        </w:rPr>
        <w:t>spherical coverage</w:t>
      </w:r>
      <w:r w:rsidR="007403B1" w:rsidRPr="007B097A">
        <w:rPr>
          <w:rFonts w:eastAsia="新細明體" w:cstheme="minorHAnsi"/>
        </w:rPr>
        <w:t xml:space="preserve">) in the current test could be unfortunately aiming to the rough beam peak as 2) with up to </w:t>
      </w:r>
      <w:r w:rsidR="007403B1" w:rsidRPr="007B097A">
        <w:rPr>
          <w:rFonts w:eastAsia="新細明體" w:cstheme="minorHAnsi"/>
          <w:highlight w:val="yellow"/>
        </w:rPr>
        <w:t>6.71</w:t>
      </w:r>
      <w:r w:rsidR="007403B1" w:rsidRPr="007B097A">
        <w:rPr>
          <w:rFonts w:eastAsia="新細明體" w:cstheme="minorHAnsi"/>
        </w:rPr>
        <w:t xml:space="preserve"> dB antenna gain, and the </w:t>
      </w:r>
      <w:r w:rsidR="007403B1" w:rsidRPr="007B097A">
        <w:rPr>
          <w:rFonts w:eastAsia="新細明體" w:cstheme="minorHAnsi"/>
          <w:highlight w:val="green"/>
        </w:rPr>
        <w:t>AoA2</w:t>
      </w:r>
      <w:r w:rsidR="007403B1" w:rsidRPr="007B097A">
        <w:rPr>
          <w:rFonts w:eastAsia="新細明體" w:cstheme="minorHAnsi"/>
        </w:rPr>
        <w:t xml:space="preserve"> (fine beam peak) could be also unfortunately aiming to the </w:t>
      </w:r>
      <w:r w:rsidR="00B34DBF" w:rsidRPr="007B097A">
        <w:rPr>
          <w:rFonts w:eastAsia="新細明體" w:cstheme="minorHAnsi"/>
        </w:rPr>
        <w:t>rough beam gain of 50% tile</w:t>
      </w:r>
      <w:r w:rsidR="006A57B2" w:rsidRPr="007B097A">
        <w:rPr>
          <w:rFonts w:eastAsia="新細明體" w:cstheme="minorHAnsi"/>
        </w:rPr>
        <w:t xml:space="preserve"> with antenna gain of </w:t>
      </w:r>
      <w:r w:rsidR="006A57B2" w:rsidRPr="00DC5E50">
        <w:rPr>
          <w:rFonts w:cstheme="minorHAnsi"/>
          <w:highlight w:val="green"/>
        </w:rPr>
        <w:t>-4.88</w:t>
      </w:r>
      <w:r w:rsidR="006A57B2" w:rsidRPr="007B097A">
        <w:rPr>
          <w:rFonts w:cstheme="minorHAnsi"/>
        </w:rPr>
        <w:t xml:space="preserve"> dB. As a result, the</w:t>
      </w:r>
      <w:r w:rsidR="003A53BB" w:rsidRPr="007B097A">
        <w:rPr>
          <w:rFonts w:cstheme="minorHAnsi"/>
        </w:rPr>
        <w:t xml:space="preserve"> </w:t>
      </w:r>
      <w:r w:rsidR="006A57B2" w:rsidRPr="007B097A">
        <w:rPr>
          <w:rFonts w:cstheme="minorHAnsi"/>
        </w:rPr>
        <w:t>w</w:t>
      </w:r>
      <w:r w:rsidR="0092788C" w:rsidRPr="007B097A">
        <w:rPr>
          <w:rFonts w:cstheme="minorHAnsi"/>
        </w:rPr>
        <w:t>orst case cross different frequency layer</w:t>
      </w:r>
      <w:r w:rsidR="001340A7" w:rsidRPr="007B097A">
        <w:rPr>
          <w:rFonts w:cstheme="minorHAnsi"/>
        </w:rPr>
        <w:t>s</w:t>
      </w:r>
      <w:r w:rsidR="003147DF" w:rsidRPr="007B097A">
        <w:rPr>
          <w:rFonts w:cstheme="minorHAnsi"/>
        </w:rPr>
        <w:t xml:space="preserve"> in </w:t>
      </w:r>
      <w:r w:rsidR="003147DF" w:rsidRPr="007B097A">
        <w:rPr>
          <w:rFonts w:cstheme="minorHAnsi"/>
        </w:rPr>
        <w:fldChar w:fldCharType="begin"/>
      </w:r>
      <w:r w:rsidR="003147DF" w:rsidRPr="007B097A">
        <w:rPr>
          <w:rFonts w:cstheme="minorHAnsi"/>
        </w:rPr>
        <w:instrText xml:space="preserve"> REF _Ref78373622 \h  \* MERGEFORMAT </w:instrText>
      </w:r>
      <w:r w:rsidR="003147DF" w:rsidRPr="007B097A">
        <w:rPr>
          <w:rFonts w:cstheme="minorHAnsi"/>
        </w:rPr>
      </w:r>
      <w:r w:rsidR="003147DF" w:rsidRPr="007B097A">
        <w:rPr>
          <w:rFonts w:cstheme="minorHAnsi"/>
        </w:rPr>
        <w:fldChar w:fldCharType="separate"/>
      </w:r>
      <w:r w:rsidR="00DC5E50" w:rsidRPr="00DC5E50">
        <w:rPr>
          <w:rFonts w:cstheme="minorHAnsi"/>
        </w:rPr>
        <w:t xml:space="preserve">Table </w:t>
      </w:r>
      <w:r w:rsidR="00DC5E50" w:rsidRPr="00DC5E50">
        <w:rPr>
          <w:rFonts w:cstheme="minorHAnsi"/>
          <w:noProof/>
        </w:rPr>
        <w:t>1</w:t>
      </w:r>
      <w:r w:rsidR="003147DF" w:rsidRPr="007B097A">
        <w:rPr>
          <w:rFonts w:cstheme="minorHAnsi"/>
        </w:rPr>
        <w:fldChar w:fldCharType="end"/>
      </w:r>
      <w:r w:rsidR="0092788C" w:rsidRPr="007B097A">
        <w:rPr>
          <w:rFonts w:cstheme="minorHAnsi"/>
        </w:rPr>
        <w:t xml:space="preserve">, </w:t>
      </w:r>
      <w:r w:rsidR="00AF4977" w:rsidRPr="007B097A">
        <w:rPr>
          <w:rFonts w:cstheme="minorHAnsi"/>
        </w:rPr>
        <w:t xml:space="preserve">the gain difference </w:t>
      </w:r>
      <w:r w:rsidR="001340A7" w:rsidRPr="007B097A">
        <w:rPr>
          <w:rFonts w:cstheme="minorHAnsi"/>
        </w:rPr>
        <w:t>comes to</w:t>
      </w:r>
      <w:r w:rsidR="00AF4977" w:rsidRPr="007B097A">
        <w:rPr>
          <w:rFonts w:cstheme="minorHAnsi"/>
        </w:rPr>
        <w:t xml:space="preserve"> </w:t>
      </w:r>
      <w:r w:rsidR="00E3562B" w:rsidRPr="007B097A">
        <w:rPr>
          <w:rFonts w:cstheme="minorHAnsi"/>
        </w:rPr>
        <w:t>-11.59</w:t>
      </w:r>
      <w:r w:rsidR="001340A7" w:rsidRPr="007B097A">
        <w:rPr>
          <w:rFonts w:cstheme="minorHAnsi"/>
        </w:rPr>
        <w:t>, as</w:t>
      </w:r>
      <w:r w:rsidR="001340A7" w:rsidRPr="007B097A">
        <w:rPr>
          <w:rFonts w:cstheme="minorHAnsi"/>
          <w:color w:val="0000FF"/>
        </w:rPr>
        <w:t xml:space="preserve"> </w:t>
      </w:r>
      <w:r w:rsidR="001340A7" w:rsidRPr="007B097A">
        <w:rPr>
          <w:rFonts w:cstheme="minorHAnsi"/>
          <w:highlight w:val="green"/>
        </w:rPr>
        <w:t>-4.88</w:t>
      </w:r>
      <w:r w:rsidR="001340A7" w:rsidRPr="007B097A">
        <w:rPr>
          <w:rFonts w:cstheme="minorHAnsi"/>
        </w:rPr>
        <w:t xml:space="preserve"> vs. </w:t>
      </w:r>
      <w:r w:rsidR="001340A7" w:rsidRPr="00DC5E50">
        <w:rPr>
          <w:rFonts w:cstheme="minorHAnsi"/>
          <w:highlight w:val="yellow"/>
        </w:rPr>
        <w:t>6.71</w:t>
      </w:r>
      <w:r w:rsidRPr="007B097A">
        <w:rPr>
          <w:rFonts w:cstheme="minorHAnsi"/>
        </w:rPr>
        <w:t xml:space="preserve">. </w:t>
      </w:r>
    </w:p>
    <w:p w14:paraId="264077DA" w14:textId="77777777" w:rsidR="00501B89" w:rsidRPr="007B097A" w:rsidRDefault="00501B89" w:rsidP="001340A7">
      <w:pPr>
        <w:jc w:val="both"/>
      </w:pPr>
    </w:p>
    <w:p w14:paraId="64CCA4F5" w14:textId="37F8002A" w:rsidR="00E3562B" w:rsidRPr="007B097A" w:rsidRDefault="00540533" w:rsidP="00F37E5A">
      <w:pPr>
        <w:jc w:val="both"/>
      </w:pPr>
      <w:r w:rsidRPr="007B097A">
        <w:t>However</w:t>
      </w:r>
      <w:r w:rsidR="00802C5F" w:rsidRPr="007B097A">
        <w:t xml:space="preserve">, </w:t>
      </w:r>
      <w:r w:rsidR="00F37E5A" w:rsidRPr="007B097A">
        <w:t xml:space="preserve">the </w:t>
      </w:r>
      <w:r w:rsidR="00802C5F" w:rsidRPr="007B097A">
        <w:t xml:space="preserve">rough beam gain </w:t>
      </w:r>
      <w:r w:rsidR="00F37E5A" w:rsidRPr="007B097A">
        <w:t>observed at AoA2 (fine beam peak)</w:t>
      </w:r>
      <w:r w:rsidR="00802C5F" w:rsidRPr="007B097A">
        <w:t xml:space="preserve"> </w:t>
      </w:r>
      <w:r w:rsidR="0039753D" w:rsidRPr="007B097A">
        <w:t xml:space="preserve">may not be as worse as at </w:t>
      </w:r>
      <w:r w:rsidR="00B34DBF" w:rsidRPr="007B097A">
        <w:t xml:space="preserve">rough beam gain of 50% tile </w:t>
      </w:r>
      <w:r w:rsidR="0039753D" w:rsidRPr="007B097A">
        <w:t>as shown in 1) in</w:t>
      </w:r>
      <w:r w:rsidR="00B34DBF" w:rsidRPr="007B097A">
        <w:t xml:space="preserve"> </w:t>
      </w:r>
      <w:r w:rsidR="00B34DBF" w:rsidRPr="007B097A">
        <w:fldChar w:fldCharType="begin"/>
      </w:r>
      <w:r w:rsidR="00B34DBF" w:rsidRPr="007B097A">
        <w:instrText xml:space="preserve"> REF _Ref78373622 \h  \* MERGEFORMAT </w:instrText>
      </w:r>
      <w:r w:rsidR="00B34DBF" w:rsidRPr="007B097A">
        <w:fldChar w:fldCharType="separate"/>
      </w:r>
      <w:r w:rsidR="00DC5E50" w:rsidRPr="00DC5E50">
        <w:t>Table 1</w:t>
      </w:r>
      <w:r w:rsidR="00B34DBF" w:rsidRPr="007B097A">
        <w:fldChar w:fldCharType="end"/>
      </w:r>
      <w:r w:rsidR="00FA5327">
        <w:t>. In general, the beamforming gains of fine and rough beams still have some dependence</w:t>
      </w:r>
      <w:r w:rsidR="00585E6C" w:rsidRPr="007B097A">
        <w:t xml:space="preserve">, </w:t>
      </w:r>
      <w:r w:rsidR="00FA5327">
        <w:t>because they are received by the same set of antenna. T</w:t>
      </w:r>
      <w:r w:rsidR="0039753D" w:rsidRPr="007B097A">
        <w:t xml:space="preserve">hus </w:t>
      </w:r>
      <w:r w:rsidR="00585E6C" w:rsidRPr="007B097A">
        <w:t xml:space="preserve">the gain difference </w:t>
      </w:r>
      <w:r w:rsidR="00E3472E" w:rsidRPr="007B097A">
        <w:t>could be smaller</w:t>
      </w:r>
      <w:r w:rsidR="00802C5F" w:rsidRPr="007B097A">
        <w:t xml:space="preserve">. </w:t>
      </w:r>
      <w:r w:rsidR="00501B89" w:rsidRPr="007B097A">
        <w:t>Thus</w:t>
      </w:r>
      <w:r w:rsidR="00802C5F" w:rsidRPr="007B097A">
        <w:t xml:space="preserve">, </w:t>
      </w:r>
      <w:r w:rsidR="00501B89" w:rsidRPr="007B097A">
        <w:t xml:space="preserve">on the lower bound for the SS-RSRP relative accuracy, </w:t>
      </w:r>
      <w:r w:rsidR="00802C5F" w:rsidRPr="007B097A">
        <w:t xml:space="preserve">we propose </w:t>
      </w:r>
      <w:r w:rsidR="00501B89" w:rsidRPr="007B097A">
        <w:t xml:space="preserve">a margin of 9 dB, which is smaller than </w:t>
      </w:r>
      <w:r w:rsidR="00585E6C" w:rsidRPr="007B097A">
        <w:t>worse case</w:t>
      </w:r>
      <w:r w:rsidR="00501B89" w:rsidRPr="007B097A">
        <w:t xml:space="preserve"> of 11.59dB as shown in Table 1</w:t>
      </w:r>
      <w:r w:rsidR="00802C5F" w:rsidRPr="007B097A">
        <w:t>.</w:t>
      </w:r>
    </w:p>
    <w:p w14:paraId="0D34DD5D" w14:textId="77777777" w:rsidR="00501B89" w:rsidRPr="007B097A" w:rsidRDefault="00501B89" w:rsidP="001340A7">
      <w:pPr>
        <w:jc w:val="both"/>
      </w:pPr>
    </w:p>
    <w:p w14:paraId="095CD90B" w14:textId="3E7BD4A3" w:rsidR="00EF312D" w:rsidRPr="007B097A" w:rsidRDefault="00EF312D" w:rsidP="00EF312D">
      <w:pPr>
        <w:jc w:val="both"/>
        <w:rPr>
          <w:b/>
        </w:rPr>
      </w:pPr>
      <w:bookmarkStart w:id="9" w:name="_Ref71139060"/>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DC5E50">
        <w:rPr>
          <w:b/>
          <w:noProof/>
          <w:lang w:eastAsia="x-none"/>
        </w:rPr>
        <w:t>1</w:t>
      </w:r>
      <w:r w:rsidRPr="007B097A">
        <w:rPr>
          <w:b/>
          <w:lang w:eastAsia="x-none"/>
        </w:rPr>
        <w:fldChar w:fldCharType="end"/>
      </w:r>
      <w:r w:rsidRPr="007B097A">
        <w:rPr>
          <w:b/>
          <w:lang w:eastAsia="x-none"/>
        </w:rPr>
        <w:t xml:space="preserve">: For the test case of FR2 </w:t>
      </w:r>
      <w:r w:rsidRPr="007B097A">
        <w:rPr>
          <w:rFonts w:cstheme="minorHAnsi"/>
          <w:b/>
          <w:bCs/>
        </w:rPr>
        <w:t xml:space="preserve">inter-frequency relative RSRP accuracy, to add </w:t>
      </w:r>
      <w:r w:rsidRPr="007B097A">
        <w:rPr>
          <w:rFonts w:cstheme="minorHAnsi"/>
          <w:b/>
          <w:bCs/>
          <w:highlight w:val="magenta"/>
        </w:rPr>
        <w:t>9 dB</w:t>
      </w:r>
      <w:r w:rsidRPr="007B097A">
        <w:rPr>
          <w:rFonts w:cstheme="minorHAnsi"/>
          <w:b/>
          <w:bCs/>
        </w:rPr>
        <w:t xml:space="preserve"> margin in the lower bound</w:t>
      </w:r>
      <w:r w:rsidRPr="007B097A">
        <w:rPr>
          <w:b/>
        </w:rPr>
        <w:t>.</w:t>
      </w:r>
      <w:bookmarkEnd w:id="9"/>
    </w:p>
    <w:tbl>
      <w:tblPr>
        <w:tblStyle w:val="af7"/>
        <w:tblW w:w="0" w:type="auto"/>
        <w:tblLook w:val="04A0" w:firstRow="1" w:lastRow="0" w:firstColumn="1" w:lastColumn="0" w:noHBand="0" w:noVBand="1"/>
      </w:tblPr>
      <w:tblGrid>
        <w:gridCol w:w="2547"/>
        <w:gridCol w:w="7082"/>
      </w:tblGrid>
      <w:tr w:rsidR="00F5467D" w:rsidRPr="00EC61C3" w14:paraId="5995312E" w14:textId="77777777" w:rsidTr="00703082">
        <w:tc>
          <w:tcPr>
            <w:tcW w:w="2547" w:type="dxa"/>
          </w:tcPr>
          <w:p w14:paraId="684628DE" w14:textId="77777777" w:rsidR="00F5467D" w:rsidRPr="00EF312D" w:rsidRDefault="00F5467D" w:rsidP="00703082">
            <w:pPr>
              <w:pStyle w:val="TH"/>
              <w:rPr>
                <w:lang w:val="en-US"/>
              </w:rPr>
            </w:pPr>
          </w:p>
        </w:tc>
        <w:tc>
          <w:tcPr>
            <w:tcW w:w="7082" w:type="dxa"/>
          </w:tcPr>
          <w:p w14:paraId="669ABEC3" w14:textId="77777777" w:rsidR="00F5467D" w:rsidRPr="00EC61C3" w:rsidRDefault="00F5467D" w:rsidP="00703082">
            <w:pPr>
              <w:pStyle w:val="TH"/>
            </w:pPr>
            <w:r w:rsidRPr="00EC61C3">
              <w:t>Test requirement</w:t>
            </w:r>
            <w:r w:rsidRPr="00EC61C3">
              <w:rPr>
                <w:b w:val="0"/>
                <w:vertAlign w:val="superscript"/>
              </w:rPr>
              <w:t xml:space="preserve"> Notes1,2,3,4</w:t>
            </w:r>
          </w:p>
        </w:tc>
      </w:tr>
      <w:tr w:rsidR="00F5467D" w:rsidRPr="00EC61C3" w14:paraId="4743194E" w14:textId="77777777" w:rsidTr="00703082">
        <w:tc>
          <w:tcPr>
            <w:tcW w:w="2547" w:type="dxa"/>
          </w:tcPr>
          <w:p w14:paraId="4B8C9298" w14:textId="77777777" w:rsidR="00F5467D" w:rsidRPr="00EC61C3" w:rsidRDefault="00F5467D" w:rsidP="00703082">
            <w:pPr>
              <w:pStyle w:val="TAC"/>
            </w:pPr>
            <w:r w:rsidRPr="00EC61C3">
              <w:t>Cell 3 – Cell 2</w:t>
            </w:r>
          </w:p>
        </w:tc>
        <w:tc>
          <w:tcPr>
            <w:tcW w:w="7082" w:type="dxa"/>
          </w:tcPr>
          <w:p w14:paraId="6AE0A5BC" w14:textId="2F9959F7" w:rsidR="00F5467D" w:rsidRPr="00EC61C3" w:rsidRDefault="00F5467D" w:rsidP="00703082">
            <w:pPr>
              <w:pStyle w:val="TAC"/>
            </w:pPr>
            <w:r w:rsidRPr="0092788C">
              <w:t>SSB_RP3 - SSB_RP2</w:t>
            </w:r>
            <w:r w:rsidR="00EF312D">
              <w:t xml:space="preserve"> </w:t>
            </w:r>
            <w:r w:rsidR="00EF312D" w:rsidRPr="00501B89">
              <w:rPr>
                <w:highlight w:val="magenta"/>
              </w:rPr>
              <w:t>-9</w:t>
            </w:r>
            <w:r w:rsidRPr="00EC61C3">
              <w:t xml:space="preserve">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w:t>
            </w:r>
            <w:r w:rsidRPr="0092788C">
              <w:rPr>
                <w:rFonts w:cs="Arial"/>
              </w:rPr>
              <w:t>X</w:t>
            </w:r>
            <w:r w:rsidRPr="00EC61C3">
              <w:rPr>
                <w:rFonts w:cs="Arial"/>
              </w:rPr>
              <w:t>)</w:t>
            </w:r>
          </w:p>
        </w:tc>
      </w:tr>
      <w:tr w:rsidR="00F5467D" w:rsidRPr="00EC61C3" w14:paraId="39F74CE5" w14:textId="77777777" w:rsidTr="00703082">
        <w:tc>
          <w:tcPr>
            <w:tcW w:w="9629" w:type="dxa"/>
            <w:gridSpan w:val="2"/>
          </w:tcPr>
          <w:p w14:paraId="742E907C" w14:textId="77777777" w:rsidR="00F5467D" w:rsidRPr="00EC61C3" w:rsidRDefault="00F5467D" w:rsidP="00703082">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969EC5E" w14:textId="77777777" w:rsidR="00F5467D" w:rsidRPr="00EC61C3" w:rsidRDefault="00F5467D" w:rsidP="00703082">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2F9DADC9" w14:textId="77777777" w:rsidR="00F5467D" w:rsidRPr="00EC61C3" w:rsidRDefault="00F5467D" w:rsidP="00703082">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4F20D77A" w14:textId="77777777" w:rsidR="00F5467D" w:rsidRPr="00EC61C3" w:rsidRDefault="00F5467D" w:rsidP="00703082">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2BA2AFA8" w14:textId="1AA2A56F" w:rsidR="00FA6805" w:rsidRPr="00FA6805" w:rsidRDefault="00FA6805" w:rsidP="0032472B">
      <w:pPr>
        <w:pStyle w:val="af1"/>
        <w:jc w:val="both"/>
      </w:pP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4D3CCE1A" w14:textId="05F1B3C2" w:rsidR="0094768B" w:rsidRDefault="006F7557" w:rsidP="00234753">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32472B">
        <w:t xml:space="preserve">we raise the issue we found in current </w:t>
      </w:r>
      <w:r w:rsidR="0032472B" w:rsidRPr="0032472B">
        <w:t xml:space="preserve">test requirements for FR2 SS-RSRP relative accuracy </w:t>
      </w:r>
      <w:r w:rsidR="0032472B">
        <w:t xml:space="preserve">test cases </w:t>
      </w:r>
      <w:r w:rsidR="0032472B" w:rsidRPr="0032472B">
        <w:t>(A.5.7.1.2 and A.7.7.1.2)</w:t>
      </w:r>
      <w:r w:rsidR="0032472B">
        <w:t>. We have the following observations and proposals.</w:t>
      </w:r>
    </w:p>
    <w:p w14:paraId="608934CA" w14:textId="77777777" w:rsidR="00DC5E50" w:rsidRDefault="00DC5E5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_Ref79000625 \h </w:instrText>
      </w:r>
      <w:r>
        <w:rPr>
          <w:b/>
          <w:sz w:val="20"/>
          <w:szCs w:val="20"/>
          <w:lang w:val="x-none" w:eastAsia="x-none"/>
        </w:rPr>
      </w:r>
      <w:r>
        <w:rPr>
          <w:b/>
          <w:sz w:val="20"/>
          <w:szCs w:val="20"/>
          <w:lang w:val="x-none" w:eastAsia="x-none"/>
        </w:rPr>
        <w:fldChar w:fldCharType="separate"/>
      </w:r>
      <w:r w:rsidRPr="00DC5E50">
        <w:rPr>
          <w:b/>
        </w:rPr>
        <w:t xml:space="preserve">Observation </w:t>
      </w:r>
      <w:r>
        <w:rPr>
          <w:noProof/>
        </w:rPr>
        <w:t>1</w:t>
      </w:r>
      <w:r w:rsidRPr="00DC5E50">
        <w:rPr>
          <w:b/>
        </w:rPr>
        <w:t>: In the FR2 inter-frequency RSRP relative accuracy test, the beam peak AoA2 for Cell 3 is based on fine beam, while SS-RSRP measurement can be conducted by rough beam.</w:t>
      </w:r>
      <w:r>
        <w:rPr>
          <w:b/>
          <w:sz w:val="20"/>
          <w:szCs w:val="20"/>
          <w:lang w:val="x-none" w:eastAsia="x-none"/>
        </w:rPr>
        <w:fldChar w:fldCharType="end"/>
      </w:r>
    </w:p>
    <w:p w14:paraId="43635449" w14:textId="77777777" w:rsidR="00DC5E50" w:rsidRDefault="00DC5E5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_Ref79000463 \h </w:instrText>
      </w:r>
      <w:r>
        <w:rPr>
          <w:b/>
          <w:sz w:val="20"/>
          <w:szCs w:val="20"/>
          <w:lang w:val="x-none" w:eastAsia="x-none"/>
        </w:rPr>
      </w:r>
      <w:r>
        <w:rPr>
          <w:b/>
          <w:sz w:val="20"/>
          <w:szCs w:val="20"/>
          <w:lang w:val="x-none" w:eastAsia="x-none"/>
        </w:rPr>
        <w:fldChar w:fldCharType="separate"/>
      </w:r>
      <w:r w:rsidRPr="00DC5E50">
        <w:rPr>
          <w:b/>
        </w:rPr>
        <w:t xml:space="preserve">Observation </w:t>
      </w:r>
      <w:r>
        <w:rPr>
          <w:noProof/>
        </w:rPr>
        <w:t>2</w:t>
      </w:r>
      <w:r w:rsidRPr="00DC5E50">
        <w:rPr>
          <w:b/>
        </w:rPr>
        <w:t>: UE may achieve worse rough beamforming gain at AoA2 (i.e. at the fine beam peak) than at AoA1 (selected from spherical coverage).</w:t>
      </w:r>
      <w:r>
        <w:rPr>
          <w:b/>
          <w:sz w:val="20"/>
          <w:szCs w:val="20"/>
          <w:lang w:val="x-none" w:eastAsia="x-none"/>
        </w:rPr>
        <w:fldChar w:fldCharType="end"/>
      </w:r>
    </w:p>
    <w:p w14:paraId="633DA24B" w14:textId="77777777" w:rsidR="00DC5E50" w:rsidRDefault="00DC5E5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_Ref71054849 \h </w:instrText>
      </w:r>
      <w:r>
        <w:rPr>
          <w:b/>
          <w:sz w:val="20"/>
          <w:szCs w:val="20"/>
          <w:lang w:val="x-none" w:eastAsia="x-none"/>
        </w:rPr>
      </w:r>
      <w:r>
        <w:rPr>
          <w:b/>
          <w:sz w:val="20"/>
          <w:szCs w:val="20"/>
          <w:lang w:val="x-none" w:eastAsia="x-none"/>
        </w:rPr>
        <w:fldChar w:fldCharType="separate"/>
      </w:r>
      <w:r w:rsidRPr="00DC5E50">
        <w:rPr>
          <w:b/>
        </w:rPr>
        <w:t xml:space="preserve">Observation </w:t>
      </w:r>
      <w:r>
        <w:rPr>
          <w:noProof/>
        </w:rPr>
        <w:t>3</w:t>
      </w:r>
      <w:r w:rsidRPr="00DC5E50">
        <w:rPr>
          <w:b/>
        </w:rPr>
        <w:t>: Current SS-RSRP relative accuracy test requirement mandates UE to equalize the antenna gain difference between 2 frequencies or even 2 bands, which seems not well-discussion in Rel-15.</w:t>
      </w:r>
      <w:r>
        <w:rPr>
          <w:b/>
          <w:sz w:val="20"/>
          <w:szCs w:val="20"/>
          <w:lang w:val="x-none" w:eastAsia="x-none"/>
        </w:rPr>
        <w:fldChar w:fldCharType="end"/>
      </w:r>
    </w:p>
    <w:p w14:paraId="75F89025" w14:textId="4E87FBA6" w:rsidR="00B17E4D" w:rsidRDefault="00DC5E5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_Ref71139060 \h </w:instrText>
      </w:r>
      <w:r>
        <w:rPr>
          <w:b/>
          <w:sz w:val="20"/>
          <w:szCs w:val="20"/>
          <w:lang w:val="x-none" w:eastAsia="x-none"/>
        </w:rPr>
      </w:r>
      <w:r>
        <w:rPr>
          <w:b/>
          <w:sz w:val="20"/>
          <w:szCs w:val="20"/>
          <w:lang w:val="x-none" w:eastAsia="x-none"/>
        </w:rPr>
        <w:fldChar w:fldCharType="separate"/>
      </w:r>
      <w:r w:rsidRPr="007B097A">
        <w:rPr>
          <w:b/>
          <w:lang w:eastAsia="x-none"/>
        </w:rPr>
        <w:t xml:space="preserve">Proposal </w:t>
      </w:r>
      <w:r>
        <w:rPr>
          <w:b/>
          <w:noProof/>
          <w:lang w:eastAsia="x-none"/>
        </w:rPr>
        <w:t>1</w:t>
      </w:r>
      <w:r w:rsidRPr="007B097A">
        <w:rPr>
          <w:b/>
          <w:lang w:eastAsia="x-none"/>
        </w:rPr>
        <w:t xml:space="preserve">: For the test case of FR2 </w:t>
      </w:r>
      <w:r w:rsidRPr="007B097A">
        <w:rPr>
          <w:rFonts w:cstheme="minorHAnsi"/>
          <w:b/>
          <w:bCs/>
        </w:rPr>
        <w:t xml:space="preserve">inter-frequency relative RSRP accuracy, to add </w:t>
      </w:r>
      <w:r w:rsidRPr="007B097A">
        <w:rPr>
          <w:rFonts w:cstheme="minorHAnsi"/>
          <w:b/>
          <w:bCs/>
          <w:highlight w:val="magenta"/>
        </w:rPr>
        <w:t>9 dB</w:t>
      </w:r>
      <w:r w:rsidRPr="007B097A">
        <w:rPr>
          <w:rFonts w:cstheme="minorHAnsi"/>
          <w:b/>
          <w:bCs/>
        </w:rPr>
        <w:t xml:space="preserve"> margin in the lower bound</w:t>
      </w:r>
      <w:r w:rsidRPr="007B097A">
        <w:rPr>
          <w:b/>
        </w:rPr>
        <w:t>.</w:t>
      </w:r>
      <w:r>
        <w:rPr>
          <w:b/>
          <w:sz w:val="20"/>
          <w:szCs w:val="20"/>
          <w:lang w:val="x-none" w:eastAsia="x-none"/>
        </w:rPr>
        <w:fldChar w:fldCharType="end"/>
      </w:r>
    </w:p>
    <w:tbl>
      <w:tblPr>
        <w:tblStyle w:val="af7"/>
        <w:tblW w:w="0" w:type="auto"/>
        <w:tblLook w:val="04A0" w:firstRow="1" w:lastRow="0" w:firstColumn="1" w:lastColumn="0" w:noHBand="0" w:noVBand="1"/>
      </w:tblPr>
      <w:tblGrid>
        <w:gridCol w:w="2547"/>
        <w:gridCol w:w="7082"/>
      </w:tblGrid>
      <w:tr w:rsidR="007B097A" w:rsidRPr="00EC61C3" w14:paraId="44482EF3" w14:textId="77777777" w:rsidTr="005A6692">
        <w:tc>
          <w:tcPr>
            <w:tcW w:w="2547" w:type="dxa"/>
          </w:tcPr>
          <w:p w14:paraId="238C8788" w14:textId="77777777" w:rsidR="007B097A" w:rsidRPr="00EF312D" w:rsidRDefault="007B097A" w:rsidP="005A6692">
            <w:pPr>
              <w:pStyle w:val="TH"/>
              <w:rPr>
                <w:lang w:val="en-US"/>
              </w:rPr>
            </w:pPr>
          </w:p>
        </w:tc>
        <w:tc>
          <w:tcPr>
            <w:tcW w:w="7082" w:type="dxa"/>
          </w:tcPr>
          <w:p w14:paraId="613834A3" w14:textId="77777777" w:rsidR="007B097A" w:rsidRPr="00EC61C3" w:rsidRDefault="007B097A" w:rsidP="005A6692">
            <w:pPr>
              <w:pStyle w:val="TH"/>
            </w:pPr>
            <w:r w:rsidRPr="00EC61C3">
              <w:t>Test requirement</w:t>
            </w:r>
            <w:r w:rsidRPr="00EC61C3">
              <w:rPr>
                <w:b w:val="0"/>
                <w:vertAlign w:val="superscript"/>
              </w:rPr>
              <w:t xml:space="preserve"> Notes1,2,3,4</w:t>
            </w:r>
          </w:p>
        </w:tc>
      </w:tr>
      <w:tr w:rsidR="007B097A" w:rsidRPr="00EC61C3" w14:paraId="5D434D6A" w14:textId="77777777" w:rsidTr="005A6692">
        <w:tc>
          <w:tcPr>
            <w:tcW w:w="2547" w:type="dxa"/>
          </w:tcPr>
          <w:p w14:paraId="203E0309" w14:textId="77777777" w:rsidR="007B097A" w:rsidRPr="00EC61C3" w:rsidRDefault="007B097A" w:rsidP="005A6692">
            <w:pPr>
              <w:pStyle w:val="TAC"/>
            </w:pPr>
            <w:r w:rsidRPr="00EC61C3">
              <w:t>Cell 3 – Cell 2</w:t>
            </w:r>
          </w:p>
        </w:tc>
        <w:tc>
          <w:tcPr>
            <w:tcW w:w="7082" w:type="dxa"/>
          </w:tcPr>
          <w:p w14:paraId="0607332F" w14:textId="77777777" w:rsidR="007B097A" w:rsidRPr="00EC61C3" w:rsidRDefault="007B097A" w:rsidP="005A6692">
            <w:pPr>
              <w:pStyle w:val="TAC"/>
            </w:pPr>
            <w:r w:rsidRPr="0092788C">
              <w:t>SSB_RP3 - SSB_RP2</w:t>
            </w:r>
            <w:r>
              <w:t xml:space="preserve"> </w:t>
            </w:r>
            <w:r w:rsidRPr="00501B89">
              <w:rPr>
                <w:highlight w:val="magenta"/>
              </w:rPr>
              <w:t>-9</w:t>
            </w:r>
            <w:r w:rsidRPr="00EC61C3">
              <w:t xml:space="preserve">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w:t>
            </w:r>
            <w:r w:rsidRPr="0092788C">
              <w:rPr>
                <w:rFonts w:cs="Arial"/>
              </w:rPr>
              <w:t>X</w:t>
            </w:r>
            <w:r w:rsidRPr="00EC61C3">
              <w:rPr>
                <w:rFonts w:cs="Arial"/>
              </w:rPr>
              <w:t>)</w:t>
            </w:r>
          </w:p>
        </w:tc>
      </w:tr>
      <w:tr w:rsidR="007B097A" w:rsidRPr="00EC61C3" w14:paraId="3D0B2980" w14:textId="77777777" w:rsidTr="005A6692">
        <w:tc>
          <w:tcPr>
            <w:tcW w:w="9629" w:type="dxa"/>
            <w:gridSpan w:val="2"/>
          </w:tcPr>
          <w:p w14:paraId="79FDD650" w14:textId="77777777" w:rsidR="007B097A" w:rsidRPr="00EC61C3" w:rsidRDefault="007B097A" w:rsidP="005A6692">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1A13B01A" w14:textId="77777777" w:rsidR="007B097A" w:rsidRPr="00EC61C3" w:rsidRDefault="007B097A" w:rsidP="005A6692">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0057A4CC" w14:textId="77777777" w:rsidR="007B097A" w:rsidRPr="00EC61C3" w:rsidRDefault="007B097A" w:rsidP="005A6692">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3D59E74C" w14:textId="77777777" w:rsidR="007B097A" w:rsidRPr="00EC61C3" w:rsidRDefault="007B097A" w:rsidP="005A6692">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38F16D7B" w14:textId="08D783AB" w:rsidR="00FA6805" w:rsidRPr="0032472B" w:rsidRDefault="00FA6805" w:rsidP="00234753">
      <w:pPr>
        <w:adjustRightInd w:val="0"/>
        <w:snapToGrid w:val="0"/>
        <w:spacing w:before="180" w:after="120"/>
        <w:jc w:val="both"/>
        <w:rPr>
          <w:b/>
          <w:sz w:val="20"/>
          <w:szCs w:val="20"/>
          <w:lang w:val="x-none" w:eastAsia="x-none"/>
        </w:rPr>
      </w:pPr>
    </w:p>
    <w:p w14:paraId="2E96BB97" w14:textId="77777777" w:rsidR="00842EE0" w:rsidRDefault="00842EE0" w:rsidP="008F1284">
      <w:pPr>
        <w:pStyle w:val="1"/>
        <w:numPr>
          <w:ilvl w:val="0"/>
          <w:numId w:val="1"/>
        </w:numPr>
        <w:rPr>
          <w:rFonts w:ascii="Calibri" w:hAnsi="Calibri"/>
        </w:rPr>
      </w:pPr>
      <w:r w:rsidRPr="00842EE0">
        <w:rPr>
          <w:rFonts w:ascii="Calibri" w:hAnsi="Calibri" w:hint="eastAsia"/>
        </w:rPr>
        <w:t>Reference</w:t>
      </w:r>
    </w:p>
    <w:p w14:paraId="22178F82" w14:textId="1BA12858" w:rsidR="007F188E" w:rsidRPr="007F188E" w:rsidRDefault="000B2C79" w:rsidP="007F188E">
      <w:pPr>
        <w:rPr>
          <w:lang w:val="en-GB" w:eastAsia="en-US"/>
        </w:rPr>
      </w:pPr>
      <w:r>
        <w:rPr>
          <w:lang w:val="en-GB" w:eastAsia="en-US"/>
        </w:rPr>
        <w:t xml:space="preserve">[1] </w:t>
      </w:r>
      <w:r w:rsidR="00A6403E">
        <w:rPr>
          <w:lang w:val="en-GB" w:eastAsia="en-US"/>
        </w:rPr>
        <w:t>R4-2109176 “</w:t>
      </w:r>
      <w:r w:rsidR="00A6403E" w:rsidRPr="00A6403E">
        <w:rPr>
          <w:lang w:val="en-GB" w:eastAsia="en-US"/>
        </w:rPr>
        <w:t>Discussion on FR2 inter-frequency relative RSRP accuracy</w:t>
      </w:r>
      <w:r w:rsidR="00A6403E">
        <w:rPr>
          <w:lang w:val="en-GB" w:eastAsia="en-US"/>
        </w:rPr>
        <w:t xml:space="preserve">”, </w:t>
      </w:r>
      <w:r w:rsidR="00A6403E" w:rsidRPr="00A6403E">
        <w:rPr>
          <w:lang w:val="en-GB" w:eastAsia="en-US"/>
        </w:rPr>
        <w:t>MediaTek Inc.</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9AB12" w14:textId="77777777" w:rsidR="00375C45" w:rsidRDefault="00375C45">
      <w:r>
        <w:separator/>
      </w:r>
    </w:p>
  </w:endnote>
  <w:endnote w:type="continuationSeparator" w:id="0">
    <w:p w14:paraId="0764AD19" w14:textId="77777777" w:rsidR="00375C45" w:rsidRDefault="0037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556C7" w14:textId="77777777" w:rsidR="00375C45" w:rsidRDefault="00375C45">
      <w:r>
        <w:separator/>
      </w:r>
    </w:p>
  </w:footnote>
  <w:footnote w:type="continuationSeparator" w:id="0">
    <w:p w14:paraId="5B951FB2" w14:textId="77777777" w:rsidR="00375C45" w:rsidRDefault="00375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1"/>
  </w:num>
  <w:num w:numId="5">
    <w:abstractNumId w:val="21"/>
  </w:num>
  <w:num w:numId="6">
    <w:abstractNumId w:val="36"/>
  </w:num>
  <w:num w:numId="7">
    <w:abstractNumId w:val="29"/>
  </w:num>
  <w:num w:numId="8">
    <w:abstractNumId w:val="42"/>
  </w:num>
  <w:num w:numId="9">
    <w:abstractNumId w:val="33"/>
  </w:num>
  <w:num w:numId="10">
    <w:abstractNumId w:val="0"/>
  </w:num>
  <w:num w:numId="11">
    <w:abstractNumId w:val="12"/>
  </w:num>
  <w:num w:numId="12">
    <w:abstractNumId w:val="37"/>
  </w:num>
  <w:num w:numId="13">
    <w:abstractNumId w:val="46"/>
  </w:num>
  <w:num w:numId="14">
    <w:abstractNumId w:val="44"/>
  </w:num>
  <w:num w:numId="15">
    <w:abstractNumId w:val="18"/>
  </w:num>
  <w:num w:numId="16">
    <w:abstractNumId w:val="32"/>
  </w:num>
  <w:num w:numId="17">
    <w:abstractNumId w:val="2"/>
  </w:num>
  <w:num w:numId="18">
    <w:abstractNumId w:val="16"/>
  </w:num>
  <w:num w:numId="19">
    <w:abstractNumId w:val="34"/>
  </w:num>
  <w:num w:numId="20">
    <w:abstractNumId w:val="19"/>
  </w:num>
  <w:num w:numId="21">
    <w:abstractNumId w:val="28"/>
  </w:num>
  <w:num w:numId="22">
    <w:abstractNumId w:val="14"/>
  </w:num>
  <w:num w:numId="23">
    <w:abstractNumId w:val="4"/>
  </w:num>
  <w:num w:numId="24">
    <w:abstractNumId w:val="40"/>
  </w:num>
  <w:num w:numId="25">
    <w:abstractNumId w:val="11"/>
  </w:num>
  <w:num w:numId="26">
    <w:abstractNumId w:val="6"/>
  </w:num>
  <w:num w:numId="27">
    <w:abstractNumId w:val="30"/>
  </w:num>
  <w:num w:numId="28">
    <w:abstractNumId w:val="9"/>
  </w:num>
  <w:num w:numId="29">
    <w:abstractNumId w:val="45"/>
  </w:num>
  <w:num w:numId="30">
    <w:abstractNumId w:val="5"/>
  </w:num>
  <w:num w:numId="31">
    <w:abstractNumId w:val="43"/>
  </w:num>
  <w:num w:numId="32">
    <w:abstractNumId w:val="25"/>
  </w:num>
  <w:num w:numId="33">
    <w:abstractNumId w:val="24"/>
  </w:num>
  <w:num w:numId="34">
    <w:abstractNumId w:val="39"/>
  </w:num>
  <w:num w:numId="35">
    <w:abstractNumId w:val="15"/>
  </w:num>
  <w:num w:numId="36">
    <w:abstractNumId w:val="31"/>
  </w:num>
  <w:num w:numId="37">
    <w:abstractNumId w:val="17"/>
  </w:num>
  <w:num w:numId="38">
    <w:abstractNumId w:val="38"/>
  </w:num>
  <w:num w:numId="39">
    <w:abstractNumId w:val="23"/>
  </w:num>
  <w:num w:numId="40">
    <w:abstractNumId w:val="7"/>
  </w:num>
  <w:num w:numId="41">
    <w:abstractNumId w:val="35"/>
  </w:num>
  <w:num w:numId="42">
    <w:abstractNumId w:val="22"/>
  </w:num>
  <w:num w:numId="43">
    <w:abstractNumId w:val="13"/>
  </w:num>
  <w:num w:numId="44">
    <w:abstractNumId w:val="8"/>
  </w:num>
  <w:num w:numId="45">
    <w:abstractNumId w:val="27"/>
  </w:num>
  <w:num w:numId="46">
    <w:abstractNumId w:val="20"/>
  </w:num>
  <w:num w:numId="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D9F"/>
    <w:rsid w:val="001C4EEC"/>
    <w:rsid w:val="001C551C"/>
    <w:rsid w:val="001C5B21"/>
    <w:rsid w:val="001C5CA4"/>
    <w:rsid w:val="001C5E7D"/>
    <w:rsid w:val="001C639E"/>
    <w:rsid w:val="001C64FF"/>
    <w:rsid w:val="001C6501"/>
    <w:rsid w:val="001C69CF"/>
    <w:rsid w:val="001C6A2E"/>
    <w:rsid w:val="001C6BAD"/>
    <w:rsid w:val="001C6E22"/>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1A"/>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68D5"/>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4F7F80"/>
    <w:rsid w:val="00500815"/>
    <w:rsid w:val="00501B1E"/>
    <w:rsid w:val="00501B89"/>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0521"/>
    <w:rsid w:val="00731A4B"/>
    <w:rsid w:val="00731D6F"/>
    <w:rsid w:val="00731F3E"/>
    <w:rsid w:val="00733392"/>
    <w:rsid w:val="0073413F"/>
    <w:rsid w:val="0073477D"/>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7A2"/>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FFE"/>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08C"/>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D508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508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6F7F-E317-4002-B151-B8987043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2021-07-30T08:30:00Z</dcterms:created>
  <dcterms:modified xsi:type="dcterms:W3CDTF">2021-08-06T03:31:00Z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