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B5E14" w14:textId="5C08A7BF" w:rsidR="0006078E" w:rsidRPr="00B91A9F" w:rsidRDefault="0006078E" w:rsidP="0006078E">
      <w:pPr>
        <w:tabs>
          <w:tab w:val="center" w:pos="4153"/>
          <w:tab w:val="right" w:pos="9923"/>
        </w:tabs>
        <w:spacing w:after="120"/>
        <w:jc w:val="both"/>
        <w:rPr>
          <w:rFonts w:eastAsia="Malgun Gothic"/>
          <w:b/>
          <w:bCs/>
          <w:sz w:val="28"/>
          <w:lang w:eastAsia="ko-KR"/>
        </w:rPr>
      </w:pPr>
      <w:r>
        <w:rPr>
          <w:rFonts w:eastAsia="Malgun Gothic"/>
          <w:b/>
          <w:bCs/>
          <w:sz w:val="28"/>
        </w:rPr>
        <w:t>3GPP TSG RAN WG4 Meeting #100e</w:t>
      </w:r>
      <w:r w:rsidRPr="00B91A9F">
        <w:rPr>
          <w:rFonts w:eastAsia="Malgun Gothic"/>
          <w:b/>
          <w:bCs/>
          <w:sz w:val="28"/>
        </w:rPr>
        <w:tab/>
        <w:t>R4-2</w:t>
      </w:r>
      <w:r>
        <w:rPr>
          <w:rFonts w:eastAsia="Malgun Gothic"/>
          <w:b/>
          <w:bCs/>
          <w:sz w:val="28"/>
        </w:rPr>
        <w:t>11</w:t>
      </w:r>
      <w:r w:rsidR="006F57DE">
        <w:rPr>
          <w:rFonts w:eastAsia="Malgun Gothic"/>
          <w:b/>
          <w:bCs/>
          <w:sz w:val="28"/>
        </w:rPr>
        <w:t>2219</w:t>
      </w:r>
    </w:p>
    <w:p w14:paraId="5B54EDA5" w14:textId="77777777" w:rsidR="0006078E" w:rsidRPr="00B91A9F" w:rsidRDefault="0006078E" w:rsidP="0006078E">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16</w:t>
      </w:r>
      <w:r>
        <w:rPr>
          <w:b/>
          <w:noProof/>
          <w:sz w:val="28"/>
          <w:vertAlign w:val="superscript"/>
        </w:rPr>
        <w:t>th</w:t>
      </w:r>
      <w:r>
        <w:rPr>
          <w:b/>
          <w:noProof/>
          <w:sz w:val="28"/>
        </w:rPr>
        <w:t xml:space="preserve"> – 27</w:t>
      </w:r>
      <w:r w:rsidRPr="00B91A9F">
        <w:rPr>
          <w:b/>
          <w:noProof/>
          <w:sz w:val="28"/>
          <w:vertAlign w:val="superscript"/>
        </w:rPr>
        <w:t>th</w:t>
      </w:r>
      <w:r w:rsidRPr="00B91A9F">
        <w:rPr>
          <w:b/>
          <w:noProof/>
          <w:sz w:val="28"/>
        </w:rPr>
        <w:t xml:space="preserve"> </w:t>
      </w:r>
      <w:r>
        <w:rPr>
          <w:b/>
          <w:noProof/>
          <w:sz w:val="28"/>
        </w:rPr>
        <w:t>August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77CC4187" w:rsidR="00B81FC7" w:rsidRPr="00DE4417" w:rsidRDefault="00B81FC7" w:rsidP="008159B1">
      <w:pPr>
        <w:ind w:left="2160" w:hanging="2160"/>
        <w:rPr>
          <w:b/>
          <w:lang w:val="en-GB"/>
        </w:rPr>
      </w:pPr>
      <w:r w:rsidRPr="00DE4417">
        <w:rPr>
          <w:b/>
          <w:lang w:val="en-GB"/>
        </w:rPr>
        <w:t>Title:</w:t>
      </w:r>
      <w:r w:rsidRPr="00DE4417">
        <w:rPr>
          <w:b/>
          <w:lang w:val="en-GB"/>
        </w:rPr>
        <w:tab/>
      </w:r>
      <w:bookmarkStart w:id="0" w:name="_Hlk67905086"/>
      <w:r w:rsidR="008E69D5">
        <w:rPr>
          <w:lang w:val="en-GB"/>
        </w:rPr>
        <w:t>Discussion on FR2 transmit signal quality</w:t>
      </w:r>
      <w:r w:rsidR="001E06C2">
        <w:rPr>
          <w:lang w:val="en-GB"/>
        </w:rPr>
        <w:t xml:space="preserve"> for UL MIMO</w:t>
      </w:r>
    </w:p>
    <w:bookmarkEnd w:id="0"/>
    <w:p w14:paraId="75E65FB7" w14:textId="0E553D85"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564BF0">
        <w:rPr>
          <w:lang w:val="en-GB"/>
        </w:rPr>
        <w:t>4.1.2.1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4B3009BE" w:rsidR="00196262" w:rsidRPr="00196262" w:rsidRDefault="00945F85" w:rsidP="00196262">
      <w:pPr>
        <w:rPr>
          <w:lang w:val="en-GB" w:eastAsia="en-US"/>
        </w:rPr>
      </w:pPr>
      <w:r>
        <w:rPr>
          <w:lang w:val="en-GB" w:eastAsia="en-US"/>
        </w:rPr>
        <w:t>During the last RAN4 meeting an update to the FR2 transmit signal quality measurements</w:t>
      </w:r>
      <w:r w:rsidR="001E06C2">
        <w:rPr>
          <w:lang w:val="en-GB" w:eastAsia="en-US"/>
        </w:rPr>
        <w:t xml:space="preserve"> for UL MIMO</w:t>
      </w:r>
      <w:r>
        <w:rPr>
          <w:lang w:val="en-GB" w:eastAsia="en-US"/>
        </w:rPr>
        <w:t xml:space="preserve"> was discussed [1], [2], however no conclusion could be reached</w:t>
      </w:r>
      <w:r w:rsidR="00755987">
        <w:rPr>
          <w:lang w:val="en-GB" w:eastAsia="en-US"/>
        </w:rPr>
        <w:t>.</w:t>
      </w:r>
    </w:p>
    <w:p w14:paraId="59D92B3E" w14:textId="122D8B7D" w:rsidR="00FC45FA" w:rsidRDefault="002A659B" w:rsidP="00FC45FA">
      <w:pPr>
        <w:pStyle w:val="berschrift1"/>
        <w:rPr>
          <w:rFonts w:cs="Arial"/>
        </w:rPr>
      </w:pPr>
      <w:bookmarkStart w:id="1" w:name="OLE_LINK10"/>
      <w:bookmarkStart w:id="2" w:name="OLE_LINK11"/>
      <w:r w:rsidRPr="00DE4417">
        <w:rPr>
          <w:rFonts w:cs="Arial"/>
        </w:rPr>
        <w:t>Discussion</w:t>
      </w:r>
    </w:p>
    <w:p w14:paraId="784CFEAB" w14:textId="08D7F5AD" w:rsidR="00945F85" w:rsidRDefault="000807E9" w:rsidP="00945F85">
      <w:pPr>
        <w:rPr>
          <w:lang w:val="en-GB" w:eastAsia="en-US"/>
        </w:rPr>
      </w:pPr>
      <w:r>
        <w:rPr>
          <w:lang w:val="en-GB" w:eastAsia="en-US"/>
        </w:rPr>
        <w:t xml:space="preserve">In the current versions of TS 38.101-2 [3], the </w:t>
      </w:r>
      <w:r w:rsidR="006504F4">
        <w:rPr>
          <w:lang w:val="en-GB" w:eastAsia="en-US"/>
        </w:rPr>
        <w:t>transmit modulation quality requirements are defined as below.</w:t>
      </w:r>
    </w:p>
    <w:p w14:paraId="254BCEB0" w14:textId="77777777" w:rsidR="000807E9" w:rsidRPr="000807E9" w:rsidRDefault="000807E9" w:rsidP="000807E9">
      <w:pPr>
        <w:keepNext/>
        <w:keepLines/>
        <w:spacing w:before="120" w:after="180" w:line="240" w:lineRule="auto"/>
        <w:outlineLvl w:val="2"/>
        <w:rPr>
          <w:rFonts w:eastAsia="Malgun Gothic" w:cs="Times New Roman"/>
          <w:sz w:val="28"/>
          <w:szCs w:val="20"/>
          <w:highlight w:val="lightGray"/>
          <w:lang w:val="en-GB" w:eastAsia="en-US"/>
        </w:rPr>
      </w:pPr>
      <w:bookmarkStart w:id="3" w:name="_Toc29804661"/>
      <w:bookmarkStart w:id="4" w:name="_Toc36548231"/>
      <w:bookmarkStart w:id="5" w:name="_Toc37253449"/>
      <w:bookmarkStart w:id="6" w:name="_Toc37253781"/>
      <w:bookmarkStart w:id="7" w:name="_Toc37321550"/>
      <w:bookmarkStart w:id="8" w:name="_Toc37322735"/>
      <w:bookmarkStart w:id="9" w:name="_Toc45889603"/>
      <w:bookmarkStart w:id="10" w:name="_Toc52203795"/>
      <w:bookmarkStart w:id="11" w:name="_Toc53172585"/>
      <w:bookmarkStart w:id="12" w:name="_Toc61118352"/>
      <w:bookmarkStart w:id="13" w:name="_Toc67923148"/>
      <w:bookmarkStart w:id="14" w:name="_Toc75295811"/>
      <w:bookmarkStart w:id="15" w:name="_Toc76510236"/>
      <w:r w:rsidRPr="000807E9">
        <w:rPr>
          <w:rFonts w:eastAsia="Malgun Gothic" w:cs="Times New Roman"/>
          <w:sz w:val="28"/>
          <w:szCs w:val="20"/>
          <w:highlight w:val="lightGray"/>
          <w:lang w:val="en-GB" w:eastAsia="en-US"/>
        </w:rPr>
        <w:t>6.4D.2</w:t>
      </w:r>
      <w:r w:rsidRPr="000807E9">
        <w:rPr>
          <w:rFonts w:eastAsia="Malgun Gothic" w:cs="Times New Roman"/>
          <w:sz w:val="28"/>
          <w:szCs w:val="20"/>
          <w:highlight w:val="lightGray"/>
          <w:lang w:val="en-GB" w:eastAsia="en-US"/>
        </w:rPr>
        <w:tab/>
        <w:t>Transmit modulation quality for UL MIMO</w:t>
      </w:r>
      <w:bookmarkEnd w:id="3"/>
      <w:bookmarkEnd w:id="4"/>
      <w:bookmarkEnd w:id="5"/>
      <w:bookmarkEnd w:id="6"/>
      <w:bookmarkEnd w:id="7"/>
      <w:bookmarkEnd w:id="8"/>
      <w:bookmarkEnd w:id="9"/>
      <w:bookmarkEnd w:id="10"/>
      <w:bookmarkEnd w:id="11"/>
      <w:bookmarkEnd w:id="12"/>
      <w:bookmarkEnd w:id="13"/>
      <w:bookmarkEnd w:id="14"/>
      <w:bookmarkEnd w:id="15"/>
    </w:p>
    <w:p w14:paraId="68450EBA" w14:textId="77777777" w:rsidR="000807E9" w:rsidRPr="000807E9" w:rsidRDefault="000807E9" w:rsidP="000807E9">
      <w:pPr>
        <w:spacing w:after="180" w:line="240" w:lineRule="auto"/>
        <w:rPr>
          <w:rFonts w:ascii="Times New Roman" w:eastAsia="Malgun Gothic" w:hAnsi="Times New Roman" w:cs="Times New Roman"/>
          <w:sz w:val="20"/>
          <w:szCs w:val="20"/>
          <w:highlight w:val="lightGray"/>
          <w:lang w:val="en-GB" w:eastAsia="en-US"/>
        </w:rPr>
      </w:pPr>
      <w:r w:rsidRPr="000807E9">
        <w:rPr>
          <w:rFonts w:ascii="Times New Roman" w:eastAsia="Malgun Gothic" w:hAnsi="Times New Roman" w:cs="Times New Roman"/>
          <w:sz w:val="20"/>
          <w:szCs w:val="20"/>
          <w:highlight w:val="lightGray"/>
          <w:lang w:val="en-GB" w:eastAsia="en-US"/>
        </w:rPr>
        <w:t>For UE supporting UL MIMO, the transmit modulation quality requirements are specified at each layer separately.</w:t>
      </w:r>
    </w:p>
    <w:p w14:paraId="3C52D8C7" w14:textId="77777777" w:rsidR="000807E9" w:rsidRPr="000807E9" w:rsidRDefault="000807E9" w:rsidP="000807E9">
      <w:pPr>
        <w:spacing w:after="180" w:line="240" w:lineRule="auto"/>
        <w:rPr>
          <w:rFonts w:ascii="Times New Roman" w:eastAsia="Malgun Gothic" w:hAnsi="Times New Roman" w:cs="Times New Roman"/>
          <w:sz w:val="20"/>
          <w:szCs w:val="20"/>
          <w:highlight w:val="lightGray"/>
          <w:lang w:val="en-GB" w:eastAsia="en-US"/>
        </w:rPr>
      </w:pPr>
      <w:r w:rsidRPr="000807E9">
        <w:rPr>
          <w:rFonts w:ascii="Times New Roman" w:eastAsia="Malgun Gothic" w:hAnsi="Times New Roman" w:cs="Times New Roman"/>
          <w:sz w:val="20"/>
          <w:szCs w:val="20"/>
          <w:highlight w:val="lightGray"/>
          <w:lang w:val="en-GB" w:eastAsia="en-US"/>
        </w:rPr>
        <w:t>The transmit modulation quality requirements are specified in terms of:</w:t>
      </w:r>
    </w:p>
    <w:p w14:paraId="515310A6" w14:textId="77777777" w:rsidR="000807E9" w:rsidRPr="000807E9" w:rsidRDefault="000807E9" w:rsidP="000807E9">
      <w:pPr>
        <w:spacing w:after="180" w:line="240" w:lineRule="auto"/>
        <w:ind w:left="568" w:hanging="284"/>
        <w:rPr>
          <w:rFonts w:ascii="Times New Roman" w:eastAsia="Malgun Gothic" w:hAnsi="Times New Roman" w:cs="Times New Roman"/>
          <w:sz w:val="20"/>
          <w:szCs w:val="20"/>
          <w:highlight w:val="lightGray"/>
          <w:lang w:val="en-GB" w:eastAsia="en-US"/>
        </w:rPr>
      </w:pPr>
      <w:r w:rsidRPr="000807E9">
        <w:rPr>
          <w:rFonts w:ascii="Times New Roman" w:eastAsia="Malgun Gothic" w:hAnsi="Times New Roman" w:cs="Times New Roman"/>
          <w:sz w:val="20"/>
          <w:szCs w:val="20"/>
          <w:highlight w:val="lightGray"/>
          <w:lang w:val="en-GB" w:eastAsia="en-US"/>
        </w:rPr>
        <w:tab/>
        <w:t>Error Vector Magnitude (EVM) for the allocated resource blocks (RBs)</w:t>
      </w:r>
    </w:p>
    <w:p w14:paraId="7AB29FA5" w14:textId="77777777" w:rsidR="000807E9" w:rsidRPr="000807E9" w:rsidRDefault="000807E9" w:rsidP="000807E9">
      <w:pPr>
        <w:spacing w:after="180" w:line="240" w:lineRule="auto"/>
        <w:ind w:left="568" w:hanging="284"/>
        <w:rPr>
          <w:rFonts w:ascii="Times New Roman" w:eastAsia="Malgun Gothic" w:hAnsi="Times New Roman" w:cs="Times New Roman"/>
          <w:sz w:val="20"/>
          <w:szCs w:val="20"/>
          <w:highlight w:val="lightGray"/>
          <w:lang w:val="en-GB" w:eastAsia="en-US"/>
        </w:rPr>
      </w:pPr>
      <w:r w:rsidRPr="000807E9">
        <w:rPr>
          <w:rFonts w:ascii="Times New Roman" w:eastAsia="Malgun Gothic" w:hAnsi="Times New Roman" w:cs="Times New Roman"/>
          <w:sz w:val="20"/>
          <w:szCs w:val="20"/>
          <w:highlight w:val="lightGray"/>
          <w:lang w:val="en-GB" w:eastAsia="en-US"/>
        </w:rPr>
        <w:tab/>
        <w:t>EVM equalizer spectrum flatness derived from the equalizer coefficients generated by the EVM measurement process</w:t>
      </w:r>
    </w:p>
    <w:p w14:paraId="31A379FF" w14:textId="77777777" w:rsidR="000807E9" w:rsidRPr="000807E9" w:rsidRDefault="000807E9" w:rsidP="000807E9">
      <w:pPr>
        <w:spacing w:after="180" w:line="240" w:lineRule="auto"/>
        <w:ind w:left="568" w:hanging="284"/>
        <w:rPr>
          <w:rFonts w:ascii="Times New Roman" w:eastAsia="Malgun Gothic" w:hAnsi="Times New Roman" w:cs="Times New Roman"/>
          <w:sz w:val="20"/>
          <w:szCs w:val="20"/>
          <w:highlight w:val="lightGray"/>
          <w:lang w:val="en-GB" w:eastAsia="en-US"/>
        </w:rPr>
      </w:pPr>
      <w:r w:rsidRPr="000807E9">
        <w:rPr>
          <w:rFonts w:ascii="Times New Roman" w:eastAsia="Malgun Gothic" w:hAnsi="Times New Roman" w:cs="Times New Roman"/>
          <w:sz w:val="20"/>
          <w:szCs w:val="20"/>
          <w:highlight w:val="lightGray"/>
          <w:lang w:val="en-GB" w:eastAsia="en-US"/>
        </w:rPr>
        <w:tab/>
        <w:t>Carrier leakage (caused by IQ offset)</w:t>
      </w:r>
    </w:p>
    <w:p w14:paraId="678C0B9E" w14:textId="77777777" w:rsidR="000807E9" w:rsidRPr="000807E9" w:rsidRDefault="000807E9" w:rsidP="000807E9">
      <w:pPr>
        <w:spacing w:after="180" w:line="240" w:lineRule="auto"/>
        <w:ind w:left="568" w:hanging="284"/>
        <w:rPr>
          <w:rFonts w:ascii="Times New Roman" w:eastAsia="Malgun Gothic" w:hAnsi="Times New Roman" w:cs="Times New Roman"/>
          <w:sz w:val="20"/>
          <w:szCs w:val="20"/>
          <w:highlight w:val="lightGray"/>
          <w:lang w:val="en-GB" w:eastAsia="en-US"/>
        </w:rPr>
      </w:pPr>
      <w:r w:rsidRPr="000807E9">
        <w:rPr>
          <w:rFonts w:ascii="Times New Roman" w:eastAsia="Malgun Gothic" w:hAnsi="Times New Roman" w:cs="Times New Roman"/>
          <w:sz w:val="20"/>
          <w:szCs w:val="20"/>
          <w:highlight w:val="lightGray"/>
          <w:lang w:val="en-GB" w:eastAsia="en-US"/>
        </w:rPr>
        <w:tab/>
        <w:t>In-band emissions for the non-allocated RB</w:t>
      </w:r>
    </w:p>
    <w:p w14:paraId="02A6A064" w14:textId="77777777" w:rsidR="000807E9" w:rsidRPr="000807E9" w:rsidRDefault="000807E9" w:rsidP="000807E9">
      <w:pPr>
        <w:spacing w:after="180" w:line="240" w:lineRule="auto"/>
        <w:rPr>
          <w:rFonts w:ascii="Times New Roman" w:eastAsia="Malgun Gothic" w:hAnsi="Times New Roman" w:cs="Times New Roman"/>
          <w:sz w:val="20"/>
          <w:szCs w:val="20"/>
          <w:lang w:val="en-GB" w:eastAsia="en-US"/>
        </w:rPr>
      </w:pPr>
      <w:r w:rsidRPr="000807E9">
        <w:rPr>
          <w:rFonts w:ascii="Times New Roman" w:eastAsia="Malgun Gothic" w:hAnsi="Times New Roman" w:cs="Times New Roman"/>
          <w:sz w:val="20"/>
          <w:szCs w:val="20"/>
          <w:highlight w:val="lightGray"/>
          <w:lang w:val="en-GB" w:eastAsia="ja-JP"/>
        </w:rPr>
        <w:t xml:space="preserve">In case the parameter 3300 or 3301 is reported from UE via the parameter </w:t>
      </w:r>
      <w:proofErr w:type="spellStart"/>
      <w:r w:rsidRPr="000807E9">
        <w:rPr>
          <w:rFonts w:ascii="Times New Roman" w:eastAsia="Malgun Gothic" w:hAnsi="Times New Roman" w:cs="Times New Roman"/>
          <w:i/>
          <w:sz w:val="20"/>
          <w:szCs w:val="20"/>
          <w:highlight w:val="lightGray"/>
          <w:lang w:val="en-GB" w:eastAsia="ja-JP"/>
        </w:rPr>
        <w:t>txDirectCurrentLocation</w:t>
      </w:r>
      <w:proofErr w:type="spellEnd"/>
      <w:r w:rsidRPr="000807E9">
        <w:rPr>
          <w:rFonts w:ascii="Times New Roman" w:eastAsia="Malgun Gothic" w:hAnsi="Times New Roman" w:cs="Times New Roman"/>
          <w:sz w:val="20"/>
          <w:szCs w:val="20"/>
          <w:highlight w:val="lightGray"/>
          <w:lang w:val="en-GB" w:eastAsia="ja-JP"/>
        </w:rPr>
        <w:t xml:space="preserve"> in </w:t>
      </w:r>
      <w:proofErr w:type="spellStart"/>
      <w:r w:rsidRPr="000807E9">
        <w:rPr>
          <w:rFonts w:ascii="Times New Roman" w:eastAsia="Malgun Gothic" w:hAnsi="Times New Roman" w:cs="Times New Roman"/>
          <w:i/>
          <w:sz w:val="20"/>
          <w:szCs w:val="20"/>
          <w:highlight w:val="lightGray"/>
          <w:lang w:val="en-GB" w:eastAsia="en-US"/>
        </w:rPr>
        <w:t>UplinkTxDirectCurrentList</w:t>
      </w:r>
      <w:proofErr w:type="spellEnd"/>
      <w:r w:rsidRPr="000807E9">
        <w:rPr>
          <w:rFonts w:ascii="Times New Roman" w:eastAsia="Malgun Gothic" w:hAnsi="Times New Roman" w:cs="Times New Roman"/>
          <w:sz w:val="20"/>
          <w:szCs w:val="20"/>
          <w:highlight w:val="lightGray"/>
          <w:lang w:val="en-GB" w:eastAsia="ja-JP"/>
        </w:rPr>
        <w:t xml:space="preserve"> IE</w:t>
      </w:r>
      <w:r w:rsidRPr="000807E9">
        <w:rPr>
          <w:rFonts w:ascii="Times New Roman" w:eastAsia="Malgun Gothic" w:hAnsi="Times New Roman" w:cs="Times New Roman" w:hint="eastAsia"/>
          <w:sz w:val="20"/>
          <w:szCs w:val="20"/>
          <w:highlight w:val="lightGray"/>
          <w:lang w:val="en-GB" w:eastAsia="ja-JP"/>
        </w:rPr>
        <w:t xml:space="preserve"> </w:t>
      </w:r>
      <w:r w:rsidRPr="000807E9">
        <w:rPr>
          <w:rFonts w:ascii="Times New Roman" w:eastAsia="Malgun Gothic" w:hAnsi="Times New Roman" w:cs="Times New Roman"/>
          <w:sz w:val="20"/>
          <w:szCs w:val="20"/>
          <w:highlight w:val="lightGray"/>
          <w:lang w:eastAsia="en-US"/>
        </w:rPr>
        <w:t>(as defined in TS 38.331</w:t>
      </w:r>
      <w:r w:rsidRPr="000807E9">
        <w:rPr>
          <w:rFonts w:ascii="Times New Roman" w:eastAsia="Malgun Gothic" w:hAnsi="Times New Roman" w:cs="Times New Roman"/>
          <w:sz w:val="20"/>
          <w:szCs w:val="20"/>
          <w:highlight w:val="lightGray"/>
          <w:lang w:val="en-GB" w:eastAsia="en-US"/>
        </w:rPr>
        <w:t> [13]</w:t>
      </w:r>
      <w:r w:rsidRPr="000807E9">
        <w:rPr>
          <w:rFonts w:ascii="Times New Roman" w:eastAsia="Malgun Gothic" w:hAnsi="Times New Roman" w:cs="Times New Roman"/>
          <w:sz w:val="20"/>
          <w:szCs w:val="20"/>
          <w:highlight w:val="lightGray"/>
          <w:lang w:eastAsia="en-US"/>
        </w:rPr>
        <w:t>)</w:t>
      </w:r>
      <w:r w:rsidRPr="000807E9">
        <w:rPr>
          <w:rFonts w:ascii="Times New Roman" w:eastAsia="Malgun Gothic" w:hAnsi="Times New Roman" w:cs="Times New Roman"/>
          <w:sz w:val="20"/>
          <w:szCs w:val="20"/>
          <w:highlight w:val="lightGray"/>
          <w:lang w:val="en-GB" w:eastAsia="ja-JP"/>
        </w:rPr>
        <w:t xml:space="preserve">, carrier leakage measurement </w:t>
      </w:r>
      <w:r w:rsidRPr="000807E9">
        <w:rPr>
          <w:rFonts w:ascii="Times New Roman" w:eastAsia="Malgun Gothic" w:hAnsi="Times New Roman" w:cs="Times New Roman" w:hint="eastAsia"/>
          <w:sz w:val="20"/>
          <w:szCs w:val="20"/>
          <w:highlight w:val="lightGray"/>
          <w:lang w:val="en-GB" w:eastAsia="ja-JP"/>
        </w:rPr>
        <w:t xml:space="preserve">requirement in clause 6.4D.2.2 and 6.4D.2.3 </w:t>
      </w:r>
      <w:r w:rsidRPr="000807E9">
        <w:rPr>
          <w:rFonts w:ascii="Times New Roman" w:eastAsia="Malgun Gothic" w:hAnsi="Times New Roman" w:cs="Times New Roman"/>
          <w:sz w:val="20"/>
          <w:szCs w:val="20"/>
          <w:highlight w:val="lightGray"/>
          <w:lang w:val="en-GB" w:eastAsia="ja-JP"/>
        </w:rPr>
        <w:t xml:space="preserve">shall be </w:t>
      </w:r>
      <w:r w:rsidRPr="000807E9">
        <w:rPr>
          <w:rFonts w:ascii="Times New Roman" w:eastAsia="Malgun Gothic" w:hAnsi="Times New Roman" w:cs="Times New Roman" w:hint="eastAsia"/>
          <w:sz w:val="20"/>
          <w:szCs w:val="20"/>
          <w:highlight w:val="lightGray"/>
          <w:lang w:val="en-GB" w:eastAsia="ja-JP"/>
        </w:rPr>
        <w:t>waived</w:t>
      </w:r>
      <w:r w:rsidRPr="000807E9">
        <w:rPr>
          <w:rFonts w:ascii="Times New Roman" w:eastAsia="Malgun Gothic" w:hAnsi="Times New Roman" w:cs="Times New Roman"/>
          <w:sz w:val="20"/>
          <w:szCs w:val="20"/>
          <w:highlight w:val="lightGray"/>
          <w:lang w:val="en-GB" w:eastAsia="ja-JP"/>
        </w:rPr>
        <w:t xml:space="preserve">, and the RF correction with regard to the carrier leakage and IQ image </w:t>
      </w:r>
      <w:r w:rsidRPr="000807E9">
        <w:rPr>
          <w:rFonts w:ascii="Times New Roman" w:eastAsia="Malgun Gothic" w:hAnsi="Times New Roman" w:cs="Times New Roman" w:hint="eastAsia"/>
          <w:sz w:val="20"/>
          <w:szCs w:val="20"/>
          <w:highlight w:val="lightGray"/>
          <w:lang w:val="en-GB" w:eastAsia="ja-JP"/>
        </w:rPr>
        <w:t>shall be</w:t>
      </w:r>
      <w:r w:rsidRPr="000807E9">
        <w:rPr>
          <w:rFonts w:ascii="Times New Roman" w:eastAsia="Malgun Gothic" w:hAnsi="Times New Roman" w:cs="Times New Roman"/>
          <w:sz w:val="20"/>
          <w:szCs w:val="20"/>
          <w:highlight w:val="lightGray"/>
          <w:lang w:val="en-GB" w:eastAsia="ja-JP"/>
        </w:rPr>
        <w:t xml:space="preserve"> omitted during the calculation of transmit modulation quality.</w:t>
      </w:r>
    </w:p>
    <w:p w14:paraId="3D8FC526" w14:textId="204BC135" w:rsidR="000807E9" w:rsidRDefault="006504F4" w:rsidP="00945F85">
      <w:pPr>
        <w:rPr>
          <w:lang w:val="en-GB" w:eastAsia="en-US"/>
        </w:rPr>
      </w:pPr>
      <w:r>
        <w:rPr>
          <w:lang w:val="en-GB" w:eastAsia="en-US"/>
        </w:rPr>
        <w:t>During the last meeting a CR was submitted in [1], with the goal to correct and update the requirements. In our view two aspects of the requirements need to be updated.</w:t>
      </w:r>
    </w:p>
    <w:p w14:paraId="153FD729" w14:textId="04DC886B" w:rsidR="006504F4" w:rsidRPr="006504F4" w:rsidRDefault="006504F4" w:rsidP="0044431B">
      <w:pPr>
        <w:pStyle w:val="Listenabsatz"/>
        <w:numPr>
          <w:ilvl w:val="0"/>
          <w:numId w:val="5"/>
        </w:numPr>
        <w:ind w:left="714" w:hanging="357"/>
        <w:rPr>
          <w:rFonts w:ascii="Arial" w:hAnsi="Arial" w:cs="Arial"/>
          <w:sz w:val="22"/>
          <w:szCs w:val="22"/>
          <w:lang w:val="en-GB"/>
        </w:rPr>
      </w:pPr>
      <w:r>
        <w:rPr>
          <w:rFonts w:ascii="Arial" w:hAnsi="Arial" w:cs="Arial"/>
          <w:sz w:val="22"/>
          <w:szCs w:val="22"/>
          <w:lang w:val="en-GB"/>
        </w:rPr>
        <w:t>Clarifications are required how the requirements are defined. In our understanding the transmit signal quality requirements are defined as directional requirements in the Tx beam peak direction, which is also the way the measurement is defined in TR 38.810 [4]. This needs to be clarified in the requirements to avoid any misunderstandings.</w:t>
      </w:r>
    </w:p>
    <w:p w14:paraId="3242509E" w14:textId="436DE215" w:rsidR="006504F4" w:rsidRPr="006504F4" w:rsidRDefault="006504F4" w:rsidP="006504F4">
      <w:r w:rsidRPr="006504F4">
        <w:rPr>
          <w:b/>
        </w:rPr>
        <w:t xml:space="preserve">Proposal 1: </w:t>
      </w:r>
      <w:r>
        <w:t>Add clarification that the transmit modulation requirements</w:t>
      </w:r>
      <w:r w:rsidRPr="006504F4">
        <w:t xml:space="preserve"> </w:t>
      </w:r>
      <w:r>
        <w:t>are defined as directional requirements in the Tx beam peak direction.</w:t>
      </w:r>
    </w:p>
    <w:p w14:paraId="033D81D1" w14:textId="6987151F" w:rsidR="006504F4" w:rsidRDefault="006504F4" w:rsidP="00945F85">
      <w:pPr>
        <w:rPr>
          <w:lang w:eastAsia="en-US"/>
        </w:rPr>
      </w:pPr>
    </w:p>
    <w:p w14:paraId="2BB02F44" w14:textId="77777777" w:rsidR="001E06C2" w:rsidRDefault="006504F4" w:rsidP="0044431B">
      <w:pPr>
        <w:pStyle w:val="Listenabsatz"/>
        <w:numPr>
          <w:ilvl w:val="0"/>
          <w:numId w:val="5"/>
        </w:numPr>
        <w:rPr>
          <w:rFonts w:ascii="Arial" w:hAnsi="Arial" w:cs="Arial"/>
          <w:sz w:val="22"/>
          <w:szCs w:val="22"/>
          <w:lang w:val="en-US"/>
        </w:rPr>
      </w:pPr>
      <w:r w:rsidRPr="001E06C2">
        <w:rPr>
          <w:rFonts w:ascii="Arial" w:hAnsi="Arial" w:cs="Arial"/>
          <w:sz w:val="22"/>
          <w:szCs w:val="22"/>
          <w:lang w:val="en-US"/>
        </w:rPr>
        <w:lastRenderedPageBreak/>
        <w:t xml:space="preserve">With respect to the actual requirements, </w:t>
      </w:r>
      <w:r w:rsidR="001E06C2" w:rsidRPr="001E06C2">
        <w:rPr>
          <w:rFonts w:ascii="Arial" w:hAnsi="Arial" w:cs="Arial"/>
          <w:sz w:val="22"/>
          <w:szCs w:val="22"/>
          <w:lang w:val="en-US"/>
        </w:rPr>
        <w:t xml:space="preserve">in our understanding the IBE requirements are not specified correctly. The </w:t>
      </w:r>
      <w:r w:rsidR="001E06C2" w:rsidRPr="001E06C2">
        <w:rPr>
          <w:rFonts w:ascii="Arial" w:hAnsi="Arial" w:cs="Arial"/>
          <w:noProof/>
          <w:sz w:val="22"/>
          <w:szCs w:val="22"/>
          <w:lang w:val="en-US"/>
        </w:rPr>
        <w:t xml:space="preserve">FR2 UL MIMO requirements </w:t>
      </w:r>
      <w:r w:rsidR="001E06C2">
        <w:rPr>
          <w:rFonts w:ascii="Arial" w:hAnsi="Arial" w:cs="Arial"/>
          <w:noProof/>
          <w:sz w:val="22"/>
          <w:szCs w:val="22"/>
          <w:lang w:val="en-US"/>
        </w:rPr>
        <w:t>are</w:t>
      </w:r>
      <w:r w:rsidR="001E06C2" w:rsidRPr="001E06C2">
        <w:rPr>
          <w:rFonts w:ascii="Arial" w:hAnsi="Arial" w:cs="Arial"/>
          <w:noProof/>
          <w:sz w:val="22"/>
          <w:szCs w:val="22"/>
          <w:lang w:val="en-US"/>
        </w:rPr>
        <w:t xml:space="preserve"> defined on a per layer basis. </w:t>
      </w:r>
      <w:r w:rsidR="001E06C2">
        <w:rPr>
          <w:rFonts w:ascii="Arial" w:hAnsi="Arial" w:cs="Arial"/>
          <w:noProof/>
          <w:sz w:val="22"/>
          <w:szCs w:val="22"/>
          <w:lang w:val="en-US"/>
        </w:rPr>
        <w:t>However f</w:t>
      </w:r>
      <w:r w:rsidR="001E06C2" w:rsidRPr="001E06C2">
        <w:rPr>
          <w:rFonts w:ascii="Arial" w:hAnsi="Arial" w:cs="Arial"/>
          <w:noProof/>
          <w:sz w:val="22"/>
          <w:szCs w:val="22"/>
          <w:lang w:val="en-US"/>
        </w:rPr>
        <w:t xml:space="preserve">or IBE this should not be the case, since here the emissions of occupied RBs </w:t>
      </w:r>
      <w:r w:rsidR="001E06C2">
        <w:rPr>
          <w:rFonts w:ascii="Arial" w:hAnsi="Arial" w:cs="Arial"/>
          <w:noProof/>
          <w:sz w:val="22"/>
          <w:szCs w:val="22"/>
          <w:lang w:val="en-US"/>
        </w:rPr>
        <w:t xml:space="preserve">are compared </w:t>
      </w:r>
      <w:r w:rsidR="001E06C2" w:rsidRPr="001E06C2">
        <w:rPr>
          <w:rFonts w:ascii="Arial" w:hAnsi="Arial" w:cs="Arial"/>
          <w:noProof/>
          <w:sz w:val="22"/>
          <w:szCs w:val="22"/>
          <w:lang w:val="en-US"/>
        </w:rPr>
        <w:t xml:space="preserve">to unoccupied RBs, which must be judged for the whole transmission. </w:t>
      </w:r>
    </w:p>
    <w:p w14:paraId="7E4229C3" w14:textId="08F4A024" w:rsidR="006504F4" w:rsidRDefault="001E06C2" w:rsidP="001E06C2">
      <w:pPr>
        <w:pStyle w:val="Listenabsatz"/>
        <w:numPr>
          <w:ilvl w:val="0"/>
          <w:numId w:val="0"/>
        </w:numPr>
        <w:ind w:left="720"/>
        <w:rPr>
          <w:rFonts w:ascii="Arial" w:hAnsi="Arial" w:cs="Arial"/>
          <w:sz w:val="22"/>
          <w:szCs w:val="22"/>
          <w:lang w:val="en-US"/>
        </w:rPr>
      </w:pPr>
      <w:r w:rsidRPr="001E06C2">
        <w:rPr>
          <w:rFonts w:ascii="Arial" w:hAnsi="Arial" w:cs="Arial"/>
          <w:noProof/>
          <w:sz w:val="22"/>
          <w:szCs w:val="22"/>
          <w:lang w:val="en-US"/>
        </w:rPr>
        <w:t xml:space="preserve">Therefore it </w:t>
      </w:r>
      <w:r>
        <w:rPr>
          <w:rFonts w:ascii="Arial" w:hAnsi="Arial" w:cs="Arial"/>
          <w:noProof/>
          <w:sz w:val="22"/>
          <w:szCs w:val="22"/>
          <w:lang w:val="en-US"/>
        </w:rPr>
        <w:t>shall</w:t>
      </w:r>
      <w:r w:rsidRPr="001E06C2">
        <w:rPr>
          <w:rFonts w:ascii="Arial" w:hAnsi="Arial" w:cs="Arial"/>
          <w:noProof/>
          <w:sz w:val="22"/>
          <w:szCs w:val="22"/>
          <w:lang w:val="en-US"/>
        </w:rPr>
        <w:t xml:space="preserve"> be measured in the same way as for single layer</w:t>
      </w:r>
      <w:r>
        <w:rPr>
          <w:rFonts w:ascii="Arial" w:hAnsi="Arial" w:cs="Arial"/>
          <w:noProof/>
          <w:sz w:val="22"/>
          <w:szCs w:val="22"/>
          <w:lang w:val="en-US"/>
        </w:rPr>
        <w:t>. This means to measure define the IBE requirements in terms of the sum of emissions over both polarizations.</w:t>
      </w:r>
    </w:p>
    <w:p w14:paraId="35768C44" w14:textId="05F19C9E" w:rsidR="001E06C2" w:rsidRDefault="001E06C2" w:rsidP="001E06C2">
      <w:pPr>
        <w:ind w:left="720"/>
      </w:pPr>
      <w:r>
        <w:t>One of the issues brought up during discussions was whether the IBE should be judged on a per polarization basis in contrast to the sum of emissions over both measurement polarizations.</w:t>
      </w:r>
    </w:p>
    <w:p w14:paraId="21121E8F" w14:textId="5AEEF32D" w:rsidR="001E06C2" w:rsidRDefault="001E06C2" w:rsidP="001E06C2">
      <w:pPr>
        <w:ind w:left="720"/>
      </w:pPr>
      <w:r>
        <w:t>From our interpretation of the specification, the IBE emission requirements include some relative requirements as well as some absolute requirements</w:t>
      </w:r>
      <w:r w:rsidR="002854C6">
        <w:t>.</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6531"/>
        <w:gridCol w:w="1905"/>
      </w:tblGrid>
      <w:tr w:rsidR="002854C6" w:rsidRPr="002854C6" w14:paraId="2C78EB80" w14:textId="77777777" w:rsidTr="00304FC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03522592" w14:textId="77777777" w:rsidR="002854C6" w:rsidRPr="002854C6" w:rsidRDefault="002854C6" w:rsidP="00304FCA">
            <w:pPr>
              <w:pStyle w:val="TAH"/>
              <w:rPr>
                <w:i/>
                <w:iCs/>
                <w:highlight w:val="lightGray"/>
              </w:rPr>
            </w:pPr>
            <w:r w:rsidRPr="002854C6">
              <w:rPr>
                <w:highlight w:val="lightGray"/>
              </w:rPr>
              <w:t xml:space="preserve">Parameter </w:t>
            </w:r>
            <w:proofErr w:type="spellStart"/>
            <w:r w:rsidRPr="002854C6">
              <w:rPr>
                <w:highlight w:val="lightGray"/>
              </w:rPr>
              <w:t>description</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0177F5C9" w14:textId="77777777" w:rsidR="002854C6" w:rsidRPr="002854C6" w:rsidRDefault="002854C6" w:rsidP="00304FCA">
            <w:pPr>
              <w:pStyle w:val="TAH"/>
              <w:rPr>
                <w:rFonts w:cs="Arial"/>
                <w:highlight w:val="lightGray"/>
              </w:rPr>
            </w:pPr>
            <w:r w:rsidRPr="002854C6">
              <w:rPr>
                <w:rFonts w:cs="Arial"/>
                <w:highlight w:val="lightGray"/>
              </w:rPr>
              <w:t>Unit</w:t>
            </w:r>
          </w:p>
        </w:tc>
        <w:tc>
          <w:tcPr>
            <w:tcW w:w="6531" w:type="dxa"/>
            <w:tcBorders>
              <w:top w:val="single" w:sz="4" w:space="0" w:color="auto"/>
              <w:left w:val="single" w:sz="4" w:space="0" w:color="auto"/>
              <w:bottom w:val="single" w:sz="4" w:space="0" w:color="auto"/>
              <w:right w:val="single" w:sz="4" w:space="0" w:color="auto"/>
            </w:tcBorders>
            <w:hideMark/>
          </w:tcPr>
          <w:p w14:paraId="721CC5C8" w14:textId="77777777" w:rsidR="002854C6" w:rsidRPr="002854C6" w:rsidRDefault="002854C6" w:rsidP="00304FCA">
            <w:pPr>
              <w:pStyle w:val="TAH"/>
              <w:rPr>
                <w:rFonts w:cs="Arial"/>
                <w:highlight w:val="lightGray"/>
              </w:rPr>
            </w:pPr>
            <w:r w:rsidRPr="002854C6">
              <w:rPr>
                <w:rFonts w:cs="Arial"/>
                <w:highlight w:val="lightGray"/>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4DC8F79" w14:textId="77777777" w:rsidR="002854C6" w:rsidRPr="002854C6" w:rsidRDefault="002854C6" w:rsidP="00304FCA">
            <w:pPr>
              <w:pStyle w:val="TAH"/>
              <w:rPr>
                <w:rFonts w:cs="Arial"/>
                <w:highlight w:val="lightGray"/>
              </w:rPr>
            </w:pPr>
            <w:proofErr w:type="spellStart"/>
            <w:r w:rsidRPr="002854C6">
              <w:rPr>
                <w:rFonts w:cs="Arial"/>
                <w:highlight w:val="lightGray"/>
              </w:rPr>
              <w:t>Applicable</w:t>
            </w:r>
            <w:proofErr w:type="spellEnd"/>
            <w:r w:rsidRPr="002854C6">
              <w:rPr>
                <w:rFonts w:cs="Arial"/>
                <w:highlight w:val="lightGray"/>
              </w:rPr>
              <w:t xml:space="preserve"> </w:t>
            </w:r>
            <w:proofErr w:type="spellStart"/>
            <w:r w:rsidRPr="002854C6">
              <w:rPr>
                <w:rFonts w:cs="Arial"/>
                <w:highlight w:val="lightGray"/>
              </w:rPr>
              <w:t>Frequencies</w:t>
            </w:r>
            <w:proofErr w:type="spellEnd"/>
          </w:p>
        </w:tc>
      </w:tr>
      <w:tr w:rsidR="002854C6" w:rsidRPr="00C04A08" w14:paraId="3E1321C2" w14:textId="77777777" w:rsidTr="00304FC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35EF5F79" w14:textId="77777777" w:rsidR="002854C6" w:rsidRPr="002854C6" w:rsidRDefault="002854C6" w:rsidP="00304FCA">
            <w:pPr>
              <w:pStyle w:val="TAH"/>
              <w:rPr>
                <w:highlight w:val="lightGray"/>
              </w:rPr>
            </w:pPr>
            <w:r w:rsidRPr="002854C6">
              <w:rPr>
                <w:highlight w:val="lightGray"/>
              </w:rPr>
              <w:t>General</w:t>
            </w:r>
          </w:p>
        </w:tc>
        <w:tc>
          <w:tcPr>
            <w:tcW w:w="566" w:type="dxa"/>
            <w:tcBorders>
              <w:top w:val="single" w:sz="4" w:space="0" w:color="auto"/>
              <w:left w:val="single" w:sz="4" w:space="0" w:color="auto"/>
              <w:bottom w:val="single" w:sz="4" w:space="0" w:color="auto"/>
              <w:right w:val="single" w:sz="4" w:space="0" w:color="auto"/>
            </w:tcBorders>
            <w:hideMark/>
          </w:tcPr>
          <w:p w14:paraId="3B2E73DB" w14:textId="77777777" w:rsidR="002854C6" w:rsidRPr="002854C6" w:rsidRDefault="002854C6" w:rsidP="00304FCA">
            <w:pPr>
              <w:pStyle w:val="TAC"/>
              <w:rPr>
                <w:highlight w:val="lightGray"/>
              </w:rPr>
            </w:pPr>
            <w:r w:rsidRPr="002854C6">
              <w:rPr>
                <w:highlight w:val="lightGray"/>
              </w:rPr>
              <w:t>dB</w:t>
            </w:r>
          </w:p>
        </w:tc>
        <w:tc>
          <w:tcPr>
            <w:tcW w:w="6531" w:type="dxa"/>
            <w:tcBorders>
              <w:top w:val="single" w:sz="4" w:space="0" w:color="auto"/>
              <w:left w:val="single" w:sz="4" w:space="0" w:color="auto"/>
              <w:bottom w:val="single" w:sz="4" w:space="0" w:color="auto"/>
              <w:right w:val="single" w:sz="4" w:space="0" w:color="auto"/>
            </w:tcBorders>
          </w:tcPr>
          <w:p w14:paraId="001F7CAB" w14:textId="104B764F" w:rsidR="002854C6" w:rsidRPr="002854C6" w:rsidRDefault="001551BB" w:rsidP="00304FCA">
            <w:pPr>
              <w:pStyle w:val="TAC"/>
              <w:rPr>
                <w:highlight w:val="lightGray"/>
                <w:lang w:eastAsia="ko-KR"/>
              </w:rPr>
            </w:pPr>
            <m:oMathPara>
              <m:oMath>
                <m:func>
                  <m:funcPr>
                    <m:ctrlPr>
                      <w:rPr>
                        <w:rFonts w:ascii="Cambria Math" w:hAnsi="Cambria Math"/>
                        <w:i/>
                        <w:highlight w:val="lightGray"/>
                      </w:rPr>
                    </m:ctrlPr>
                  </m:funcPr>
                  <m:fName>
                    <m:r>
                      <w:rPr>
                        <w:rFonts w:ascii="Cambria Math" w:hAnsi="Cambria Math"/>
                        <w:highlight w:val="lightGray"/>
                      </w:rPr>
                      <m:t>max</m:t>
                    </m:r>
                  </m:fName>
                  <m:e>
                    <m:d>
                      <m:dPr>
                        <m:begChr m:val="["/>
                        <m:endChr m:val="]"/>
                        <m:ctrlPr>
                          <w:rPr>
                            <w:rFonts w:ascii="Cambria Math" w:hAnsi="Cambria Math"/>
                            <w:highlight w:val="lightGray"/>
                          </w:rPr>
                        </m:ctrlPr>
                      </m:dPr>
                      <m:e>
                        <m:eqArr>
                          <m:eqArrPr>
                            <m:ctrlPr>
                              <w:rPr>
                                <w:rFonts w:ascii="Cambria Math" w:hAnsi="Cambria Math"/>
                                <w:highlight w:val="lightGray"/>
                              </w:rPr>
                            </m:ctrlPr>
                          </m:eqArrPr>
                          <m:e>
                            <m:r>
                              <m:rPr>
                                <m:sty m:val="p"/>
                              </m:rPr>
                              <w:rPr>
                                <w:rFonts w:ascii="Cambria Math" w:hAnsi="Cambria Math"/>
                                <w:highlight w:val="lightGray"/>
                              </w:rPr>
                              <m:t>-25 -10.</m:t>
                            </m:r>
                            <m:sSub>
                              <m:sSubPr>
                                <m:ctrlPr>
                                  <w:rPr>
                                    <w:rFonts w:ascii="Cambria Math" w:hAnsi="Cambria Math"/>
                                    <w:highlight w:val="lightGray"/>
                                  </w:rPr>
                                </m:ctrlPr>
                              </m:sSubPr>
                              <m:e>
                                <m:r>
                                  <m:rPr>
                                    <m:sty m:val="p"/>
                                  </m:rPr>
                                  <w:rPr>
                                    <w:rFonts w:ascii="Cambria Math" w:hAnsi="Cambria Math"/>
                                    <w:highlight w:val="lightGray"/>
                                  </w:rPr>
                                  <m:t>log</m:t>
                                </m:r>
                              </m:e>
                              <m:sub>
                                <m:r>
                                  <w:rPr>
                                    <w:rFonts w:ascii="Cambria Math" w:hAnsi="Cambria Math"/>
                                    <w:highlight w:val="lightGray"/>
                                  </w:rPr>
                                  <m:t>10</m:t>
                                </m:r>
                              </m:sub>
                            </m:sSub>
                            <m:d>
                              <m:dPr>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N</m:t>
                                        </m:r>
                                      </m:e>
                                      <m:sub>
                                        <m:r>
                                          <w:rPr>
                                            <w:rFonts w:ascii="Cambria Math" w:hAnsi="Cambria Math"/>
                                            <w:highlight w:val="lightGray"/>
                                          </w:rPr>
                                          <m:t>RB</m:t>
                                        </m:r>
                                      </m:sub>
                                    </m:sSub>
                                  </m:num>
                                  <m:den>
                                    <m:sSub>
                                      <m:sSubPr>
                                        <m:ctrlPr>
                                          <w:rPr>
                                            <w:rFonts w:ascii="Cambria Math" w:hAnsi="Cambria Math"/>
                                            <w:highlight w:val="lightGray"/>
                                            <w:vertAlign w:val="subscript"/>
                                          </w:rPr>
                                        </m:ctrlPr>
                                      </m:sSubPr>
                                      <m:e>
                                        <m:r>
                                          <m:rPr>
                                            <m:sty m:val="p"/>
                                          </m:rPr>
                                          <w:rPr>
                                            <w:rFonts w:ascii="Cambria Math" w:hAnsi="Cambria Math"/>
                                            <w:highlight w:val="lightGray"/>
                                            <w:vertAlign w:val="subscript"/>
                                          </w:rPr>
                                          <m:t>L</m:t>
                                        </m:r>
                                      </m:e>
                                      <m:sub>
                                        <m:r>
                                          <w:rPr>
                                            <w:rFonts w:ascii="Cambria Math" w:hAnsi="Cambria Math"/>
                                            <w:highlight w:val="lightGray"/>
                                            <w:vertAlign w:val="subscript"/>
                                          </w:rPr>
                                          <m:t>CRB</m:t>
                                        </m:r>
                                      </m:sub>
                                    </m:sSub>
                                  </m:den>
                                </m:f>
                              </m:e>
                            </m:d>
                            <m:r>
                              <m:rPr>
                                <m:sty m:val="p"/>
                              </m:rPr>
                              <w:rPr>
                                <w:rFonts w:ascii="Cambria Math" w:hAnsi="Cambria Math"/>
                                <w:highlight w:val="lightGray"/>
                              </w:rPr>
                              <m:t xml:space="preserve">,  </m:t>
                            </m:r>
                            <m:ctrlPr>
                              <w:rPr>
                                <w:rFonts w:ascii="Cambria Math" w:hAnsi="Cambria Math"/>
                                <w:i/>
                                <w:highlight w:val="lightGray"/>
                                <w:vertAlign w:val="subscript"/>
                              </w:rPr>
                            </m:ctrlPr>
                          </m:e>
                          <m:e>
                            <m:r>
                              <m:rPr>
                                <m:sty m:val="p"/>
                              </m:rPr>
                              <w:rPr>
                                <w:rFonts w:ascii="Cambria Math" w:hAnsi="Cambria Math"/>
                                <w:highlight w:val="lightGray"/>
                              </w:rPr>
                              <m:t>20.</m:t>
                            </m:r>
                            <m:sSub>
                              <m:sSubPr>
                                <m:ctrlPr>
                                  <w:rPr>
                                    <w:rFonts w:ascii="Cambria Math" w:hAnsi="Cambria Math"/>
                                    <w:highlight w:val="lightGray"/>
                                  </w:rPr>
                                </m:ctrlPr>
                              </m:sSubPr>
                              <m:e>
                                <m:r>
                                  <m:rPr>
                                    <m:sty m:val="p"/>
                                  </m:rPr>
                                  <w:rPr>
                                    <w:rFonts w:ascii="Cambria Math" w:hAnsi="Cambria Math"/>
                                    <w:highlight w:val="lightGray"/>
                                  </w:rPr>
                                  <m:t>log</m:t>
                                </m:r>
                              </m:e>
                              <m:sub>
                                <m:r>
                                  <w:rPr>
                                    <w:rFonts w:ascii="Cambria Math" w:hAnsi="Cambria Math"/>
                                    <w:highlight w:val="lightGray"/>
                                  </w:rPr>
                                  <m:t>10</m:t>
                                </m:r>
                              </m:sub>
                            </m:sSub>
                            <m:d>
                              <m:dPr>
                                <m:ctrlPr>
                                  <w:rPr>
                                    <w:rFonts w:ascii="Cambria Math" w:hAnsi="Cambria Math"/>
                                    <w:highlight w:val="lightGray"/>
                                  </w:rPr>
                                </m:ctrlPr>
                              </m:dPr>
                              <m:e>
                                <m:r>
                                  <m:rPr>
                                    <m:sty m:val="p"/>
                                  </m:rPr>
                                  <w:rPr>
                                    <w:rFonts w:ascii="Cambria Math" w:hAnsi="Cambria Math"/>
                                    <w:highlight w:val="lightGray"/>
                                  </w:rPr>
                                  <m:t>EVM</m:t>
                                </m:r>
                              </m:e>
                            </m:d>
                            <m:r>
                              <w:rPr>
                                <w:rFonts w:ascii="Cambria Math" w:hAnsi="Cambria Math"/>
                                <w:highlight w:val="lightGray"/>
                              </w:rPr>
                              <m:t>- 5.</m:t>
                            </m:r>
                            <m:f>
                              <m:fPr>
                                <m:ctrlPr>
                                  <w:rPr>
                                    <w:rFonts w:ascii="Cambria Math" w:hAnsi="Cambria Math"/>
                                    <w:i/>
                                    <w:highlight w:val="lightGray"/>
                                  </w:rPr>
                                </m:ctrlPr>
                              </m:fPr>
                              <m:num>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m:t>
                                        </m:r>
                                      </m:e>
                                      <m:sub>
                                        <m:r>
                                          <w:rPr>
                                            <w:rFonts w:ascii="Cambria Math" w:hAnsi="Cambria Math"/>
                                            <w:highlight w:val="lightGray"/>
                                          </w:rPr>
                                          <m:t>RB</m:t>
                                        </m:r>
                                      </m:sub>
                                    </m:sSub>
                                  </m:e>
                                  <m:e>
                                    <m:r>
                                      <w:rPr>
                                        <w:rFonts w:ascii="Cambria Math" w:hAnsi="Cambria Math"/>
                                        <w:highlight w:val="lightGray"/>
                                      </w:rPr>
                                      <m:t>-1</m:t>
                                    </m:r>
                                  </m:e>
                                </m:d>
                              </m:num>
                              <m:den>
                                <m:sSub>
                                  <m:sSubPr>
                                    <m:ctrlPr>
                                      <w:rPr>
                                        <w:rFonts w:ascii="Cambria Math" w:hAnsi="Cambria Math"/>
                                        <w:highlight w:val="lightGray"/>
                                        <w:vertAlign w:val="subscript"/>
                                      </w:rPr>
                                    </m:ctrlPr>
                                  </m:sSubPr>
                                  <m:e>
                                    <m:r>
                                      <m:rPr>
                                        <m:sty m:val="p"/>
                                      </m:rPr>
                                      <w:rPr>
                                        <w:rFonts w:ascii="Cambria Math" w:hAnsi="Cambria Math"/>
                                        <w:highlight w:val="lightGray"/>
                                        <w:vertAlign w:val="subscript"/>
                                      </w:rPr>
                                      <m:t>L</m:t>
                                    </m:r>
                                  </m:e>
                                  <m:sub>
                                    <m:r>
                                      <w:rPr>
                                        <w:rFonts w:ascii="Cambria Math" w:hAnsi="Cambria Math"/>
                                        <w:highlight w:val="lightGray"/>
                                        <w:vertAlign w:val="subscript"/>
                                      </w:rPr>
                                      <m:t>CRB</m:t>
                                    </m:r>
                                  </m:sub>
                                </m:sSub>
                              </m:den>
                            </m:f>
                            <m:r>
                              <w:rPr>
                                <w:rFonts w:ascii="Cambria Math" w:hAnsi="Cambria Math"/>
                                <w:highlight w:val="lightGray"/>
                                <w:vertAlign w:val="subscript"/>
                              </w:rPr>
                              <m:t>,</m:t>
                            </m:r>
                            <m:ctrlPr>
                              <w:rPr>
                                <w:rFonts w:ascii="Cambria Math" w:eastAsia="Cambria Math" w:hAnsi="Cambria Math" w:cs="Cambria Math"/>
                                <w:i/>
                                <w:highlight w:val="lightGray"/>
                                <w:vertAlign w:val="subscript"/>
                              </w:rPr>
                            </m:ctrlPr>
                          </m:e>
                          <m:e>
                            <m:r>
                              <w:rPr>
                                <w:rFonts w:ascii="Cambria Math" w:hAnsi="Cambria Math"/>
                                <w:highlight w:val="lightGray"/>
                                <w:vertAlign w:val="subscript"/>
                              </w:rPr>
                              <m:t xml:space="preserve"> -55.1dBm</m:t>
                            </m:r>
                            <m:r>
                              <w:rPr>
                                <w:rFonts w:ascii="Cambria Math" w:hAnsi="Cambria Math"/>
                                <w:highlight w:val="lightGray"/>
                              </w:rPr>
                              <m:t>-</m:t>
                            </m:r>
                            <m:acc>
                              <m:accPr>
                                <m:chr m:val="̅"/>
                                <m:ctrlPr>
                                  <w:rPr>
                                    <w:rFonts w:ascii="Cambria Math" w:hAnsi="Cambria Math"/>
                                    <w:i/>
                                    <w:highlight w:val="lightGray"/>
                                  </w:rPr>
                                </m:ctrlPr>
                              </m:accPr>
                              <m:e>
                                <m:sSub>
                                  <m:sSubPr>
                                    <m:ctrlPr>
                                      <w:rPr>
                                        <w:rFonts w:ascii="Cambria Math" w:hAnsi="Cambria Math"/>
                                        <w:i/>
                                        <w:highlight w:val="lightGray"/>
                                      </w:rPr>
                                    </m:ctrlPr>
                                  </m:sSubPr>
                                  <m:e>
                                    <m:r>
                                      <w:rPr>
                                        <w:rFonts w:ascii="Cambria Math" w:hAnsi="Cambria Math"/>
                                        <w:highlight w:val="lightGray"/>
                                      </w:rPr>
                                      <m:t>P</m:t>
                                    </m:r>
                                  </m:e>
                                  <m:sub>
                                    <m:r>
                                      <w:rPr>
                                        <w:rFonts w:ascii="Cambria Math" w:hAnsi="Cambria Math"/>
                                        <w:highlight w:val="lightGray"/>
                                      </w:rPr>
                                      <m:t>RB</m:t>
                                    </m:r>
                                  </m:sub>
                                </m:sSub>
                              </m:e>
                            </m:acc>
                            <m:ctrlPr>
                              <w:rPr>
                                <w:rFonts w:ascii="Cambria Math" w:hAnsi="Cambria Math"/>
                                <w:i/>
                                <w:highlight w:val="lightGray"/>
                              </w:rPr>
                            </m:ctrlPr>
                          </m:e>
                        </m:eqArr>
                      </m:e>
                    </m:d>
                  </m:e>
                </m:func>
              </m:oMath>
            </m:oMathPara>
          </w:p>
          <w:p w14:paraId="52FE5302" w14:textId="77777777" w:rsidR="002854C6" w:rsidRPr="002854C6" w:rsidRDefault="002854C6" w:rsidP="00304FCA">
            <w:pPr>
              <w:pStyle w:val="TAC"/>
              <w:rPr>
                <w:highlight w:val="lightGray"/>
              </w:rPr>
            </w:pPr>
          </w:p>
        </w:tc>
        <w:tc>
          <w:tcPr>
            <w:tcW w:w="1905" w:type="dxa"/>
            <w:tcBorders>
              <w:top w:val="single" w:sz="4" w:space="0" w:color="auto"/>
              <w:left w:val="single" w:sz="4" w:space="0" w:color="auto"/>
              <w:bottom w:val="single" w:sz="4" w:space="0" w:color="auto"/>
              <w:right w:val="single" w:sz="4" w:space="0" w:color="auto"/>
            </w:tcBorders>
            <w:hideMark/>
          </w:tcPr>
          <w:p w14:paraId="01C357FC" w14:textId="77777777" w:rsidR="002854C6" w:rsidRPr="00C04A08" w:rsidRDefault="002854C6" w:rsidP="00304FCA">
            <w:pPr>
              <w:pStyle w:val="TAC"/>
            </w:pPr>
            <w:r w:rsidRPr="002854C6">
              <w:rPr>
                <w:highlight w:val="lightGray"/>
              </w:rPr>
              <w:t>Any non-</w:t>
            </w:r>
            <w:proofErr w:type="spellStart"/>
            <w:r w:rsidRPr="002854C6">
              <w:rPr>
                <w:highlight w:val="lightGray"/>
              </w:rPr>
              <w:t>allocated</w:t>
            </w:r>
            <w:proofErr w:type="spellEnd"/>
            <w:r w:rsidRPr="002854C6">
              <w:rPr>
                <w:highlight w:val="lightGray"/>
              </w:rPr>
              <w:t xml:space="preserve"> (NOTE 2)</w:t>
            </w:r>
          </w:p>
        </w:tc>
      </w:tr>
    </w:tbl>
    <w:p w14:paraId="1BF3DAFE" w14:textId="2F38D20B" w:rsidR="002854C6" w:rsidRDefault="002854C6" w:rsidP="001E06C2">
      <w:pPr>
        <w:ind w:left="720"/>
      </w:pPr>
    </w:p>
    <w:p w14:paraId="31DEAE0A" w14:textId="4469342E" w:rsidR="002854C6" w:rsidRDefault="002854C6" w:rsidP="001E06C2">
      <w:pPr>
        <w:ind w:left="720"/>
      </w:pPr>
      <w:r>
        <w:t xml:space="preserve">The term </w:t>
      </w:r>
      <m:oMath>
        <m:r>
          <w:rPr>
            <w:rFonts w:ascii="Cambria Math" w:hAnsi="Cambria Math"/>
            <w:vertAlign w:val="subscript"/>
          </w:rPr>
          <m:t>-55.1dBm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oMath>
      <w:r>
        <w:t xml:space="preserve"> defines an absolute value in terms of dB, thus it should be defined </w:t>
      </w:r>
      <w:r w:rsidR="008C796F">
        <w:t xml:space="preserve">in terms of the sum of emissions </w:t>
      </w:r>
      <w:r w:rsidR="008C796F">
        <w:rPr>
          <w:lang w:eastAsia="en-US"/>
        </w:rPr>
        <w:t>over both polarizations.</w:t>
      </w:r>
    </w:p>
    <w:p w14:paraId="481EAA9F" w14:textId="54CBD1D7" w:rsidR="008C796F" w:rsidRDefault="008C796F" w:rsidP="008C796F">
      <w:pPr>
        <w:rPr>
          <w:lang w:eastAsia="en-US"/>
        </w:rPr>
      </w:pPr>
      <w:r w:rsidRPr="00393777">
        <w:rPr>
          <w:b/>
          <w:lang w:eastAsia="en-US"/>
        </w:rPr>
        <w:t>Proposal 2:</w:t>
      </w:r>
      <w:r>
        <w:rPr>
          <w:lang w:eastAsia="en-US"/>
        </w:rPr>
        <w:t xml:space="preserve"> Update the IBE requirements for UL MIMO not be defined on a per layer basis, but in terms of the sum of emissions over both polarizations.</w:t>
      </w:r>
    </w:p>
    <w:p w14:paraId="2A3DF654" w14:textId="6C2CDF6D" w:rsidR="001644DF" w:rsidRPr="001E06C2" w:rsidRDefault="001644DF" w:rsidP="008C796F">
      <w:pPr>
        <w:rPr>
          <w:lang w:eastAsia="en-US"/>
        </w:rPr>
      </w:pPr>
      <w:r>
        <w:rPr>
          <w:lang w:eastAsia="en-US"/>
        </w:rPr>
        <w:t>A draft CR implementing the changes has been submitted in R4-21</w:t>
      </w:r>
      <w:r w:rsidR="006F57DE">
        <w:rPr>
          <w:lang w:eastAsia="en-US"/>
        </w:rPr>
        <w:t>12216</w:t>
      </w:r>
      <w:bookmarkStart w:id="16" w:name="_GoBack"/>
      <w:bookmarkEnd w:id="16"/>
      <w:r>
        <w:rPr>
          <w:lang w:eastAsia="en-US"/>
        </w:rPr>
        <w:t>.</w:t>
      </w:r>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1BF0E911" w14:textId="6359A8C7" w:rsidR="00824BF1" w:rsidRDefault="00EC5930" w:rsidP="00824BF1">
      <w:pPr>
        <w:rPr>
          <w:lang w:val="en-GB" w:eastAsia="en-US"/>
        </w:rPr>
      </w:pPr>
      <w:bookmarkStart w:id="17" w:name="_Ref473660868"/>
      <w:bookmarkStart w:id="18" w:name="_Ref473660708"/>
      <w:bookmarkStart w:id="19" w:name="OLE_LINK6"/>
      <w:bookmarkStart w:id="20" w:name="OLE_LINK7"/>
      <w:r>
        <w:rPr>
          <w:lang w:val="en-GB" w:eastAsia="en-US"/>
        </w:rPr>
        <w:t>The following proposals are made:</w:t>
      </w:r>
    </w:p>
    <w:p w14:paraId="4D914EB9" w14:textId="77777777" w:rsidR="008C796F" w:rsidRPr="006504F4" w:rsidRDefault="008C796F" w:rsidP="008C796F">
      <w:r w:rsidRPr="006504F4">
        <w:rPr>
          <w:b/>
        </w:rPr>
        <w:t xml:space="preserve">Proposal 1: </w:t>
      </w:r>
      <w:r>
        <w:t>Add clarification that the transmit modulation requirements</w:t>
      </w:r>
      <w:r w:rsidRPr="006504F4">
        <w:t xml:space="preserve"> </w:t>
      </w:r>
      <w:r>
        <w:t>are defined as directional requirements in the Tx beam peak direction.</w:t>
      </w:r>
    </w:p>
    <w:p w14:paraId="5D810C15" w14:textId="77777777" w:rsidR="008C796F" w:rsidRPr="007C2DB0" w:rsidRDefault="008C796F" w:rsidP="008C796F">
      <w:pPr>
        <w:rPr>
          <w:lang w:eastAsia="en-US"/>
        </w:rPr>
      </w:pPr>
      <w:r w:rsidRPr="00393777">
        <w:rPr>
          <w:b/>
          <w:lang w:eastAsia="en-US"/>
        </w:rPr>
        <w:t>Proposal 2:</w:t>
      </w:r>
      <w:r>
        <w:rPr>
          <w:lang w:eastAsia="en-US"/>
        </w:rPr>
        <w:t xml:space="preserve"> Update the IBE requirements for UL MIMO not be defined on a per layer basis, but in terms of the sum of emissions over both polarizations.</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17"/>
    <w:bookmarkEnd w:id="18"/>
    <w:bookmarkEnd w:id="19"/>
    <w:bookmarkEnd w:id="20"/>
    <w:p w14:paraId="29640C72" w14:textId="4D3FD2C8" w:rsidR="002B2CF7" w:rsidRPr="002B2CF7" w:rsidRDefault="002B2CF7" w:rsidP="0044431B">
      <w:pPr>
        <w:pStyle w:val="Listenabsatz"/>
        <w:numPr>
          <w:ilvl w:val="0"/>
          <w:numId w:val="4"/>
        </w:numPr>
        <w:spacing w:after="0"/>
        <w:rPr>
          <w:rFonts w:cstheme="minorHAnsi"/>
          <w:lang w:val="en-GB"/>
        </w:rPr>
      </w:pPr>
      <w:r w:rsidRPr="002B2CF7">
        <w:rPr>
          <w:rFonts w:cstheme="minorHAnsi"/>
          <w:lang w:val="en-GB"/>
        </w:rPr>
        <w:t>R4-2</w:t>
      </w:r>
      <w:r w:rsidR="00945F85">
        <w:rPr>
          <w:rFonts w:cstheme="minorHAnsi"/>
          <w:lang w:val="en-GB"/>
        </w:rPr>
        <w:t>108875</w:t>
      </w:r>
      <w:r w:rsidRPr="002B2CF7">
        <w:rPr>
          <w:rFonts w:cstheme="minorHAnsi"/>
          <w:lang w:val="en-GB"/>
        </w:rPr>
        <w:t>, ‘</w:t>
      </w:r>
      <w:r w:rsidR="00945F85" w:rsidRPr="00945F85">
        <w:rPr>
          <w:rFonts w:cstheme="minorHAnsi"/>
          <w:lang w:val="en-GB"/>
        </w:rPr>
        <w:t>Update of FR2 UL MIMO transmit signal quality requirements</w:t>
      </w:r>
      <w:r w:rsidRPr="002B2CF7">
        <w:rPr>
          <w:rFonts w:cstheme="minorHAnsi"/>
          <w:lang w:val="en-GB"/>
        </w:rPr>
        <w:t xml:space="preserve">’, </w:t>
      </w:r>
      <w:r w:rsidR="00945F85">
        <w:rPr>
          <w:rFonts w:cstheme="minorHAnsi"/>
          <w:lang w:val="en-GB"/>
        </w:rPr>
        <w:t>Rohde &amp; Schwarz</w:t>
      </w:r>
      <w:r w:rsidRPr="002B2CF7">
        <w:rPr>
          <w:rFonts w:cstheme="minorHAnsi"/>
          <w:lang w:val="en-GB"/>
        </w:rPr>
        <w:t>, RAN4#9</w:t>
      </w:r>
      <w:r w:rsidR="00945F85">
        <w:rPr>
          <w:rFonts w:cstheme="minorHAnsi"/>
          <w:lang w:val="en-GB"/>
        </w:rPr>
        <w:t>9</w:t>
      </w:r>
      <w:r w:rsidRPr="002B2CF7">
        <w:rPr>
          <w:rFonts w:cstheme="minorHAnsi"/>
          <w:lang w:val="en-GB"/>
        </w:rPr>
        <w:t xml:space="preserve">-e, </w:t>
      </w:r>
      <w:r w:rsidR="00945F85">
        <w:rPr>
          <w:rFonts w:cstheme="minorHAnsi"/>
          <w:lang w:val="en-GB"/>
        </w:rPr>
        <w:t>May</w:t>
      </w:r>
      <w:r w:rsidRPr="002B2CF7">
        <w:rPr>
          <w:rFonts w:cstheme="minorHAnsi"/>
          <w:lang w:val="en-GB"/>
        </w:rPr>
        <w:t xml:space="preserve"> 202</w:t>
      </w:r>
      <w:r w:rsidR="00945F85">
        <w:rPr>
          <w:rFonts w:cstheme="minorHAnsi"/>
          <w:lang w:val="en-GB"/>
        </w:rPr>
        <w:t>1</w:t>
      </w:r>
    </w:p>
    <w:p w14:paraId="7CCA5900" w14:textId="1B6A2CF7" w:rsidR="002B2CF7" w:rsidRDefault="002B2CF7" w:rsidP="0044431B">
      <w:pPr>
        <w:pStyle w:val="11BodyText"/>
        <w:numPr>
          <w:ilvl w:val="0"/>
          <w:numId w:val="4"/>
        </w:numPr>
        <w:tabs>
          <w:tab w:val="left" w:pos="1080"/>
        </w:tabs>
        <w:overflowPunct w:val="0"/>
        <w:autoSpaceDE w:val="0"/>
        <w:autoSpaceDN w:val="0"/>
        <w:adjustRightInd w:val="0"/>
        <w:spacing w:after="0"/>
        <w:rPr>
          <w:rFonts w:asciiTheme="minorHAnsi" w:hAnsiTheme="minorHAnsi" w:cstheme="minorHAnsi"/>
          <w:bCs/>
        </w:rPr>
      </w:pPr>
      <w:r w:rsidRPr="002B2CF7">
        <w:rPr>
          <w:rFonts w:asciiTheme="minorHAnsi" w:hAnsiTheme="minorHAnsi" w:cstheme="minorHAnsi"/>
          <w:bCs/>
        </w:rPr>
        <w:t>R4-210</w:t>
      </w:r>
      <w:r w:rsidR="00080263">
        <w:rPr>
          <w:rFonts w:asciiTheme="minorHAnsi" w:hAnsiTheme="minorHAnsi" w:cstheme="minorHAnsi"/>
          <w:bCs/>
        </w:rPr>
        <w:t>7912</w:t>
      </w:r>
      <w:r w:rsidRPr="002B2CF7">
        <w:rPr>
          <w:rFonts w:asciiTheme="minorHAnsi" w:hAnsiTheme="minorHAnsi" w:cstheme="minorHAnsi"/>
          <w:bCs/>
        </w:rPr>
        <w:t>, ‘</w:t>
      </w:r>
      <w:r w:rsidR="00080263" w:rsidRPr="00080263">
        <w:rPr>
          <w:rFonts w:asciiTheme="minorHAnsi" w:hAnsiTheme="minorHAnsi" w:cstheme="minorHAnsi"/>
          <w:bCs/>
        </w:rPr>
        <w:t>Email discussion summary for [99-</w:t>
      </w:r>
      <w:proofErr w:type="gramStart"/>
      <w:r w:rsidR="00080263" w:rsidRPr="00080263">
        <w:rPr>
          <w:rFonts w:asciiTheme="minorHAnsi" w:hAnsiTheme="minorHAnsi" w:cstheme="minorHAnsi"/>
          <w:bCs/>
        </w:rPr>
        <w:t>e][</w:t>
      </w:r>
      <w:proofErr w:type="gramEnd"/>
      <w:r w:rsidR="00080263" w:rsidRPr="00080263">
        <w:rPr>
          <w:rFonts w:asciiTheme="minorHAnsi" w:hAnsiTheme="minorHAnsi" w:cstheme="minorHAnsi"/>
          <w:bCs/>
        </w:rPr>
        <w:t>102] NR_NewRAT_UE_RF_R15</w:t>
      </w:r>
      <w:r w:rsidRPr="002B2CF7">
        <w:rPr>
          <w:rFonts w:asciiTheme="minorHAnsi" w:hAnsiTheme="minorHAnsi" w:cstheme="minorHAnsi"/>
          <w:bCs/>
        </w:rPr>
        <w:t xml:space="preserve">’, </w:t>
      </w:r>
      <w:r w:rsidR="00080263">
        <w:rPr>
          <w:rFonts w:asciiTheme="minorHAnsi" w:hAnsiTheme="minorHAnsi" w:cstheme="minorHAnsi"/>
          <w:bCs/>
        </w:rPr>
        <w:t>Nokia</w:t>
      </w:r>
      <w:r w:rsidRPr="002B2CF7">
        <w:rPr>
          <w:rFonts w:asciiTheme="minorHAnsi" w:hAnsiTheme="minorHAnsi" w:cstheme="minorHAnsi"/>
          <w:bCs/>
        </w:rPr>
        <w:t>, RAN4#9</w:t>
      </w:r>
      <w:r w:rsidR="000807E9">
        <w:rPr>
          <w:rFonts w:asciiTheme="minorHAnsi" w:hAnsiTheme="minorHAnsi" w:cstheme="minorHAnsi"/>
          <w:bCs/>
        </w:rPr>
        <w:t>9</w:t>
      </w:r>
      <w:r w:rsidRPr="002B2CF7">
        <w:rPr>
          <w:rFonts w:asciiTheme="minorHAnsi" w:hAnsiTheme="minorHAnsi" w:cstheme="minorHAnsi"/>
          <w:bCs/>
        </w:rPr>
        <w:t xml:space="preserve">-e, </w:t>
      </w:r>
      <w:r w:rsidR="000807E9">
        <w:rPr>
          <w:rFonts w:asciiTheme="minorHAnsi" w:hAnsiTheme="minorHAnsi" w:cstheme="minorHAnsi"/>
          <w:bCs/>
        </w:rPr>
        <w:t>May</w:t>
      </w:r>
      <w:r w:rsidRPr="002B2CF7">
        <w:rPr>
          <w:rFonts w:asciiTheme="minorHAnsi" w:hAnsiTheme="minorHAnsi" w:cstheme="minorHAnsi"/>
          <w:bCs/>
        </w:rPr>
        <w:t xml:space="preserve"> 2021</w:t>
      </w:r>
    </w:p>
    <w:p w14:paraId="1C1B9EE4" w14:textId="2F4042A0" w:rsidR="00847261" w:rsidRPr="006F57DE" w:rsidRDefault="006504F4" w:rsidP="006F57DE">
      <w:pPr>
        <w:pStyle w:val="11BodyText"/>
        <w:numPr>
          <w:ilvl w:val="0"/>
          <w:numId w:val="4"/>
        </w:numPr>
        <w:tabs>
          <w:tab w:val="left" w:pos="1080"/>
        </w:tabs>
        <w:overflowPunct w:val="0"/>
        <w:autoSpaceDE w:val="0"/>
        <w:autoSpaceDN w:val="0"/>
        <w:adjustRightInd w:val="0"/>
        <w:spacing w:after="0"/>
        <w:rPr>
          <w:rFonts w:asciiTheme="minorHAnsi" w:hAnsiTheme="minorHAnsi" w:cstheme="minorHAnsi"/>
          <w:bCs/>
        </w:rPr>
      </w:pPr>
      <w:r>
        <w:rPr>
          <w:rFonts w:asciiTheme="minorHAnsi" w:hAnsiTheme="minorHAnsi" w:cstheme="minorHAnsi"/>
          <w:bCs/>
        </w:rPr>
        <w:lastRenderedPageBreak/>
        <w:t>3GPP TS 38.101-2</w:t>
      </w:r>
    </w:p>
    <w:sectPr w:rsidR="00847261" w:rsidRPr="006F57DE"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2D18F" w14:textId="77777777" w:rsidR="001551BB" w:rsidRDefault="001551BB" w:rsidP="00371D7D">
      <w:r>
        <w:separator/>
      </w:r>
    </w:p>
  </w:endnote>
  <w:endnote w:type="continuationSeparator" w:id="0">
    <w:p w14:paraId="0F59F8FD" w14:textId="77777777" w:rsidR="001551BB" w:rsidRDefault="001551B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764940" w:rsidRDefault="007649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64940" w:rsidRPr="000E7B1E" w:rsidRDefault="0076494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764940" w:rsidRDefault="00764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7722B" w14:textId="77777777" w:rsidR="001551BB" w:rsidRDefault="001551BB" w:rsidP="00371D7D">
      <w:r>
        <w:separator/>
      </w:r>
    </w:p>
  </w:footnote>
  <w:footnote w:type="continuationSeparator" w:id="0">
    <w:p w14:paraId="082E2DC6" w14:textId="77777777" w:rsidR="001551BB" w:rsidRDefault="001551BB"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764940" w:rsidRDefault="007649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764940" w:rsidRDefault="007649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764940" w:rsidRDefault="007649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0BE4A9F8"/>
    <w:lvl w:ilvl="0" w:tplc="32BEED84">
      <w:start w:val="1"/>
      <w:numFmt w:val="decimal"/>
      <w:lvlText w:val="[%1]"/>
      <w:lvlJc w:val="left"/>
      <w:pPr>
        <w:ind w:left="360" w:hanging="360"/>
      </w:pPr>
      <w:rPr>
        <w:rFonts w:hint="default"/>
        <w:lang w:val="en-G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B835C67"/>
    <w:multiLevelType w:val="hybridMultilevel"/>
    <w:tmpl w:val="9AE0299A"/>
    <w:lvl w:ilvl="0" w:tplc="40123E82">
      <w:start w:val="1"/>
      <w:numFmt w:val="decimal"/>
      <w:lvlText w:val="%1."/>
      <w:lvlJc w:val="left"/>
      <w:pPr>
        <w:ind w:left="720" w:hanging="360"/>
      </w:pPr>
      <w:rPr>
        <w:rFonts w:ascii="Arial" w:hAnsi="Arial" w:hint="default"/>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078E"/>
    <w:rsid w:val="0006221F"/>
    <w:rsid w:val="00063C4D"/>
    <w:rsid w:val="000652BE"/>
    <w:rsid w:val="0006555A"/>
    <w:rsid w:val="00072CF5"/>
    <w:rsid w:val="00075135"/>
    <w:rsid w:val="000762B7"/>
    <w:rsid w:val="00076F79"/>
    <w:rsid w:val="00080263"/>
    <w:rsid w:val="000807E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61"/>
    <w:rsid w:val="000D0E8E"/>
    <w:rsid w:val="000D0EAF"/>
    <w:rsid w:val="000D347D"/>
    <w:rsid w:val="000D68AB"/>
    <w:rsid w:val="000D79F1"/>
    <w:rsid w:val="000E00AB"/>
    <w:rsid w:val="000E26EF"/>
    <w:rsid w:val="000E75B0"/>
    <w:rsid w:val="000E7B1E"/>
    <w:rsid w:val="000F2169"/>
    <w:rsid w:val="00100D39"/>
    <w:rsid w:val="00103750"/>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1BB"/>
    <w:rsid w:val="001553DE"/>
    <w:rsid w:val="0015692F"/>
    <w:rsid w:val="0016379A"/>
    <w:rsid w:val="00164040"/>
    <w:rsid w:val="001644DF"/>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6C2"/>
    <w:rsid w:val="001E0A0B"/>
    <w:rsid w:val="001E190C"/>
    <w:rsid w:val="001E23B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54C6"/>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2CF7"/>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1E2C"/>
    <w:rsid w:val="0031299F"/>
    <w:rsid w:val="00315F9F"/>
    <w:rsid w:val="00316376"/>
    <w:rsid w:val="00316F3F"/>
    <w:rsid w:val="003200D8"/>
    <w:rsid w:val="003226CF"/>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93777"/>
    <w:rsid w:val="003A16D1"/>
    <w:rsid w:val="003A1A60"/>
    <w:rsid w:val="003A1D27"/>
    <w:rsid w:val="003A3C09"/>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2B9"/>
    <w:rsid w:val="003E2565"/>
    <w:rsid w:val="003E5779"/>
    <w:rsid w:val="003E7836"/>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2F59"/>
    <w:rsid w:val="0044431B"/>
    <w:rsid w:val="00445FD4"/>
    <w:rsid w:val="00446661"/>
    <w:rsid w:val="00451093"/>
    <w:rsid w:val="00452D55"/>
    <w:rsid w:val="00455988"/>
    <w:rsid w:val="00457EE8"/>
    <w:rsid w:val="00460804"/>
    <w:rsid w:val="004614C5"/>
    <w:rsid w:val="0046181B"/>
    <w:rsid w:val="0046280F"/>
    <w:rsid w:val="004641CE"/>
    <w:rsid w:val="00465DA7"/>
    <w:rsid w:val="0046670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337"/>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57EFB"/>
    <w:rsid w:val="00564786"/>
    <w:rsid w:val="00564BF0"/>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B46E8"/>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04F4"/>
    <w:rsid w:val="00654178"/>
    <w:rsid w:val="006554F2"/>
    <w:rsid w:val="0066196E"/>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D636C"/>
    <w:rsid w:val="006E1A7C"/>
    <w:rsid w:val="006E1D64"/>
    <w:rsid w:val="006E4F64"/>
    <w:rsid w:val="006E5BCE"/>
    <w:rsid w:val="006E6577"/>
    <w:rsid w:val="006E7C54"/>
    <w:rsid w:val="006F178B"/>
    <w:rsid w:val="006F1D3A"/>
    <w:rsid w:val="006F2C16"/>
    <w:rsid w:val="006F4D66"/>
    <w:rsid w:val="006F563A"/>
    <w:rsid w:val="006F57DE"/>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5987"/>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1330"/>
    <w:rsid w:val="007927C1"/>
    <w:rsid w:val="00793178"/>
    <w:rsid w:val="00793EA4"/>
    <w:rsid w:val="007944C3"/>
    <w:rsid w:val="00797969"/>
    <w:rsid w:val="007A422E"/>
    <w:rsid w:val="007A68E2"/>
    <w:rsid w:val="007A7270"/>
    <w:rsid w:val="007B0569"/>
    <w:rsid w:val="007B1E81"/>
    <w:rsid w:val="007B2BB0"/>
    <w:rsid w:val="007B36E6"/>
    <w:rsid w:val="007B49AC"/>
    <w:rsid w:val="007B6733"/>
    <w:rsid w:val="007B6ADB"/>
    <w:rsid w:val="007C0E2A"/>
    <w:rsid w:val="007C221F"/>
    <w:rsid w:val="007C2DB0"/>
    <w:rsid w:val="007C6CC6"/>
    <w:rsid w:val="007C7077"/>
    <w:rsid w:val="007C7AEC"/>
    <w:rsid w:val="007D15F5"/>
    <w:rsid w:val="007D24CC"/>
    <w:rsid w:val="007D35D4"/>
    <w:rsid w:val="007D4BD9"/>
    <w:rsid w:val="007D56E4"/>
    <w:rsid w:val="007D632A"/>
    <w:rsid w:val="007E144D"/>
    <w:rsid w:val="007E1A21"/>
    <w:rsid w:val="007E29DD"/>
    <w:rsid w:val="007E3C20"/>
    <w:rsid w:val="007E47C9"/>
    <w:rsid w:val="007E542F"/>
    <w:rsid w:val="007E5C6B"/>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54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CCD"/>
    <w:rsid w:val="008A4F4D"/>
    <w:rsid w:val="008A5259"/>
    <w:rsid w:val="008A581D"/>
    <w:rsid w:val="008A585A"/>
    <w:rsid w:val="008B0514"/>
    <w:rsid w:val="008B12D0"/>
    <w:rsid w:val="008B3E44"/>
    <w:rsid w:val="008B4257"/>
    <w:rsid w:val="008B563F"/>
    <w:rsid w:val="008B7827"/>
    <w:rsid w:val="008B7853"/>
    <w:rsid w:val="008C2395"/>
    <w:rsid w:val="008C291E"/>
    <w:rsid w:val="008C2C73"/>
    <w:rsid w:val="008C43E0"/>
    <w:rsid w:val="008C77C6"/>
    <w:rsid w:val="008C796F"/>
    <w:rsid w:val="008D0A86"/>
    <w:rsid w:val="008D2D94"/>
    <w:rsid w:val="008D49FB"/>
    <w:rsid w:val="008D552A"/>
    <w:rsid w:val="008D6EF1"/>
    <w:rsid w:val="008D7189"/>
    <w:rsid w:val="008D797C"/>
    <w:rsid w:val="008D7BA0"/>
    <w:rsid w:val="008E0FC4"/>
    <w:rsid w:val="008E1A2B"/>
    <w:rsid w:val="008E29D3"/>
    <w:rsid w:val="008E5CC2"/>
    <w:rsid w:val="008E69D5"/>
    <w:rsid w:val="008E790D"/>
    <w:rsid w:val="008F28BE"/>
    <w:rsid w:val="008F3E4A"/>
    <w:rsid w:val="008F4F09"/>
    <w:rsid w:val="008F55AA"/>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5F85"/>
    <w:rsid w:val="00946920"/>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3408"/>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2D89"/>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143E"/>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6AF6"/>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579B"/>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77363"/>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930"/>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1B24"/>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6B29"/>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3702"/>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C796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11BodyText">
    <w:name w:val="11 BodyText"/>
    <w:basedOn w:val="Standard"/>
    <w:rsid w:val="002B2CF7"/>
    <w:pPr>
      <w:spacing w:after="220" w:line="240" w:lineRule="auto"/>
      <w:ind w:left="1298"/>
    </w:pPr>
    <w:rPr>
      <w:rFonts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DC1DD-4955-4387-9478-AC9B9016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Words>
  <Characters>3538</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16</cp:revision>
  <cp:lastPrinted>2018-08-10T06:24:00Z</cp:lastPrinted>
  <dcterms:created xsi:type="dcterms:W3CDTF">2021-05-05T11:45:00Z</dcterms:created>
  <dcterms:modified xsi:type="dcterms:W3CDTF">2021-08-05T12:22:00Z</dcterms:modified>
  <cp:category/>
</cp:coreProperties>
</file>