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2B9DF807"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5B0319">
        <w:rPr>
          <w:b/>
          <w:noProof/>
          <w:sz w:val="24"/>
        </w:rPr>
        <w:t>100</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2E5F8E">
        <w:rPr>
          <w:b/>
          <w:noProof/>
          <w:sz w:val="24"/>
        </w:rPr>
        <w:t>1902</w:t>
      </w:r>
    </w:p>
    <w:p w14:paraId="5379D604" w14:textId="64721DAF"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5B0319">
        <w:rPr>
          <w:rFonts w:ascii="Arial" w:hAnsi="Arial" w:cs="Arial"/>
          <w:b/>
          <w:sz w:val="24"/>
        </w:rPr>
        <w:t>August</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11A2A0BC"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A183C" w:rsidRPr="00EA183C">
        <w:rPr>
          <w:rFonts w:ascii="Arial" w:hAnsi="Arial" w:cs="Arial"/>
          <w:b/>
        </w:rPr>
        <w:t>Comparison of TSQ measurement methods for TE with dual pol Rx</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71D78CF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71477">
        <w:rPr>
          <w:rFonts w:ascii="Arial" w:hAnsi="Arial" w:cs="Arial"/>
          <w:b/>
        </w:rPr>
        <w:t>10</w:t>
      </w:r>
      <w:r w:rsidR="00593E1F">
        <w:rPr>
          <w:rFonts w:ascii="Arial" w:hAnsi="Arial" w:cs="Arial"/>
          <w:b/>
        </w:rPr>
        <w:t>.</w:t>
      </w:r>
      <w:r w:rsidR="00074C38">
        <w:rPr>
          <w:rFonts w:ascii="Arial" w:hAnsi="Arial" w:cs="Arial"/>
          <w:b/>
        </w:rPr>
        <w:t>1.</w:t>
      </w:r>
      <w:r w:rsidR="00DB6B87">
        <w:rPr>
          <w:rFonts w:ascii="Arial" w:hAnsi="Arial" w:cs="Arial"/>
          <w:b/>
        </w:rPr>
        <w:t>3</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77777777"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80109A" w:rsidRPr="0080109A">
        <w:rPr>
          <w:rFonts w:ascii="Arial" w:hAnsi="Arial" w:cs="Arial"/>
          <w:b/>
        </w:rPr>
        <w:t>FS_FR2_enhTestMethods</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0BE92A32"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p>
    <w:p w14:paraId="5BDE04A3" w14:textId="77777777" w:rsidR="0045428D" w:rsidRDefault="000A567D" w:rsidP="002A1C01">
      <w:pPr>
        <w:pStyle w:val="Heading1"/>
      </w:pPr>
      <w:r>
        <w:t>1.</w:t>
      </w:r>
      <w:r>
        <w:tab/>
      </w:r>
      <w:r w:rsidR="002A1C01">
        <w:t>Introduction</w:t>
      </w:r>
    </w:p>
    <w:p w14:paraId="6F64D7D3" w14:textId="05C11030" w:rsidR="002B2323" w:rsidRPr="002E2724" w:rsidRDefault="00F412D9" w:rsidP="002B2323">
      <w:pPr>
        <w:rPr>
          <w:rFonts w:ascii="Calibri" w:hAnsi="Calibri" w:cs="Calibri"/>
        </w:rPr>
      </w:pPr>
      <w:r>
        <w:rPr>
          <w:rFonts w:ascii="Calibri" w:hAnsi="Calibri" w:cs="Calibri"/>
        </w:rPr>
        <w:t xml:space="preserve">A </w:t>
      </w:r>
      <w:r w:rsidR="00D660A6">
        <w:rPr>
          <w:rFonts w:ascii="Calibri" w:hAnsi="Calibri" w:cs="Calibri"/>
        </w:rPr>
        <w:t xml:space="preserve">previous </w:t>
      </w:r>
      <w:r>
        <w:rPr>
          <w:rFonts w:ascii="Calibri" w:hAnsi="Calibri" w:cs="Calibri"/>
        </w:rPr>
        <w:t>WF</w:t>
      </w:r>
      <w:r w:rsidR="001314AE">
        <w:rPr>
          <w:rFonts w:ascii="Calibri" w:hAnsi="Calibri" w:cs="Calibri"/>
        </w:rPr>
        <w:t xml:space="preserve"> [1]</w:t>
      </w:r>
      <w:r>
        <w:rPr>
          <w:rFonts w:ascii="Calibri" w:hAnsi="Calibri" w:cs="Calibri"/>
        </w:rPr>
        <w:t xml:space="preserve"> </w:t>
      </w:r>
      <w:r w:rsidR="00D660A6">
        <w:rPr>
          <w:rFonts w:ascii="Calibri" w:hAnsi="Calibri" w:cs="Calibri"/>
        </w:rPr>
        <w:t>identified</w:t>
      </w:r>
      <w:r>
        <w:rPr>
          <w:rFonts w:ascii="Calibri" w:hAnsi="Calibri" w:cs="Calibri"/>
        </w:rPr>
        <w:t xml:space="preserve"> the criteria to evaluate </w:t>
      </w:r>
      <w:r w:rsidR="00921940">
        <w:rPr>
          <w:rFonts w:ascii="Calibri" w:hAnsi="Calibri" w:cs="Calibri"/>
        </w:rPr>
        <w:t>the methods to calculate EVM</w:t>
      </w:r>
      <w:r w:rsidR="00A73F07">
        <w:rPr>
          <w:rFonts w:ascii="Calibri" w:hAnsi="Calibri" w:cs="Calibri"/>
        </w:rPr>
        <w:t>.</w:t>
      </w:r>
      <w:r w:rsidR="00190FD2">
        <w:rPr>
          <w:rFonts w:ascii="Calibri" w:hAnsi="Calibri" w:cs="Calibri"/>
        </w:rPr>
        <w:t xml:space="preserve"> </w:t>
      </w:r>
      <w:r w:rsidR="00D17A5C">
        <w:rPr>
          <w:rFonts w:ascii="Calibri" w:hAnsi="Calibri" w:cs="Calibri"/>
        </w:rPr>
        <w:t xml:space="preserve">Two methods </w:t>
      </w:r>
      <w:r w:rsidR="0039343A">
        <w:rPr>
          <w:rFonts w:ascii="Calibri" w:hAnsi="Calibri" w:cs="Calibri"/>
        </w:rPr>
        <w:t xml:space="preserve">based on the dual receiver architecture </w:t>
      </w:r>
      <w:r w:rsidR="00D660A6">
        <w:rPr>
          <w:rFonts w:ascii="Calibri" w:hAnsi="Calibri" w:cs="Calibri"/>
        </w:rPr>
        <w:t>have been</w:t>
      </w:r>
      <w:r w:rsidR="00D17A5C">
        <w:rPr>
          <w:rFonts w:ascii="Calibri" w:hAnsi="Calibri" w:cs="Calibri"/>
        </w:rPr>
        <w:t xml:space="preserve"> proposed </w:t>
      </w:r>
      <w:r w:rsidR="00871D02">
        <w:rPr>
          <w:rFonts w:ascii="Calibri" w:hAnsi="Calibri" w:cs="Calibri"/>
        </w:rPr>
        <w:t>thus far</w:t>
      </w:r>
      <w:r w:rsidR="00196045">
        <w:rPr>
          <w:rFonts w:ascii="Calibri" w:hAnsi="Calibri" w:cs="Calibri"/>
        </w:rPr>
        <w:t xml:space="preserve"> </w:t>
      </w:r>
      <w:r w:rsidR="00871D02">
        <w:rPr>
          <w:rFonts w:ascii="Calibri" w:hAnsi="Calibri" w:cs="Calibri"/>
        </w:rPr>
        <w:t>and were captured in a previous contribution [2</w:t>
      </w:r>
      <w:r w:rsidR="00196045">
        <w:rPr>
          <w:rFonts w:ascii="Calibri" w:hAnsi="Calibri" w:cs="Calibri"/>
        </w:rPr>
        <w:t>]</w:t>
      </w:r>
      <w:r w:rsidR="00190FD2">
        <w:rPr>
          <w:rFonts w:ascii="Calibri" w:hAnsi="Calibri" w:cs="Calibri"/>
        </w:rPr>
        <w:t xml:space="preserve">. In this contribution we </w:t>
      </w:r>
      <w:r w:rsidR="00196045">
        <w:rPr>
          <w:rFonts w:ascii="Calibri" w:hAnsi="Calibri" w:cs="Calibri"/>
        </w:rPr>
        <w:t xml:space="preserve">compare EVM </w:t>
      </w:r>
      <w:r w:rsidR="00B67F5C">
        <w:rPr>
          <w:rFonts w:ascii="Calibri" w:hAnsi="Calibri" w:cs="Calibri"/>
        </w:rPr>
        <w:t>calculation accuracy for the two methods</w:t>
      </w:r>
      <w:r w:rsidR="00190FD2">
        <w:rPr>
          <w:rFonts w:ascii="Calibri" w:hAnsi="Calibri" w:cs="Calibri"/>
        </w:rPr>
        <w:t>.</w:t>
      </w:r>
      <w:r w:rsidR="00CB2755">
        <w:rPr>
          <w:rFonts w:ascii="Calibri" w:hAnsi="Calibri" w:cs="Calibri"/>
        </w:rPr>
        <w:t xml:space="preserve"> </w:t>
      </w:r>
    </w:p>
    <w:p w14:paraId="0AB8A81A" w14:textId="77777777" w:rsidR="004E0CD1" w:rsidRDefault="000A567D" w:rsidP="004E0CD1">
      <w:pPr>
        <w:pStyle w:val="Heading1"/>
      </w:pPr>
      <w:r>
        <w:t xml:space="preserve">2. </w:t>
      </w:r>
      <w:r>
        <w:tab/>
      </w:r>
      <w:r w:rsidR="002A1C01">
        <w:t>Discussion</w:t>
      </w:r>
    </w:p>
    <w:p w14:paraId="4F90D044" w14:textId="3CD2C43F" w:rsidR="007C56A9" w:rsidRDefault="0095149E" w:rsidP="002E3654">
      <w:pPr>
        <w:rPr>
          <w:rFonts w:ascii="Calibri" w:hAnsi="Calibri" w:cs="Calibri"/>
        </w:rPr>
      </w:pPr>
      <w:r>
        <w:rPr>
          <w:rFonts w:ascii="Calibri" w:hAnsi="Calibri" w:cs="Calibri"/>
        </w:rPr>
        <w:t xml:space="preserve">Two </w:t>
      </w:r>
      <w:r w:rsidR="00216FF9">
        <w:rPr>
          <w:rFonts w:ascii="Calibri" w:hAnsi="Calibri" w:cs="Calibri"/>
        </w:rPr>
        <w:t xml:space="preserve">demodulation </w:t>
      </w:r>
      <w:r>
        <w:rPr>
          <w:rFonts w:ascii="Calibri" w:hAnsi="Calibri" w:cs="Calibri"/>
        </w:rPr>
        <w:t xml:space="preserve">schemes were proposed in </w:t>
      </w:r>
      <w:r w:rsidR="00216FF9">
        <w:rPr>
          <w:rFonts w:ascii="Calibri" w:hAnsi="Calibri" w:cs="Calibri"/>
        </w:rPr>
        <w:t>RAN</w:t>
      </w:r>
      <w:r w:rsidR="003C2BA0">
        <w:rPr>
          <w:rFonts w:ascii="Calibri" w:hAnsi="Calibri" w:cs="Calibri"/>
        </w:rPr>
        <w:t>4</w:t>
      </w:r>
      <w:r w:rsidR="00216FF9">
        <w:rPr>
          <w:rFonts w:ascii="Calibri" w:hAnsi="Calibri" w:cs="Calibri"/>
        </w:rPr>
        <w:t>#98-Bis-e</w:t>
      </w:r>
      <w:r w:rsidR="00621611">
        <w:rPr>
          <w:rFonts w:ascii="Calibri" w:hAnsi="Calibri" w:cs="Calibri"/>
        </w:rPr>
        <w:t xml:space="preserve">, as captured in a previous </w:t>
      </w:r>
      <w:r w:rsidR="007C56A9">
        <w:rPr>
          <w:rFonts w:ascii="Calibri" w:hAnsi="Calibri" w:cs="Calibri"/>
        </w:rPr>
        <w:t>contribution [2]</w:t>
      </w:r>
      <w:r w:rsidR="00216FF9">
        <w:rPr>
          <w:rFonts w:ascii="Calibri" w:hAnsi="Calibri" w:cs="Calibri"/>
        </w:rPr>
        <w:t xml:space="preserve">. </w:t>
      </w:r>
      <w:r w:rsidR="007350C7">
        <w:rPr>
          <w:rFonts w:ascii="Calibri" w:hAnsi="Calibri" w:cs="Calibri"/>
        </w:rPr>
        <w:t>In this contribution, the focus of study is t</w:t>
      </w:r>
      <w:r w:rsidR="00B437CD">
        <w:rPr>
          <w:rFonts w:ascii="Calibri" w:hAnsi="Calibri" w:cs="Calibri"/>
        </w:rPr>
        <w:t xml:space="preserve">he primary </w:t>
      </w:r>
      <w:r w:rsidR="0064339E">
        <w:rPr>
          <w:rFonts w:ascii="Calibri" w:hAnsi="Calibri" w:cs="Calibri"/>
        </w:rPr>
        <w:t>metric:</w:t>
      </w:r>
      <w:r w:rsidR="00EB4C7A">
        <w:rPr>
          <w:rFonts w:ascii="Calibri" w:hAnsi="Calibri" w:cs="Calibri"/>
        </w:rPr>
        <w:t xml:space="preserve"> </w:t>
      </w:r>
      <w:r w:rsidR="0054441A">
        <w:rPr>
          <w:rFonts w:ascii="Calibri" w:hAnsi="Calibri" w:cs="Calibri"/>
        </w:rPr>
        <w:t>EVM</w:t>
      </w:r>
      <w:r w:rsidR="00146172">
        <w:rPr>
          <w:rFonts w:ascii="Calibri" w:hAnsi="Calibri" w:cs="Calibri"/>
        </w:rPr>
        <w:t xml:space="preserve"> calcula</w:t>
      </w:r>
      <w:r w:rsidR="00340A5F">
        <w:rPr>
          <w:rFonts w:ascii="Calibri" w:hAnsi="Calibri" w:cs="Calibri"/>
        </w:rPr>
        <w:t>tion accuracy</w:t>
      </w:r>
      <w:r w:rsidR="006D5CB2">
        <w:rPr>
          <w:rFonts w:ascii="Calibri" w:hAnsi="Calibri" w:cs="Calibri"/>
        </w:rPr>
        <w:t xml:space="preserve"> for</w:t>
      </w:r>
      <w:r w:rsidR="00340A5F">
        <w:rPr>
          <w:rFonts w:ascii="Calibri" w:hAnsi="Calibri" w:cs="Calibri"/>
        </w:rPr>
        <w:t xml:space="preserve"> a</w:t>
      </w:r>
      <w:r w:rsidR="00361A06">
        <w:rPr>
          <w:rFonts w:ascii="Calibri" w:hAnsi="Calibri" w:cs="Calibri"/>
        </w:rPr>
        <w:t xml:space="preserve"> 2x2 UL MIMO </w:t>
      </w:r>
      <w:r w:rsidR="00340A5F">
        <w:rPr>
          <w:rFonts w:ascii="Calibri" w:hAnsi="Calibri" w:cs="Calibri"/>
        </w:rPr>
        <w:t>case</w:t>
      </w:r>
      <w:r w:rsidR="00361A06">
        <w:rPr>
          <w:rFonts w:ascii="Calibri" w:hAnsi="Calibri" w:cs="Calibri"/>
        </w:rPr>
        <w:t>.</w:t>
      </w:r>
      <w:r w:rsidR="006D5CB2">
        <w:rPr>
          <w:rFonts w:ascii="Calibri" w:hAnsi="Calibri" w:cs="Calibri"/>
        </w:rPr>
        <w:t xml:space="preserve"> </w:t>
      </w:r>
      <w:r w:rsidR="00A1739B">
        <w:rPr>
          <w:rFonts w:ascii="Calibri" w:hAnsi="Calibri" w:cs="Calibri"/>
        </w:rPr>
        <w:t xml:space="preserve">The </w:t>
      </w:r>
      <w:r w:rsidR="007C56A9">
        <w:rPr>
          <w:rFonts w:ascii="Calibri" w:hAnsi="Calibri" w:cs="Calibri"/>
        </w:rPr>
        <w:t>criteri</w:t>
      </w:r>
      <w:r w:rsidR="00C4020B">
        <w:rPr>
          <w:rFonts w:ascii="Calibri" w:hAnsi="Calibri" w:cs="Calibri"/>
        </w:rPr>
        <w:t xml:space="preserve">a for </w:t>
      </w:r>
      <w:r w:rsidR="00F652CF">
        <w:rPr>
          <w:rFonts w:ascii="Calibri" w:hAnsi="Calibri" w:cs="Calibri"/>
        </w:rPr>
        <w:t xml:space="preserve">comparative </w:t>
      </w:r>
      <w:r w:rsidR="00C4020B">
        <w:rPr>
          <w:rFonts w:ascii="Calibri" w:hAnsi="Calibri" w:cs="Calibri"/>
        </w:rPr>
        <w:t>evaluation per the previous WF [1] are listed below:</w:t>
      </w:r>
    </w:p>
    <w:p w14:paraId="656376F4" w14:textId="77777777" w:rsidR="00873A89" w:rsidRPr="00873A89" w:rsidRDefault="00873A89" w:rsidP="00873A89">
      <w:pPr>
        <w:pStyle w:val="ListParagraph"/>
        <w:numPr>
          <w:ilvl w:val="0"/>
          <w:numId w:val="4"/>
        </w:numPr>
        <w:rPr>
          <w:rFonts w:ascii="Calibri" w:hAnsi="Calibri" w:cs="Calibri"/>
        </w:rPr>
      </w:pPr>
      <w:r w:rsidRPr="00873A89">
        <w:rPr>
          <w:rFonts w:ascii="Calibri" w:hAnsi="Calibri" w:cs="Calibri"/>
        </w:rPr>
        <w:t>Calculated EVM accuracy for different SNR cases due to AWGN</w:t>
      </w:r>
    </w:p>
    <w:p w14:paraId="33D762DB" w14:textId="77777777" w:rsidR="00873A89" w:rsidRPr="00873A89" w:rsidRDefault="00873A89" w:rsidP="00873A89">
      <w:pPr>
        <w:pStyle w:val="ListParagraph"/>
        <w:numPr>
          <w:ilvl w:val="0"/>
          <w:numId w:val="4"/>
        </w:numPr>
        <w:rPr>
          <w:rFonts w:ascii="Calibri" w:hAnsi="Calibri" w:cs="Calibri"/>
        </w:rPr>
      </w:pPr>
      <w:r w:rsidRPr="00873A89">
        <w:rPr>
          <w:rFonts w:ascii="Calibri" w:hAnsi="Calibri" w:cs="Calibri"/>
        </w:rPr>
        <w:t>Calculated EVM repeatability for above cases over 10 sub-frames average per standard for PUSCH</w:t>
      </w:r>
    </w:p>
    <w:p w14:paraId="68F83AD5" w14:textId="77777777" w:rsidR="00873A89" w:rsidRPr="00873A89" w:rsidRDefault="00873A89" w:rsidP="00873A89">
      <w:pPr>
        <w:pStyle w:val="ListParagraph"/>
        <w:numPr>
          <w:ilvl w:val="0"/>
          <w:numId w:val="4"/>
        </w:numPr>
        <w:rPr>
          <w:rFonts w:ascii="Calibri" w:hAnsi="Calibri" w:cs="Calibri"/>
        </w:rPr>
      </w:pPr>
      <w:r w:rsidRPr="00873A89">
        <w:rPr>
          <w:rFonts w:ascii="Calibri" w:hAnsi="Calibri" w:cs="Calibri"/>
        </w:rPr>
        <w:t xml:space="preserve">Sensitivity of calculated EVM to DMRS configuration </w:t>
      </w:r>
    </w:p>
    <w:p w14:paraId="15F5DDF7" w14:textId="77777777" w:rsidR="00873A89" w:rsidRPr="00873A89" w:rsidRDefault="00873A89" w:rsidP="00873A89">
      <w:pPr>
        <w:pStyle w:val="ListParagraph"/>
        <w:numPr>
          <w:ilvl w:val="0"/>
          <w:numId w:val="4"/>
        </w:numPr>
        <w:rPr>
          <w:rFonts w:ascii="Calibri" w:hAnsi="Calibri" w:cs="Calibri"/>
        </w:rPr>
      </w:pPr>
      <w:r w:rsidRPr="00873A89">
        <w:rPr>
          <w:rFonts w:ascii="Calibri" w:hAnsi="Calibri" w:cs="Calibri"/>
        </w:rPr>
        <w:t>Sensitivity of calculated EVM to frequency domain smoothing</w:t>
      </w:r>
    </w:p>
    <w:p w14:paraId="14510561" w14:textId="77777777" w:rsidR="00873A89" w:rsidRPr="00873A89" w:rsidRDefault="00873A89" w:rsidP="00873A89">
      <w:pPr>
        <w:pStyle w:val="ListParagraph"/>
        <w:numPr>
          <w:ilvl w:val="0"/>
          <w:numId w:val="4"/>
        </w:numPr>
        <w:rPr>
          <w:rFonts w:ascii="Calibri" w:hAnsi="Calibri" w:cs="Calibri"/>
        </w:rPr>
      </w:pPr>
      <w:r w:rsidRPr="00873A89">
        <w:rPr>
          <w:rFonts w:ascii="Calibri" w:hAnsi="Calibri" w:cs="Calibri"/>
        </w:rPr>
        <w:t>Sensitivity of calculated EVM to scheduled number of PUSCH symbols</w:t>
      </w:r>
    </w:p>
    <w:p w14:paraId="03481A02" w14:textId="77777777" w:rsidR="00873A89" w:rsidRPr="00873A89" w:rsidRDefault="00873A89" w:rsidP="00873A89">
      <w:pPr>
        <w:pStyle w:val="ListParagraph"/>
        <w:numPr>
          <w:ilvl w:val="0"/>
          <w:numId w:val="4"/>
        </w:numPr>
        <w:rPr>
          <w:rFonts w:ascii="Calibri" w:hAnsi="Calibri" w:cs="Calibri"/>
        </w:rPr>
      </w:pPr>
      <w:r w:rsidRPr="00873A89">
        <w:rPr>
          <w:rFonts w:ascii="Calibri" w:hAnsi="Calibri" w:cs="Calibri"/>
        </w:rPr>
        <w:t>Handling of non-invertible matrix cases</w:t>
      </w:r>
    </w:p>
    <w:p w14:paraId="001A61F2" w14:textId="77777777" w:rsidR="00873A89" w:rsidRPr="00873A89" w:rsidRDefault="00873A89" w:rsidP="00873A89">
      <w:pPr>
        <w:pStyle w:val="ListParagraph"/>
        <w:numPr>
          <w:ilvl w:val="0"/>
          <w:numId w:val="4"/>
        </w:numPr>
        <w:rPr>
          <w:rFonts w:ascii="Calibri" w:hAnsi="Calibri" w:cs="Calibri"/>
        </w:rPr>
      </w:pPr>
      <w:r w:rsidRPr="00873A89">
        <w:rPr>
          <w:rFonts w:ascii="Calibri" w:hAnsi="Calibri" w:cs="Calibri"/>
        </w:rPr>
        <w:t>The allowable EVM measurement error</w:t>
      </w:r>
    </w:p>
    <w:p w14:paraId="2ABDE64E" w14:textId="0F2C42A2" w:rsidR="00C4020B" w:rsidRPr="00873A89" w:rsidRDefault="00873A89" w:rsidP="00873A89">
      <w:pPr>
        <w:pStyle w:val="ListParagraph"/>
        <w:numPr>
          <w:ilvl w:val="0"/>
          <w:numId w:val="4"/>
        </w:numPr>
        <w:rPr>
          <w:rFonts w:ascii="Calibri" w:hAnsi="Calibri" w:cs="Calibri"/>
        </w:rPr>
      </w:pPr>
      <w:r w:rsidRPr="00873A89">
        <w:rPr>
          <w:rFonts w:ascii="Calibri" w:hAnsi="Calibri" w:cs="Calibri"/>
        </w:rPr>
        <w:t>Implementation challenges</w:t>
      </w:r>
    </w:p>
    <w:p w14:paraId="4D1AED13" w14:textId="122035F5" w:rsidR="00284510" w:rsidRDefault="0064339E" w:rsidP="002E3654">
      <w:pPr>
        <w:rPr>
          <w:rFonts w:ascii="Calibri" w:hAnsi="Calibri" w:cs="Calibri"/>
        </w:rPr>
      </w:pPr>
      <w:r>
        <w:rPr>
          <w:rFonts w:ascii="Calibri" w:hAnsi="Calibri" w:cs="Calibri"/>
        </w:rPr>
        <w:t xml:space="preserve">Single layer operation is a simpler subset </w:t>
      </w:r>
      <w:r w:rsidR="00F652CF">
        <w:rPr>
          <w:rFonts w:ascii="Calibri" w:hAnsi="Calibri" w:cs="Calibri"/>
        </w:rPr>
        <w:t xml:space="preserve">of 2L operation, </w:t>
      </w:r>
      <w:r w:rsidR="008A3B39">
        <w:rPr>
          <w:rFonts w:ascii="Calibri" w:hAnsi="Calibri" w:cs="Calibri"/>
        </w:rPr>
        <w:t xml:space="preserve">and performance </w:t>
      </w:r>
      <w:r w:rsidR="00606A5F">
        <w:rPr>
          <w:rFonts w:ascii="Calibri" w:hAnsi="Calibri" w:cs="Calibri"/>
        </w:rPr>
        <w:t xml:space="preserve">is expected to follow that of </w:t>
      </w:r>
      <w:r w:rsidR="008A3B39">
        <w:rPr>
          <w:rFonts w:ascii="Calibri" w:hAnsi="Calibri" w:cs="Calibri"/>
        </w:rPr>
        <w:t>the 2x2 case.</w:t>
      </w:r>
      <w:r w:rsidR="009376C7">
        <w:rPr>
          <w:rFonts w:ascii="Calibri" w:hAnsi="Calibri" w:cs="Calibri"/>
        </w:rPr>
        <w:t xml:space="preserve"> </w:t>
      </w:r>
      <w:r w:rsidR="00180BDB">
        <w:rPr>
          <w:rFonts w:ascii="Calibri" w:hAnsi="Calibri" w:cs="Calibri"/>
        </w:rPr>
        <w:t xml:space="preserve">The other </w:t>
      </w:r>
      <w:r w:rsidR="004E1641">
        <w:rPr>
          <w:rFonts w:ascii="Calibri" w:hAnsi="Calibri" w:cs="Calibri"/>
        </w:rPr>
        <w:t xml:space="preserve">TSQ </w:t>
      </w:r>
      <w:r w:rsidR="00180BDB">
        <w:rPr>
          <w:rFonts w:ascii="Calibri" w:hAnsi="Calibri" w:cs="Calibri"/>
        </w:rPr>
        <w:t xml:space="preserve">metrics like </w:t>
      </w:r>
      <w:r w:rsidR="004E1641">
        <w:rPr>
          <w:rFonts w:ascii="Calibri" w:hAnsi="Calibri" w:cs="Calibri"/>
        </w:rPr>
        <w:t xml:space="preserve">IBE and EVM equalizer flatness can be derived </w:t>
      </w:r>
      <w:r w:rsidR="00BF5DFB">
        <w:rPr>
          <w:rFonts w:ascii="Calibri" w:hAnsi="Calibri" w:cs="Calibri"/>
        </w:rPr>
        <w:t>from either method</w:t>
      </w:r>
      <w:r w:rsidR="00DE1037">
        <w:rPr>
          <w:rFonts w:ascii="Calibri" w:hAnsi="Calibri" w:cs="Calibri"/>
        </w:rPr>
        <w:t xml:space="preserve">, consequently they </w:t>
      </w:r>
      <w:r w:rsidR="00BF5DFB">
        <w:rPr>
          <w:rFonts w:ascii="Calibri" w:hAnsi="Calibri" w:cs="Calibri"/>
        </w:rPr>
        <w:t>do not need explicit treatment</w:t>
      </w:r>
      <w:r w:rsidR="00650F92">
        <w:rPr>
          <w:rFonts w:ascii="Calibri" w:hAnsi="Calibri" w:cs="Calibri"/>
        </w:rPr>
        <w:t xml:space="preserve"> in a comparison context</w:t>
      </w:r>
      <w:r w:rsidR="00BF5DFB">
        <w:rPr>
          <w:rFonts w:ascii="Calibri" w:hAnsi="Calibri" w:cs="Calibri"/>
        </w:rPr>
        <w:t>.</w:t>
      </w:r>
      <w:r w:rsidR="00083838">
        <w:rPr>
          <w:rFonts w:ascii="Calibri" w:hAnsi="Calibri" w:cs="Calibri"/>
        </w:rPr>
        <w:t xml:space="preserve"> </w:t>
      </w:r>
    </w:p>
    <w:p w14:paraId="345B9D5D" w14:textId="31D84C15" w:rsidR="00E2763C" w:rsidRPr="00FC1B4B" w:rsidRDefault="00156109" w:rsidP="001372D8">
      <w:pPr>
        <w:pStyle w:val="Heading2"/>
        <w:ind w:left="0" w:firstLine="0"/>
        <w:rPr>
          <w:rFonts w:asciiTheme="minorHAnsi" w:hAnsiTheme="minorHAnsi" w:cstheme="minorHAnsi"/>
        </w:rPr>
      </w:pPr>
      <w:r w:rsidRPr="00FC1B4B">
        <w:rPr>
          <w:rFonts w:asciiTheme="minorHAnsi" w:hAnsiTheme="minorHAnsi" w:cstheme="minorHAnsi"/>
        </w:rPr>
        <w:t>2.1</w:t>
      </w:r>
      <w:r w:rsidRPr="00FC1B4B">
        <w:rPr>
          <w:rFonts w:asciiTheme="minorHAnsi" w:hAnsiTheme="minorHAnsi" w:cstheme="minorHAnsi"/>
        </w:rPr>
        <w:tab/>
      </w:r>
      <w:r w:rsidR="0000794D" w:rsidRPr="00FC1B4B">
        <w:rPr>
          <w:rFonts w:asciiTheme="minorHAnsi" w:hAnsiTheme="minorHAnsi" w:cstheme="minorHAnsi"/>
        </w:rPr>
        <w:t>Methods</w:t>
      </w:r>
      <w:r w:rsidR="00A43740" w:rsidRPr="00FC1B4B">
        <w:rPr>
          <w:rFonts w:asciiTheme="minorHAnsi" w:hAnsiTheme="minorHAnsi" w:cstheme="minorHAnsi"/>
        </w:rPr>
        <w:t xml:space="preserve"> </w:t>
      </w:r>
      <w:r w:rsidR="00287C9E">
        <w:rPr>
          <w:rFonts w:asciiTheme="minorHAnsi" w:hAnsiTheme="minorHAnsi" w:cstheme="minorHAnsi"/>
        </w:rPr>
        <w:t>under evaluation</w:t>
      </w:r>
    </w:p>
    <w:p w14:paraId="4393379C" w14:textId="2A71242A" w:rsidR="00EC4BC0" w:rsidRPr="00FC1B4B" w:rsidRDefault="00EC4BC0">
      <w:pPr>
        <w:spacing w:after="0"/>
        <w:rPr>
          <w:rFonts w:asciiTheme="minorHAnsi" w:hAnsiTheme="minorHAnsi" w:cstheme="minorHAnsi"/>
        </w:rPr>
      </w:pPr>
      <w:r w:rsidRPr="00FC1B4B">
        <w:rPr>
          <w:rFonts w:asciiTheme="minorHAnsi" w:hAnsiTheme="minorHAnsi" w:cstheme="minorHAnsi"/>
        </w:rPr>
        <w:t>T</w:t>
      </w:r>
      <w:r w:rsidR="001E3572">
        <w:rPr>
          <w:rFonts w:asciiTheme="minorHAnsi" w:hAnsiTheme="minorHAnsi" w:cstheme="minorHAnsi"/>
        </w:rPr>
        <w:t>wo</w:t>
      </w:r>
      <w:r w:rsidRPr="00FC1B4B">
        <w:rPr>
          <w:rFonts w:asciiTheme="minorHAnsi" w:hAnsiTheme="minorHAnsi" w:cstheme="minorHAnsi"/>
        </w:rPr>
        <w:t xml:space="preserve"> methods</w:t>
      </w:r>
      <w:r w:rsidR="001E3572">
        <w:rPr>
          <w:rFonts w:asciiTheme="minorHAnsi" w:hAnsiTheme="minorHAnsi" w:cstheme="minorHAnsi"/>
        </w:rPr>
        <w:t xml:space="preserve"> proposed previously</w:t>
      </w:r>
      <w:r w:rsidRPr="00FC1B4B">
        <w:rPr>
          <w:rFonts w:asciiTheme="minorHAnsi" w:hAnsiTheme="minorHAnsi" w:cstheme="minorHAnsi"/>
        </w:rPr>
        <w:t xml:space="preserve"> were evaluated per simulation assumptions agreed in [1]:</w:t>
      </w:r>
    </w:p>
    <w:p w14:paraId="69AD57D8" w14:textId="77777777" w:rsidR="00D0106A" w:rsidRPr="00FC1B4B" w:rsidRDefault="00D0106A" w:rsidP="00D0106A">
      <w:pPr>
        <w:pStyle w:val="ListParagraph"/>
        <w:numPr>
          <w:ilvl w:val="0"/>
          <w:numId w:val="5"/>
        </w:numPr>
        <w:spacing w:after="0"/>
        <w:rPr>
          <w:rFonts w:asciiTheme="minorHAnsi" w:hAnsiTheme="minorHAnsi" w:cstheme="minorHAnsi"/>
        </w:rPr>
      </w:pPr>
      <w:r w:rsidRPr="00FC1B4B">
        <w:rPr>
          <w:rFonts w:asciiTheme="minorHAnsi" w:hAnsiTheme="minorHAnsi" w:cstheme="minorHAnsi"/>
        </w:rPr>
        <w:t>Test waveforms constructed with:</w:t>
      </w:r>
    </w:p>
    <w:p w14:paraId="3A0FEE6F" w14:textId="77777777" w:rsidR="00D0106A" w:rsidRPr="00FC1B4B" w:rsidRDefault="00D0106A" w:rsidP="00D0106A">
      <w:pPr>
        <w:pStyle w:val="ListParagraph"/>
        <w:numPr>
          <w:ilvl w:val="1"/>
          <w:numId w:val="5"/>
        </w:numPr>
        <w:spacing w:after="0"/>
        <w:rPr>
          <w:rFonts w:asciiTheme="minorHAnsi" w:hAnsiTheme="minorHAnsi" w:cstheme="minorHAnsi"/>
        </w:rPr>
      </w:pPr>
      <w:r w:rsidRPr="00FC1B4B">
        <w:rPr>
          <w:rFonts w:asciiTheme="minorHAnsi" w:hAnsiTheme="minorHAnsi" w:cstheme="minorHAnsi"/>
        </w:rPr>
        <w:t>Flat signal PSD</w:t>
      </w:r>
    </w:p>
    <w:p w14:paraId="103AE08F" w14:textId="77777777" w:rsidR="00D0106A" w:rsidRPr="00FC1B4B" w:rsidRDefault="00D0106A" w:rsidP="00D0106A">
      <w:pPr>
        <w:pStyle w:val="ListParagraph"/>
        <w:numPr>
          <w:ilvl w:val="1"/>
          <w:numId w:val="5"/>
        </w:numPr>
        <w:spacing w:after="0"/>
        <w:rPr>
          <w:rFonts w:asciiTheme="minorHAnsi" w:hAnsiTheme="minorHAnsi" w:cstheme="minorHAnsi"/>
        </w:rPr>
      </w:pPr>
      <w:r w:rsidRPr="00FC1B4B">
        <w:rPr>
          <w:rFonts w:asciiTheme="minorHAnsi" w:hAnsiTheme="minorHAnsi" w:cstheme="minorHAnsi"/>
        </w:rPr>
        <w:t>Injected AWGN</w:t>
      </w:r>
    </w:p>
    <w:p w14:paraId="3DC58552" w14:textId="77777777" w:rsidR="00D0106A" w:rsidRPr="00FC1B4B" w:rsidRDefault="00D0106A" w:rsidP="00D0106A">
      <w:pPr>
        <w:pStyle w:val="ListParagraph"/>
        <w:numPr>
          <w:ilvl w:val="0"/>
          <w:numId w:val="5"/>
        </w:numPr>
        <w:spacing w:after="0"/>
        <w:rPr>
          <w:rFonts w:asciiTheme="minorHAnsi" w:hAnsiTheme="minorHAnsi" w:cstheme="minorHAnsi"/>
        </w:rPr>
      </w:pPr>
      <w:r w:rsidRPr="00FC1B4B">
        <w:rPr>
          <w:rFonts w:asciiTheme="minorHAnsi" w:hAnsiTheme="minorHAnsi" w:cstheme="minorHAnsi"/>
        </w:rPr>
        <w:t>Signal configuration:</w:t>
      </w:r>
    </w:p>
    <w:p w14:paraId="5D987D8B" w14:textId="77777777" w:rsidR="00D0106A" w:rsidRPr="00FC1B4B" w:rsidRDefault="00D0106A" w:rsidP="00D0106A">
      <w:pPr>
        <w:pStyle w:val="ListParagraph"/>
        <w:numPr>
          <w:ilvl w:val="1"/>
          <w:numId w:val="5"/>
        </w:numPr>
        <w:spacing w:after="0"/>
        <w:rPr>
          <w:rFonts w:asciiTheme="minorHAnsi" w:hAnsiTheme="minorHAnsi" w:cstheme="minorHAnsi"/>
        </w:rPr>
      </w:pPr>
      <w:r w:rsidRPr="00FC1B4B">
        <w:rPr>
          <w:rFonts w:asciiTheme="minorHAnsi" w:hAnsiTheme="minorHAnsi" w:cstheme="minorHAnsi"/>
        </w:rPr>
        <w:t>[50] contiguous RBs</w:t>
      </w:r>
    </w:p>
    <w:p w14:paraId="3E1526C5" w14:textId="77777777" w:rsidR="00D0106A" w:rsidRPr="00FC1B4B" w:rsidRDefault="00D0106A" w:rsidP="00D0106A">
      <w:pPr>
        <w:pStyle w:val="ListParagraph"/>
        <w:numPr>
          <w:ilvl w:val="1"/>
          <w:numId w:val="5"/>
        </w:numPr>
        <w:spacing w:after="0"/>
        <w:rPr>
          <w:rFonts w:asciiTheme="minorHAnsi" w:hAnsiTheme="minorHAnsi" w:cstheme="minorHAnsi"/>
        </w:rPr>
      </w:pPr>
      <w:r w:rsidRPr="00FC1B4B">
        <w:rPr>
          <w:rFonts w:asciiTheme="minorHAnsi" w:hAnsiTheme="minorHAnsi" w:cstheme="minorHAnsi"/>
        </w:rPr>
        <w:t>CP-OFDM (QPSK – 64 QAM) PUSCH, rank 2</w:t>
      </w:r>
    </w:p>
    <w:p w14:paraId="4C7D3546" w14:textId="77777777" w:rsidR="00D0106A" w:rsidRPr="00FC1B4B" w:rsidRDefault="00D0106A" w:rsidP="00D0106A">
      <w:pPr>
        <w:pStyle w:val="ListParagraph"/>
        <w:numPr>
          <w:ilvl w:val="1"/>
          <w:numId w:val="5"/>
        </w:numPr>
        <w:spacing w:after="0"/>
        <w:rPr>
          <w:rFonts w:asciiTheme="minorHAnsi" w:hAnsiTheme="minorHAnsi" w:cstheme="minorHAnsi"/>
        </w:rPr>
      </w:pPr>
      <w:r w:rsidRPr="00FC1B4B">
        <w:rPr>
          <w:rFonts w:asciiTheme="minorHAnsi" w:hAnsiTheme="minorHAnsi" w:cstheme="minorHAnsi"/>
        </w:rPr>
        <w:t>UL RMC as defined in appendix of 38.101-2</w:t>
      </w:r>
    </w:p>
    <w:p w14:paraId="7A7192DF" w14:textId="77777777" w:rsidR="00D0106A" w:rsidRPr="00FC1B4B" w:rsidRDefault="00D0106A" w:rsidP="00D0106A">
      <w:pPr>
        <w:pStyle w:val="ListParagraph"/>
        <w:numPr>
          <w:ilvl w:val="0"/>
          <w:numId w:val="5"/>
        </w:numPr>
        <w:spacing w:after="0"/>
        <w:rPr>
          <w:rFonts w:asciiTheme="minorHAnsi" w:hAnsiTheme="minorHAnsi" w:cstheme="minorHAnsi"/>
        </w:rPr>
      </w:pPr>
      <w:r w:rsidRPr="00FC1B4B">
        <w:rPr>
          <w:rFonts w:asciiTheme="minorHAnsi" w:hAnsiTheme="minorHAnsi" w:cstheme="minorHAnsi"/>
        </w:rPr>
        <w:t>AWGN noise sweep for SNR range of 10 dB to 30 dB over allocated RBs</w:t>
      </w:r>
    </w:p>
    <w:p w14:paraId="184BAE48" w14:textId="77777777" w:rsidR="00D0106A" w:rsidRPr="00FC1B4B" w:rsidRDefault="00D0106A" w:rsidP="00D0106A">
      <w:pPr>
        <w:pStyle w:val="ListParagraph"/>
        <w:numPr>
          <w:ilvl w:val="0"/>
          <w:numId w:val="5"/>
        </w:numPr>
        <w:spacing w:after="0"/>
        <w:rPr>
          <w:rFonts w:asciiTheme="minorHAnsi" w:hAnsiTheme="minorHAnsi" w:cstheme="minorHAnsi"/>
        </w:rPr>
      </w:pPr>
      <w:r w:rsidRPr="00FC1B4B">
        <w:rPr>
          <w:rFonts w:asciiTheme="minorHAnsi" w:hAnsiTheme="minorHAnsi" w:cstheme="minorHAnsi"/>
        </w:rPr>
        <w:t>Polarization basis mismatch:</w:t>
      </w:r>
    </w:p>
    <w:p w14:paraId="6ADFF20B" w14:textId="5D62DD03" w:rsidR="001372D8" w:rsidRPr="00D0106A" w:rsidRDefault="00D0106A" w:rsidP="00D0106A">
      <w:pPr>
        <w:pStyle w:val="ListParagraph"/>
        <w:numPr>
          <w:ilvl w:val="1"/>
          <w:numId w:val="5"/>
        </w:numPr>
        <w:spacing w:after="0"/>
      </w:pPr>
      <w:r w:rsidRPr="00FC1B4B">
        <w:rPr>
          <w:rFonts w:asciiTheme="minorHAnsi" w:hAnsiTheme="minorHAnsi" w:cstheme="minorHAnsi"/>
        </w:rPr>
        <w:t>(Evaluate for multiple unitary matrices not limited to identity matrix)</w:t>
      </w:r>
      <w:r w:rsidR="001372D8">
        <w:br w:type="page"/>
      </w:r>
    </w:p>
    <w:p w14:paraId="759D479B" w14:textId="794F1B87" w:rsidR="00CE43C9" w:rsidRDefault="00CE43C9" w:rsidP="00CE43C9">
      <w:pPr>
        <w:pStyle w:val="Heading3"/>
      </w:pPr>
      <w:r>
        <w:lastRenderedPageBreak/>
        <w:t>2.2.1</w:t>
      </w:r>
      <w:r>
        <w:tab/>
        <w:t xml:space="preserve">Method 1 </w:t>
      </w:r>
    </w:p>
    <w:p w14:paraId="2110D9C2" w14:textId="61CFC24C" w:rsidR="00AC47D4" w:rsidRDefault="009B5632" w:rsidP="00CE43C9">
      <w:pPr>
        <w:rPr>
          <w:rFonts w:ascii="Calibri" w:hAnsi="Calibri" w:cs="Calibri"/>
        </w:rPr>
      </w:pPr>
      <w:r>
        <w:rPr>
          <w:rFonts w:ascii="Calibri" w:hAnsi="Calibri" w:cs="Calibri"/>
        </w:rPr>
        <w:t xml:space="preserve">In </w:t>
      </w:r>
      <w:r w:rsidR="00887E42">
        <w:rPr>
          <w:rFonts w:ascii="Calibri" w:hAnsi="Calibri" w:cs="Calibri"/>
        </w:rPr>
        <w:t>Method</w:t>
      </w:r>
      <w:r>
        <w:rPr>
          <w:rFonts w:ascii="Calibri" w:hAnsi="Calibri" w:cs="Calibri"/>
        </w:rPr>
        <w:t xml:space="preserve"> 1, the </w:t>
      </w:r>
      <w:r w:rsidR="00CF37AA">
        <w:rPr>
          <w:rFonts w:ascii="Calibri" w:hAnsi="Calibri" w:cs="Calibri"/>
        </w:rPr>
        <w:t>received symbols are resolved into</w:t>
      </w:r>
      <w:r w:rsidR="00150AB4">
        <w:rPr>
          <w:rFonts w:ascii="Calibri" w:hAnsi="Calibri" w:cs="Calibri"/>
        </w:rPr>
        <w:t xml:space="preserve"> their constituent</w:t>
      </w:r>
      <w:r w:rsidR="00CF37AA">
        <w:rPr>
          <w:rFonts w:ascii="Calibri" w:hAnsi="Calibri" w:cs="Calibri"/>
        </w:rPr>
        <w:t xml:space="preserve"> layers </w:t>
      </w:r>
      <w:r w:rsidR="00A767C3">
        <w:rPr>
          <w:rFonts w:ascii="Calibri" w:hAnsi="Calibri" w:cs="Calibri"/>
        </w:rPr>
        <w:t>based on</w:t>
      </w:r>
      <w:r>
        <w:rPr>
          <w:rFonts w:ascii="Calibri" w:hAnsi="Calibri" w:cs="Calibri"/>
        </w:rPr>
        <w:t xml:space="preserve"> the inverse of the channel estimate derived from DMRS symbols alone</w:t>
      </w:r>
      <w:r w:rsidR="00FE567D">
        <w:rPr>
          <w:rFonts w:ascii="Calibri" w:hAnsi="Calibri" w:cs="Calibri"/>
        </w:rPr>
        <w:t xml:space="preserve">. </w:t>
      </w:r>
      <w:r w:rsidR="00A767C3">
        <w:rPr>
          <w:rFonts w:ascii="Calibri" w:hAnsi="Calibri" w:cs="Calibri"/>
        </w:rPr>
        <w:t>There is also a secondary, per layer refinement</w:t>
      </w:r>
      <w:r w:rsidR="00150AB4">
        <w:rPr>
          <w:rFonts w:ascii="Calibri" w:hAnsi="Calibri" w:cs="Calibri"/>
        </w:rPr>
        <w:t xml:space="preserve"> of the equalization process. </w:t>
      </w:r>
      <w:r w:rsidR="002A368E">
        <w:rPr>
          <w:rFonts w:ascii="Calibri" w:hAnsi="Calibri" w:cs="Calibri"/>
        </w:rPr>
        <w:t xml:space="preserve">The block diagram is reproduced </w:t>
      </w:r>
      <w:r w:rsidR="004979CB">
        <w:rPr>
          <w:rFonts w:ascii="Calibri" w:hAnsi="Calibri" w:cs="Calibri"/>
        </w:rPr>
        <w:t>below:</w:t>
      </w:r>
    </w:p>
    <w:p w14:paraId="7057153E" w14:textId="1A27DF06" w:rsidR="00503DA2" w:rsidRDefault="00107246" w:rsidP="00CE43C9">
      <w:r>
        <w:rPr>
          <w:noProof/>
        </w:rPr>
        <w:drawing>
          <wp:inline distT="0" distB="0" distL="0" distR="0" wp14:anchorId="4DA9EE41" wp14:editId="44C599FF">
            <wp:extent cx="5200650" cy="2584304"/>
            <wp:effectExtent l="0" t="0" r="0" b="6985"/>
            <wp:docPr id="14" name="Picture 1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2632" cy="2595227"/>
                    </a:xfrm>
                    <a:prstGeom prst="rect">
                      <a:avLst/>
                    </a:prstGeom>
                    <a:noFill/>
                    <a:ln>
                      <a:noFill/>
                    </a:ln>
                  </pic:spPr>
                </pic:pic>
              </a:graphicData>
            </a:graphic>
          </wp:inline>
        </w:drawing>
      </w:r>
    </w:p>
    <w:p w14:paraId="06A3A533" w14:textId="6680EF28" w:rsidR="00B557F9" w:rsidRDefault="00B557F9" w:rsidP="004366AF">
      <w:pPr>
        <w:pStyle w:val="Caption"/>
        <w:jc w:val="center"/>
      </w:pPr>
      <w:r w:rsidRPr="002B01A3">
        <w:t xml:space="preserve">Figure </w:t>
      </w:r>
      <w:r w:rsidRPr="002B01A3">
        <w:fldChar w:fldCharType="begin"/>
      </w:r>
      <w:r w:rsidRPr="002B01A3">
        <w:instrText xml:space="preserve"> STYLEREF 1 \s </w:instrText>
      </w:r>
      <w:r w:rsidRPr="002B01A3">
        <w:fldChar w:fldCharType="separate"/>
      </w:r>
      <w:r>
        <w:rPr>
          <w:noProof/>
        </w:rPr>
        <w:t>2</w:t>
      </w:r>
      <w:r w:rsidRPr="002B01A3">
        <w:fldChar w:fldCharType="end"/>
      </w:r>
      <w:r>
        <w:t>.2</w:t>
      </w:r>
      <w:r w:rsidR="00591E5C">
        <w:t>.1</w:t>
      </w:r>
      <w:r w:rsidRPr="002B01A3">
        <w:noBreakHyphen/>
      </w:r>
      <w:r w:rsidRPr="002B01A3">
        <w:fldChar w:fldCharType="begin"/>
      </w:r>
      <w:r w:rsidRPr="002B01A3">
        <w:instrText xml:space="preserve"> SEQ Figure \* ARABIC \s 1 </w:instrText>
      </w:r>
      <w:r w:rsidRPr="002B01A3">
        <w:fldChar w:fldCharType="separate"/>
      </w:r>
      <w:r>
        <w:rPr>
          <w:noProof/>
        </w:rPr>
        <w:t>1</w:t>
      </w:r>
      <w:r w:rsidRPr="002B01A3">
        <w:fldChar w:fldCharType="end"/>
      </w:r>
      <w:r w:rsidRPr="002B01A3">
        <w:t xml:space="preserve">: </w:t>
      </w:r>
      <w:r w:rsidR="00591E5C">
        <w:t xml:space="preserve">Method 1 </w:t>
      </w:r>
      <w:r w:rsidRPr="002B01A3">
        <w:t>EVM</w:t>
      </w:r>
      <w:r w:rsidRPr="00CD5011">
        <w:t xml:space="preserve"> calculation block diagram for 2-</w:t>
      </w:r>
      <w:r>
        <w:t>L</w:t>
      </w:r>
      <w:r w:rsidRPr="00CD5011">
        <w:t xml:space="preserve">ayer </w:t>
      </w:r>
      <w:r>
        <w:t>UL MIMO</w:t>
      </w:r>
    </w:p>
    <w:p w14:paraId="21D9838D" w14:textId="6453208E" w:rsidR="00B557F9" w:rsidRDefault="00B557F9" w:rsidP="00B557F9">
      <w:pPr>
        <w:pStyle w:val="Heading3"/>
      </w:pPr>
      <w:r>
        <w:t>2.2.1</w:t>
      </w:r>
      <w:r>
        <w:tab/>
        <w:t xml:space="preserve">Method 2 </w:t>
      </w:r>
    </w:p>
    <w:p w14:paraId="30988D44" w14:textId="0310D664" w:rsidR="00B557F9" w:rsidRDefault="00B557F9" w:rsidP="00B557F9">
      <w:pPr>
        <w:rPr>
          <w:rFonts w:ascii="Calibri" w:hAnsi="Calibri" w:cs="Calibri"/>
        </w:rPr>
      </w:pPr>
      <w:r>
        <w:rPr>
          <w:rFonts w:ascii="Calibri" w:hAnsi="Calibri" w:cs="Calibri"/>
        </w:rPr>
        <w:t xml:space="preserve">In </w:t>
      </w:r>
      <w:r w:rsidR="00887E42">
        <w:rPr>
          <w:rFonts w:ascii="Calibri" w:hAnsi="Calibri" w:cs="Calibri"/>
        </w:rPr>
        <w:t>Method</w:t>
      </w:r>
      <w:r>
        <w:rPr>
          <w:rFonts w:ascii="Calibri" w:hAnsi="Calibri" w:cs="Calibri"/>
        </w:rPr>
        <w:t xml:space="preserve"> 2, the </w:t>
      </w:r>
      <w:r w:rsidR="00384935">
        <w:rPr>
          <w:rFonts w:ascii="Calibri" w:hAnsi="Calibri" w:cs="Calibri"/>
        </w:rPr>
        <w:t>matrix used in the diagonalization stage</w:t>
      </w:r>
      <w:r>
        <w:rPr>
          <w:rFonts w:ascii="Calibri" w:hAnsi="Calibri" w:cs="Calibri"/>
        </w:rPr>
        <w:t xml:space="preserve"> is derived as the inverse of the </w:t>
      </w:r>
      <w:r w:rsidR="00941F24">
        <w:rPr>
          <w:rFonts w:ascii="Calibri" w:hAnsi="Calibri" w:cs="Calibri"/>
        </w:rPr>
        <w:t xml:space="preserve">2x2 </w:t>
      </w:r>
      <w:r>
        <w:rPr>
          <w:rFonts w:ascii="Calibri" w:hAnsi="Calibri" w:cs="Calibri"/>
        </w:rPr>
        <w:t>LSE channel estimate</w:t>
      </w:r>
      <w:r w:rsidR="00665BBC">
        <w:rPr>
          <w:rFonts w:ascii="Calibri" w:hAnsi="Calibri" w:cs="Calibri"/>
        </w:rPr>
        <w:t xml:space="preserve"> calculated from all OFDM symbols in the slot</w:t>
      </w:r>
      <w:r>
        <w:rPr>
          <w:rFonts w:ascii="Calibri" w:hAnsi="Calibri" w:cs="Calibri"/>
        </w:rPr>
        <w:t xml:space="preserve">. </w:t>
      </w:r>
      <w:r w:rsidR="004A0AFB">
        <w:rPr>
          <w:rFonts w:ascii="Calibri" w:hAnsi="Calibri" w:cs="Calibri"/>
        </w:rPr>
        <w:t xml:space="preserve">This </w:t>
      </w:r>
      <w:r w:rsidR="00213812">
        <w:rPr>
          <w:rFonts w:ascii="Calibri" w:hAnsi="Calibri" w:cs="Calibri"/>
        </w:rPr>
        <w:t xml:space="preserve">method is </w:t>
      </w:r>
      <w:r w:rsidR="00030E28">
        <w:rPr>
          <w:rFonts w:ascii="Calibri" w:hAnsi="Calibri" w:cs="Calibri"/>
        </w:rPr>
        <w:t>a direct extension of</w:t>
      </w:r>
      <w:r w:rsidR="009034F1">
        <w:rPr>
          <w:rFonts w:ascii="Calibri" w:hAnsi="Calibri" w:cs="Calibri"/>
        </w:rPr>
        <w:t xml:space="preserve"> legacy methods for EVM calculation.</w:t>
      </w:r>
    </w:p>
    <w:p w14:paraId="10101026" w14:textId="79FE8D88" w:rsidR="00875567" w:rsidRDefault="002036D3" w:rsidP="00107246">
      <w:pPr>
        <w:rPr>
          <w:rFonts w:ascii="Calibri" w:hAnsi="Calibri" w:cs="Calibri"/>
        </w:rPr>
      </w:pPr>
      <w:r>
        <w:rPr>
          <w:rFonts w:ascii="Calibri" w:hAnsi="Calibri" w:cs="Calibri"/>
        </w:rPr>
        <w:t xml:space="preserve"> </w:t>
      </w:r>
      <w:r w:rsidR="00DA1A3E">
        <w:object w:dxaOrig="12649" w:dyaOrig="7909" w14:anchorId="185B3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1.5pt" o:ole="">
            <v:imagedata r:id="rId10" o:title=""/>
          </v:shape>
          <o:OLEObject Type="Embed" ProgID="Visio.Drawing.15" ShapeID="_x0000_i1025" DrawAspect="Content" ObjectID="_1689524224" r:id="rId11"/>
        </w:object>
      </w:r>
    </w:p>
    <w:p w14:paraId="2E1E530D" w14:textId="08F70C23" w:rsidR="00591E5C" w:rsidRPr="00AC47D4" w:rsidRDefault="00591E5C" w:rsidP="00591E5C">
      <w:pPr>
        <w:pStyle w:val="Caption"/>
        <w:jc w:val="center"/>
      </w:pPr>
      <w:r w:rsidRPr="002B01A3">
        <w:t xml:space="preserve">Figure </w:t>
      </w:r>
      <w:r w:rsidRPr="002B01A3">
        <w:fldChar w:fldCharType="begin"/>
      </w:r>
      <w:r w:rsidRPr="002B01A3">
        <w:instrText xml:space="preserve"> STYLEREF 1 \s </w:instrText>
      </w:r>
      <w:r w:rsidRPr="002B01A3">
        <w:fldChar w:fldCharType="separate"/>
      </w:r>
      <w:r>
        <w:rPr>
          <w:noProof/>
        </w:rPr>
        <w:t>2</w:t>
      </w:r>
      <w:r w:rsidRPr="002B01A3">
        <w:fldChar w:fldCharType="end"/>
      </w:r>
      <w:r>
        <w:t>.2.1</w:t>
      </w:r>
      <w:r w:rsidRPr="002B01A3">
        <w:noBreakHyphen/>
      </w:r>
      <w:r>
        <w:t>2</w:t>
      </w:r>
      <w:r w:rsidRPr="002B01A3">
        <w:t xml:space="preserve">: </w:t>
      </w:r>
      <w:r>
        <w:t xml:space="preserve">Method </w:t>
      </w:r>
      <w:r w:rsidR="0036020C">
        <w:t>2</w:t>
      </w:r>
      <w:r>
        <w:t xml:space="preserve"> </w:t>
      </w:r>
      <w:r w:rsidRPr="002B01A3">
        <w:t>EVM</w:t>
      </w:r>
      <w:r w:rsidRPr="00CD5011">
        <w:t xml:space="preserve"> calculation block diagram for 2-</w:t>
      </w:r>
      <w:r>
        <w:t>L</w:t>
      </w:r>
      <w:r w:rsidRPr="00CD5011">
        <w:t xml:space="preserve">ayer </w:t>
      </w:r>
      <w:r>
        <w:t>UL MIMO</w:t>
      </w:r>
    </w:p>
    <w:p w14:paraId="5370EC19" w14:textId="0C83B64E" w:rsidR="00591E5C" w:rsidRPr="00134D6D" w:rsidRDefault="00591E5C" w:rsidP="00107246">
      <w:pPr>
        <w:rPr>
          <w:rFonts w:asciiTheme="minorHAnsi" w:hAnsiTheme="minorHAnsi" w:cstheme="minorHAnsi"/>
          <w:lang w:eastAsia="en-US"/>
        </w:rPr>
      </w:pPr>
    </w:p>
    <w:p w14:paraId="4972B597" w14:textId="52BDD4B6" w:rsidR="002C1FBB" w:rsidRDefault="00F20F97" w:rsidP="00F20F97">
      <w:pPr>
        <w:pStyle w:val="Heading2"/>
      </w:pPr>
      <w:r>
        <w:t>2.</w:t>
      </w:r>
      <w:r w:rsidR="00156109">
        <w:t>2</w:t>
      </w:r>
      <w:r>
        <w:tab/>
      </w:r>
      <w:r w:rsidR="000454EC" w:rsidRPr="000454EC">
        <w:t xml:space="preserve">EVM accuracy for </w:t>
      </w:r>
      <w:r w:rsidR="00DF0961">
        <w:t>slot length signals</w:t>
      </w:r>
    </w:p>
    <w:p w14:paraId="15242A79" w14:textId="08E3BC76" w:rsidR="008835AB" w:rsidRPr="00BE57AE" w:rsidRDefault="00A8652F" w:rsidP="00B41925">
      <w:pPr>
        <w:rPr>
          <w:rFonts w:asciiTheme="minorHAnsi" w:hAnsiTheme="minorHAnsi" w:cstheme="minorHAnsi"/>
        </w:rPr>
      </w:pPr>
      <w:r>
        <w:rPr>
          <w:rFonts w:asciiTheme="minorHAnsi" w:hAnsiTheme="minorHAnsi" w:cstheme="minorHAnsi"/>
        </w:rPr>
        <w:t xml:space="preserve">The reader is referred to </w:t>
      </w:r>
      <w:r w:rsidR="00E61E38">
        <w:rPr>
          <w:rFonts w:asciiTheme="minorHAnsi" w:hAnsiTheme="minorHAnsi" w:cstheme="minorHAnsi"/>
        </w:rPr>
        <w:t>our</w:t>
      </w:r>
      <w:r>
        <w:rPr>
          <w:rFonts w:asciiTheme="minorHAnsi" w:hAnsiTheme="minorHAnsi" w:cstheme="minorHAnsi"/>
        </w:rPr>
        <w:t xml:space="preserve"> previous contribution</w:t>
      </w:r>
      <w:r w:rsidR="00BD6B7F">
        <w:rPr>
          <w:rFonts w:asciiTheme="minorHAnsi" w:hAnsiTheme="minorHAnsi" w:cstheme="minorHAnsi"/>
        </w:rPr>
        <w:t xml:space="preserve"> [2] for </w:t>
      </w:r>
      <w:r w:rsidR="00BE57AE">
        <w:rPr>
          <w:rFonts w:asciiTheme="minorHAnsi" w:hAnsiTheme="minorHAnsi" w:cstheme="minorHAnsi"/>
        </w:rPr>
        <w:t>background</w:t>
      </w:r>
      <w:r w:rsidR="00C148E8">
        <w:rPr>
          <w:rFonts w:asciiTheme="minorHAnsi" w:hAnsiTheme="minorHAnsi" w:cstheme="minorHAnsi"/>
        </w:rPr>
        <w:t xml:space="preserve"> where we </w:t>
      </w:r>
      <w:r w:rsidR="00BE57AE">
        <w:rPr>
          <w:rFonts w:asciiTheme="minorHAnsi" w:hAnsiTheme="minorHAnsi" w:cstheme="minorHAnsi"/>
        </w:rPr>
        <w:t>reported c</w:t>
      </w:r>
      <w:r w:rsidR="002067A2" w:rsidRPr="00997ED0">
        <w:rPr>
          <w:rFonts w:asciiTheme="minorHAnsi" w:hAnsiTheme="minorHAnsi" w:cstheme="minorHAnsi"/>
        </w:rPr>
        <w:t>alculated EVM data</w:t>
      </w:r>
      <w:r w:rsidR="00AB4102">
        <w:rPr>
          <w:rFonts w:asciiTheme="minorHAnsi" w:hAnsiTheme="minorHAnsi" w:cstheme="minorHAnsi"/>
        </w:rPr>
        <w:t>, including standard deviation</w:t>
      </w:r>
      <w:r w:rsidR="00171E66">
        <w:rPr>
          <w:rFonts w:asciiTheme="minorHAnsi" w:hAnsiTheme="minorHAnsi" w:cstheme="minorHAnsi"/>
        </w:rPr>
        <w:t>,</w:t>
      </w:r>
      <w:r w:rsidR="00643CE6">
        <w:rPr>
          <w:rFonts w:asciiTheme="minorHAnsi" w:hAnsiTheme="minorHAnsi" w:cstheme="minorHAnsi"/>
        </w:rPr>
        <w:t xml:space="preserve"> for slot length PSUCH</w:t>
      </w:r>
      <w:r w:rsidR="002067A2">
        <w:rPr>
          <w:rFonts w:asciiTheme="minorHAnsi" w:hAnsiTheme="minorHAnsi" w:cstheme="minorHAnsi"/>
        </w:rPr>
        <w:t xml:space="preserve"> in the presence of AWGN</w:t>
      </w:r>
      <w:r w:rsidR="00C148E8">
        <w:rPr>
          <w:rFonts w:asciiTheme="minorHAnsi" w:hAnsiTheme="minorHAnsi" w:cstheme="minorHAnsi"/>
        </w:rPr>
        <w:t>,</w:t>
      </w:r>
      <w:r w:rsidR="002067A2" w:rsidRPr="00997ED0">
        <w:rPr>
          <w:rFonts w:asciiTheme="minorHAnsi" w:hAnsiTheme="minorHAnsi" w:cstheme="minorHAnsi"/>
        </w:rPr>
        <w:t xml:space="preserve"> </w:t>
      </w:r>
      <w:r w:rsidR="001F28E4">
        <w:rPr>
          <w:rFonts w:asciiTheme="minorHAnsi" w:hAnsiTheme="minorHAnsi" w:cstheme="minorHAnsi"/>
        </w:rPr>
        <w:t>reproduced</w:t>
      </w:r>
      <w:r w:rsidR="002067A2" w:rsidRPr="00997ED0">
        <w:rPr>
          <w:rFonts w:asciiTheme="minorHAnsi" w:hAnsiTheme="minorHAnsi" w:cstheme="minorHAnsi"/>
        </w:rPr>
        <w:t xml:space="preserve"> in Figure 2.2-</w:t>
      </w:r>
      <w:r w:rsidR="001F28E4">
        <w:rPr>
          <w:rFonts w:asciiTheme="minorHAnsi" w:hAnsiTheme="minorHAnsi" w:cstheme="minorHAnsi"/>
        </w:rPr>
        <w:t>1</w:t>
      </w:r>
      <w:r w:rsidR="00167018">
        <w:rPr>
          <w:rFonts w:asciiTheme="minorHAnsi" w:hAnsiTheme="minorHAnsi" w:cstheme="minorHAnsi"/>
        </w:rPr>
        <w:t>a</w:t>
      </w:r>
      <w:r w:rsidR="002067A2" w:rsidRPr="00997ED0">
        <w:rPr>
          <w:rFonts w:asciiTheme="minorHAnsi" w:hAnsiTheme="minorHAnsi" w:cstheme="minorHAnsi"/>
        </w:rPr>
        <w:t>.</w:t>
      </w:r>
      <w:r w:rsidR="002067A2">
        <w:rPr>
          <w:rFonts w:asciiTheme="minorHAnsi" w:hAnsiTheme="minorHAnsi" w:cstheme="minorHAnsi"/>
        </w:rPr>
        <w:t xml:space="preserve"> </w:t>
      </w:r>
      <w:r w:rsidR="00167018">
        <w:rPr>
          <w:rFonts w:ascii="Calibri" w:hAnsi="Calibri" w:cs="Calibri"/>
        </w:rPr>
        <w:t xml:space="preserve">These results are still valid if, as </w:t>
      </w:r>
      <w:r w:rsidR="00E169B6">
        <w:rPr>
          <w:rFonts w:ascii="Calibri" w:hAnsi="Calibri" w:cs="Calibri"/>
        </w:rPr>
        <w:t>stated</w:t>
      </w:r>
      <w:r w:rsidR="00167018">
        <w:rPr>
          <w:rFonts w:ascii="Calibri" w:hAnsi="Calibri" w:cs="Calibri"/>
        </w:rPr>
        <w:t xml:space="preserve"> in [2], ‘</w:t>
      </w:r>
      <w:r w:rsidR="00167018" w:rsidRPr="00A662BA">
        <w:rPr>
          <w:rFonts w:ascii="Calibri" w:hAnsi="Calibri" w:cs="Calibri"/>
        </w:rPr>
        <w:t>When multiple OFDM slots were used for DMRS, the channel estimate based on DMRS was achieved by simple averaging.</w:t>
      </w:r>
      <w:r w:rsidR="00167018">
        <w:rPr>
          <w:rFonts w:ascii="Calibri" w:hAnsi="Calibri" w:cs="Calibri"/>
        </w:rPr>
        <w:t xml:space="preserve">’. We </w:t>
      </w:r>
      <w:r w:rsidR="00E169B6">
        <w:rPr>
          <w:rFonts w:ascii="Calibri" w:hAnsi="Calibri" w:cs="Calibri"/>
        </w:rPr>
        <w:t>have since</w:t>
      </w:r>
      <w:r w:rsidR="00167018">
        <w:rPr>
          <w:rFonts w:ascii="Calibri" w:hAnsi="Calibri" w:cs="Calibri"/>
        </w:rPr>
        <w:t xml:space="preserve"> discovered that accuracy can be significantly improved in Method 1 if a 2x2 LSE method is used over all the DMRS symbols rather than simple averaging. The EVM results with the updated procedure for Method 1 is shown below in figure 2.2-1b. </w:t>
      </w:r>
    </w:p>
    <w:p w14:paraId="4F18A2EE" w14:textId="62042076" w:rsidR="00CE5675" w:rsidRPr="00997ED0" w:rsidRDefault="00F521E1" w:rsidP="009834CD">
      <w:pPr>
        <w:jc w:val="center"/>
        <w:rPr>
          <w:rFonts w:asciiTheme="minorHAnsi" w:hAnsiTheme="minorHAnsi" w:cstheme="minorHAnsi"/>
        </w:rPr>
      </w:pPr>
      <w:r>
        <w:rPr>
          <w:noProof/>
        </w:rPr>
        <w:drawing>
          <wp:inline distT="0" distB="0" distL="0" distR="0" wp14:anchorId="69FC4768" wp14:editId="16B94B79">
            <wp:extent cx="3017520" cy="2071710"/>
            <wp:effectExtent l="0" t="0" r="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7520" cy="2071710"/>
                    </a:xfrm>
                    <a:prstGeom prst="rect">
                      <a:avLst/>
                    </a:prstGeom>
                    <a:noFill/>
                  </pic:spPr>
                </pic:pic>
              </a:graphicData>
            </a:graphic>
          </wp:inline>
        </w:drawing>
      </w:r>
      <w:r w:rsidR="007C56C0" w:rsidRPr="007C56C0">
        <w:rPr>
          <w:noProof/>
        </w:rPr>
        <w:t xml:space="preserve"> </w:t>
      </w:r>
      <w:r w:rsidR="00627680">
        <w:rPr>
          <w:noProof/>
        </w:rPr>
        <w:drawing>
          <wp:inline distT="0" distB="0" distL="0" distR="0" wp14:anchorId="2AFF0C7B" wp14:editId="4A00D4F0">
            <wp:extent cx="3017520" cy="2071710"/>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7520" cy="2071710"/>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4811"/>
        <w:gridCol w:w="4811"/>
      </w:tblGrid>
      <w:tr w:rsidR="003242F2" w14:paraId="6FA3C101" w14:textId="77777777" w:rsidTr="00353901">
        <w:tc>
          <w:tcPr>
            <w:tcW w:w="4811" w:type="dxa"/>
            <w:tcBorders>
              <w:top w:val="single" w:sz="4" w:space="0" w:color="FFFFFF"/>
              <w:left w:val="single" w:sz="4" w:space="0" w:color="FFFFFF"/>
              <w:bottom w:val="single" w:sz="4" w:space="0" w:color="FFFFFF"/>
              <w:right w:val="single" w:sz="4" w:space="0" w:color="FFFFFF"/>
            </w:tcBorders>
          </w:tcPr>
          <w:p w14:paraId="645682B0" w14:textId="2FCE12D2" w:rsidR="003242F2" w:rsidRDefault="003242F2" w:rsidP="004F392D">
            <w:pPr>
              <w:jc w:val="center"/>
              <w:rPr>
                <w:rFonts w:ascii="Calibri" w:hAnsi="Calibri" w:cs="Calibri"/>
              </w:rPr>
            </w:pPr>
            <w:r w:rsidRPr="003242F2">
              <w:rPr>
                <w:rFonts w:ascii="Calibri" w:hAnsi="Calibri" w:cs="Calibri"/>
              </w:rPr>
              <w:t>Figure 2.2-1</w:t>
            </w:r>
            <w:r>
              <w:rPr>
                <w:rFonts w:ascii="Calibri" w:hAnsi="Calibri" w:cs="Calibri"/>
              </w:rPr>
              <w:t>a</w:t>
            </w:r>
            <w:r w:rsidRPr="003242F2">
              <w:rPr>
                <w:rFonts w:ascii="Calibri" w:hAnsi="Calibri" w:cs="Calibri"/>
              </w:rPr>
              <w:t xml:space="preserve">: </w:t>
            </w:r>
            <w:r w:rsidRPr="00D341CD">
              <w:rPr>
                <w:rFonts w:ascii="Calibri" w:hAnsi="Calibri" w:cs="Calibri"/>
                <w:b/>
                <w:bCs/>
                <w:color w:val="FF0000"/>
              </w:rPr>
              <w:t>Previous</w:t>
            </w:r>
            <w:r w:rsidRPr="00D341CD">
              <w:rPr>
                <w:rFonts w:ascii="Calibri" w:hAnsi="Calibri" w:cs="Calibri"/>
                <w:color w:val="FF0000"/>
              </w:rPr>
              <w:t xml:space="preserve"> </w:t>
            </w:r>
            <w:r w:rsidRPr="003242F2">
              <w:rPr>
                <w:rFonts w:ascii="Calibri" w:hAnsi="Calibri" w:cs="Calibri"/>
              </w:rPr>
              <w:t xml:space="preserve">EVM accuracy results [2] </w:t>
            </w:r>
            <w:r w:rsidR="00D341CD">
              <w:rPr>
                <w:rFonts w:asciiTheme="minorHAnsi" w:hAnsiTheme="minorHAnsi" w:cstheme="minorHAnsi"/>
              </w:rPr>
              <w:t>(Method 1 uses simple averaging</w:t>
            </w:r>
            <w:r w:rsidR="003E13CC">
              <w:rPr>
                <w:rFonts w:asciiTheme="minorHAnsi" w:hAnsiTheme="minorHAnsi" w:cstheme="minorHAnsi"/>
              </w:rPr>
              <w:t xml:space="preserve"> over DMRS symbols in</w:t>
            </w:r>
            <w:r w:rsidR="00D341CD">
              <w:rPr>
                <w:rFonts w:asciiTheme="minorHAnsi" w:hAnsiTheme="minorHAnsi" w:cstheme="minorHAnsi"/>
              </w:rPr>
              <w:t xml:space="preserve"> channel estimation)</w:t>
            </w:r>
          </w:p>
        </w:tc>
        <w:tc>
          <w:tcPr>
            <w:tcW w:w="4811" w:type="dxa"/>
            <w:tcBorders>
              <w:top w:val="single" w:sz="4" w:space="0" w:color="FFFFFF"/>
              <w:left w:val="single" w:sz="4" w:space="0" w:color="FFFFFF"/>
              <w:bottom w:val="single" w:sz="4" w:space="0" w:color="FFFFFF"/>
              <w:right w:val="single" w:sz="4" w:space="0" w:color="FFFFFF"/>
            </w:tcBorders>
          </w:tcPr>
          <w:p w14:paraId="65E0798B" w14:textId="41F8E6D8" w:rsidR="003242F2" w:rsidRPr="003242F2" w:rsidRDefault="003242F2" w:rsidP="003242F2">
            <w:pPr>
              <w:jc w:val="center"/>
              <w:rPr>
                <w:rFonts w:asciiTheme="minorHAnsi" w:hAnsiTheme="minorHAnsi" w:cstheme="minorHAnsi"/>
              </w:rPr>
            </w:pPr>
            <w:r w:rsidRPr="003242F2">
              <w:rPr>
                <w:rFonts w:ascii="Calibri" w:hAnsi="Calibri" w:cs="Calibri"/>
              </w:rPr>
              <w:t>Figure 2.2-1</w:t>
            </w:r>
            <w:r w:rsidR="00D341CD">
              <w:rPr>
                <w:rFonts w:ascii="Calibri" w:hAnsi="Calibri" w:cs="Calibri"/>
              </w:rPr>
              <w:t>b</w:t>
            </w:r>
            <w:r w:rsidRPr="003242F2">
              <w:rPr>
                <w:rFonts w:ascii="Calibri" w:hAnsi="Calibri" w:cs="Calibri"/>
              </w:rPr>
              <w:t>:</w:t>
            </w:r>
            <w:r>
              <w:rPr>
                <w:rFonts w:ascii="Calibri" w:hAnsi="Calibri" w:cs="Calibri"/>
              </w:rPr>
              <w:t xml:space="preserve"> </w:t>
            </w:r>
            <w:r w:rsidRPr="00D341CD">
              <w:rPr>
                <w:rFonts w:asciiTheme="minorHAnsi" w:hAnsiTheme="minorHAnsi" w:cstheme="minorHAnsi"/>
                <w:b/>
                <w:bCs/>
                <w:color w:val="FF0000"/>
              </w:rPr>
              <w:t>Revised</w:t>
            </w:r>
            <w:r w:rsidRPr="00D341CD">
              <w:rPr>
                <w:rFonts w:asciiTheme="minorHAnsi" w:hAnsiTheme="minorHAnsi" w:cstheme="minorHAnsi"/>
                <w:color w:val="FF0000"/>
              </w:rPr>
              <w:t xml:space="preserve"> </w:t>
            </w:r>
            <w:r w:rsidRPr="00997ED0">
              <w:rPr>
                <w:rFonts w:asciiTheme="minorHAnsi" w:hAnsiTheme="minorHAnsi" w:cstheme="minorHAnsi"/>
              </w:rPr>
              <w:t xml:space="preserve">EVM </w:t>
            </w:r>
            <w:r>
              <w:rPr>
                <w:rFonts w:asciiTheme="minorHAnsi" w:hAnsiTheme="minorHAnsi" w:cstheme="minorHAnsi"/>
              </w:rPr>
              <w:t xml:space="preserve">accuracy </w:t>
            </w:r>
            <w:r w:rsidRPr="00997ED0">
              <w:rPr>
                <w:rFonts w:asciiTheme="minorHAnsi" w:hAnsiTheme="minorHAnsi" w:cstheme="minorHAnsi"/>
              </w:rPr>
              <w:t>results</w:t>
            </w:r>
            <w:r>
              <w:rPr>
                <w:rFonts w:asciiTheme="minorHAnsi" w:hAnsiTheme="minorHAnsi" w:cstheme="minorHAnsi"/>
              </w:rPr>
              <w:t xml:space="preserve"> (Method 1 updated with LSE channel estimation</w:t>
            </w:r>
            <w:r w:rsidR="003E13CC">
              <w:rPr>
                <w:rFonts w:asciiTheme="minorHAnsi" w:hAnsiTheme="minorHAnsi" w:cstheme="minorHAnsi"/>
              </w:rPr>
              <w:t xml:space="preserve"> over DMRS symbols in channel estimation</w:t>
            </w:r>
            <w:r>
              <w:rPr>
                <w:rFonts w:asciiTheme="minorHAnsi" w:hAnsiTheme="minorHAnsi" w:cstheme="minorHAnsi"/>
              </w:rPr>
              <w:t>)</w:t>
            </w:r>
          </w:p>
        </w:tc>
      </w:tr>
    </w:tbl>
    <w:p w14:paraId="5486472E" w14:textId="6FF94F59" w:rsidR="007D57F1" w:rsidRDefault="00E95EDB" w:rsidP="002F3972">
      <w:pPr>
        <w:rPr>
          <w:rFonts w:ascii="Calibri" w:hAnsi="Calibri" w:cs="Calibri"/>
        </w:rPr>
      </w:pPr>
      <w:r>
        <w:rPr>
          <w:rFonts w:ascii="Calibri" w:hAnsi="Calibri" w:cs="Calibri"/>
        </w:rPr>
        <w:t>There results show that the fundamental problem of Method 1</w:t>
      </w:r>
      <w:r w:rsidR="00CD6755">
        <w:rPr>
          <w:rFonts w:ascii="Calibri" w:hAnsi="Calibri" w:cs="Calibri"/>
        </w:rPr>
        <w:t xml:space="preserve"> </w:t>
      </w:r>
      <w:r w:rsidR="00714532">
        <w:rPr>
          <w:rFonts w:ascii="Calibri" w:hAnsi="Calibri" w:cs="Calibri"/>
        </w:rPr>
        <w:t xml:space="preserve">we identified </w:t>
      </w:r>
      <w:r w:rsidR="000A1F0B">
        <w:rPr>
          <w:rFonts w:ascii="Calibri" w:hAnsi="Calibri" w:cs="Calibri"/>
        </w:rPr>
        <w:t xml:space="preserve">in [2] </w:t>
      </w:r>
      <w:r w:rsidR="00CD6755">
        <w:rPr>
          <w:rFonts w:ascii="Calibri" w:hAnsi="Calibri" w:cs="Calibri"/>
        </w:rPr>
        <w:t xml:space="preserve">(accuracy for slot-length </w:t>
      </w:r>
      <w:r w:rsidR="009B1345">
        <w:rPr>
          <w:rFonts w:ascii="Calibri" w:hAnsi="Calibri" w:cs="Calibri"/>
        </w:rPr>
        <w:t>PUSCH</w:t>
      </w:r>
      <w:r w:rsidR="00CD6755">
        <w:rPr>
          <w:rFonts w:ascii="Calibri" w:hAnsi="Calibri" w:cs="Calibri"/>
        </w:rPr>
        <w:t xml:space="preserve"> per the RMCs in the standard)</w:t>
      </w:r>
      <w:r w:rsidR="000A1F0B">
        <w:rPr>
          <w:rFonts w:ascii="Calibri" w:hAnsi="Calibri" w:cs="Calibri"/>
        </w:rPr>
        <w:t xml:space="preserve"> can be overcome with more sophisticated channel estimation from DMRS symbols.</w:t>
      </w:r>
      <w:r w:rsidR="001B490A">
        <w:rPr>
          <w:rFonts w:ascii="Calibri" w:hAnsi="Calibri" w:cs="Calibri"/>
        </w:rPr>
        <w:t xml:space="preserve"> </w:t>
      </w:r>
    </w:p>
    <w:p w14:paraId="00BA782F" w14:textId="77777777" w:rsidR="00390025" w:rsidRDefault="00390025" w:rsidP="00390025">
      <w:pPr>
        <w:rPr>
          <w:rFonts w:ascii="Calibri" w:hAnsi="Calibri" w:cs="Calibri"/>
          <w:b/>
          <w:bCs/>
        </w:rPr>
      </w:pPr>
      <w:r w:rsidRPr="00835D09">
        <w:rPr>
          <w:rFonts w:ascii="Calibri" w:hAnsi="Calibri" w:cs="Calibri"/>
          <w:b/>
          <w:bCs/>
        </w:rPr>
        <w:t xml:space="preserve">Observation 1: Method 1 has </w:t>
      </w:r>
      <w:r>
        <w:rPr>
          <w:rFonts w:ascii="Calibri" w:hAnsi="Calibri" w:cs="Calibri"/>
          <w:b/>
          <w:bCs/>
        </w:rPr>
        <w:t xml:space="preserve">equivalent or </w:t>
      </w:r>
      <w:r w:rsidRPr="00835D09">
        <w:rPr>
          <w:rFonts w:ascii="Calibri" w:hAnsi="Calibri" w:cs="Calibri"/>
          <w:b/>
          <w:bCs/>
        </w:rPr>
        <w:t>superior accuracy</w:t>
      </w:r>
      <w:r>
        <w:rPr>
          <w:rFonts w:ascii="Calibri" w:hAnsi="Calibri" w:cs="Calibri"/>
          <w:b/>
          <w:bCs/>
        </w:rPr>
        <w:t xml:space="preserve"> compared to Method 2</w:t>
      </w:r>
      <w:r w:rsidRPr="00835D09">
        <w:rPr>
          <w:rFonts w:ascii="Calibri" w:hAnsi="Calibri" w:cs="Calibri"/>
          <w:b/>
          <w:bCs/>
        </w:rPr>
        <w:t>, provided channel extraction is performed by LSE</w:t>
      </w:r>
      <w:r>
        <w:rPr>
          <w:rFonts w:ascii="Calibri" w:hAnsi="Calibri" w:cs="Calibri"/>
          <w:b/>
          <w:bCs/>
        </w:rPr>
        <w:t>, for slot length rank 2 UL.</w:t>
      </w:r>
    </w:p>
    <w:p w14:paraId="27F49B68" w14:textId="51D65E55" w:rsidR="001B59D7" w:rsidRDefault="00C2767F" w:rsidP="001B59D7">
      <w:pPr>
        <w:pStyle w:val="Heading2"/>
      </w:pPr>
      <w:r>
        <w:t>2.3</w:t>
      </w:r>
      <w:r>
        <w:tab/>
      </w:r>
      <w:r w:rsidR="001B59D7" w:rsidRPr="000454EC">
        <w:t xml:space="preserve">EVM accuracy </w:t>
      </w:r>
      <w:r w:rsidR="00DF0961">
        <w:t>for sub-slot length signals</w:t>
      </w:r>
    </w:p>
    <w:p w14:paraId="6265341E" w14:textId="0EF184E0" w:rsidR="00F5620E" w:rsidRDefault="00A72832" w:rsidP="00F5620E">
      <w:pPr>
        <w:rPr>
          <w:rFonts w:ascii="Calibri" w:hAnsi="Calibri" w:cs="Calibri"/>
        </w:rPr>
      </w:pPr>
      <w:r>
        <w:rPr>
          <w:rFonts w:ascii="Calibri" w:hAnsi="Calibri" w:cs="Calibri"/>
        </w:rPr>
        <w:t>At the outset</w:t>
      </w:r>
      <w:r w:rsidR="00767A70">
        <w:rPr>
          <w:rFonts w:ascii="Calibri" w:hAnsi="Calibri" w:cs="Calibri"/>
        </w:rPr>
        <w:t>, it is useful to recognize what is required for the standard, and what is ‘nice to have’</w:t>
      </w:r>
      <w:r w:rsidR="00C11CA9">
        <w:rPr>
          <w:rFonts w:ascii="Calibri" w:hAnsi="Calibri" w:cs="Calibri"/>
        </w:rPr>
        <w:t xml:space="preserve">. As was argued in [2], </w:t>
      </w:r>
      <w:r w:rsidR="00F5620E">
        <w:rPr>
          <w:rFonts w:ascii="Calibri" w:hAnsi="Calibri" w:cs="Calibri"/>
        </w:rPr>
        <w:t>there are two categories of</w:t>
      </w:r>
      <w:r w:rsidR="00677519">
        <w:rPr>
          <w:rFonts w:ascii="Calibri" w:hAnsi="Calibri" w:cs="Calibri"/>
        </w:rPr>
        <w:t xml:space="preserve"> sub-slot length</w:t>
      </w:r>
      <w:r w:rsidR="00F5620E">
        <w:rPr>
          <w:rFonts w:ascii="Calibri" w:hAnsi="Calibri" w:cs="Calibri"/>
        </w:rPr>
        <w:t xml:space="preserve"> signals: sequence based, and non-sequence based.</w:t>
      </w:r>
    </w:p>
    <w:p w14:paraId="5F8D56BC" w14:textId="6EF5B088" w:rsidR="00F5620E" w:rsidRPr="000F1D95" w:rsidRDefault="00F5620E" w:rsidP="000F1D95">
      <w:pPr>
        <w:pStyle w:val="ListParagraph"/>
        <w:numPr>
          <w:ilvl w:val="0"/>
          <w:numId w:val="6"/>
        </w:numPr>
        <w:rPr>
          <w:rFonts w:ascii="Calibri" w:hAnsi="Calibri" w:cs="Calibri"/>
        </w:rPr>
      </w:pPr>
      <w:r w:rsidRPr="000F1D95">
        <w:rPr>
          <w:rFonts w:ascii="Calibri" w:hAnsi="Calibri" w:cs="Calibri"/>
        </w:rPr>
        <w:t>Physical signals like SRS, DMRS, some PUCCH formats etc are sequence based. The standard explicitly treats only DMRS: ‘</w:t>
      </w:r>
      <w:r w:rsidRPr="000F1D95">
        <w:rPr>
          <w:rFonts w:ascii="Calibri" w:hAnsi="Calibri" w:cs="Calibri"/>
          <w:i/>
          <w:iCs/>
        </w:rPr>
        <w:t xml:space="preserve">The RMS average of the basic EVM measurements </w:t>
      </w:r>
      <w:proofErr w:type="gramStart"/>
      <w:r w:rsidRPr="000F1D95">
        <w:rPr>
          <w:rFonts w:ascii="Calibri" w:hAnsi="Calibri" w:cs="Calibri"/>
          <w:i/>
          <w:iCs/>
        </w:rPr>
        <w:t>….over</w:t>
      </w:r>
      <w:proofErr w:type="gramEnd"/>
      <w:r w:rsidRPr="000F1D95">
        <w:rPr>
          <w:rFonts w:ascii="Calibri" w:hAnsi="Calibri" w:cs="Calibri"/>
          <w:i/>
          <w:iCs/>
        </w:rPr>
        <w:t xml:space="preserve"> 60 subframes for the reference signal EVM case, for….</w:t>
      </w:r>
      <w:r w:rsidRPr="000F1D95">
        <w:rPr>
          <w:rFonts w:ascii="Calibri" w:hAnsi="Calibri" w:cs="Calibri"/>
        </w:rPr>
        <w:t xml:space="preserve">’. One could reasonably assume that the averaging directions apply to all sequence-based signals. </w:t>
      </w:r>
      <w:r w:rsidR="008D43BE" w:rsidRPr="000F1D95">
        <w:rPr>
          <w:rFonts w:ascii="Calibri" w:hAnsi="Calibri" w:cs="Calibri"/>
        </w:rPr>
        <w:t>We think both</w:t>
      </w:r>
      <w:r w:rsidRPr="000F1D95">
        <w:rPr>
          <w:rFonts w:ascii="Calibri" w:hAnsi="Calibri" w:cs="Calibri"/>
        </w:rPr>
        <w:t xml:space="preserve"> methods are equivalent for demodulating sequence-based signals</w:t>
      </w:r>
      <w:r w:rsidR="0056773C" w:rsidRPr="000F1D95">
        <w:rPr>
          <w:rFonts w:ascii="Calibri" w:hAnsi="Calibri" w:cs="Calibri"/>
        </w:rPr>
        <w:t>, provided Method 1 uses the LSE method.</w:t>
      </w:r>
    </w:p>
    <w:p w14:paraId="4C456375" w14:textId="77777777" w:rsidR="00F5620E" w:rsidRPr="000F1D95" w:rsidRDefault="00F5620E" w:rsidP="000F1D95">
      <w:pPr>
        <w:pStyle w:val="ListParagraph"/>
        <w:numPr>
          <w:ilvl w:val="0"/>
          <w:numId w:val="6"/>
        </w:numPr>
        <w:rPr>
          <w:rFonts w:ascii="Calibri" w:hAnsi="Calibri" w:cs="Calibri"/>
        </w:rPr>
      </w:pPr>
      <w:r w:rsidRPr="000F1D95">
        <w:rPr>
          <w:rFonts w:ascii="Calibri" w:hAnsi="Calibri" w:cs="Calibri"/>
        </w:rPr>
        <w:t>Some sub-slot-length signals (2/4/7 symbol PUSCH, PUCCH) are not sequence based. For FR2, the standard states: ‘</w:t>
      </w:r>
      <w:r w:rsidRPr="000F1D95">
        <w:rPr>
          <w:rFonts w:ascii="Calibri" w:hAnsi="Calibri" w:cs="Calibri"/>
          <w:i/>
          <w:iCs/>
        </w:rPr>
        <w:t>The basic EVM measurement interval in the time domain is …. one slot for PUCCH and PUSCH in the time domain</w:t>
      </w:r>
      <w:r w:rsidRPr="000F1D95">
        <w:rPr>
          <w:rFonts w:ascii="Calibri" w:hAnsi="Calibri" w:cs="Calibri"/>
        </w:rPr>
        <w:t xml:space="preserve">’. The standard therefore does not place an EVM requirement on sub-slot length non-sequence-based signals. </w:t>
      </w:r>
    </w:p>
    <w:p w14:paraId="3A29926A" w14:textId="6C1B4DBA" w:rsidR="00A72832" w:rsidRDefault="0006555D" w:rsidP="00F5620E">
      <w:pPr>
        <w:rPr>
          <w:rFonts w:ascii="Calibri" w:hAnsi="Calibri" w:cs="Calibri"/>
        </w:rPr>
      </w:pPr>
      <w:r w:rsidRPr="00835D09">
        <w:rPr>
          <w:rFonts w:ascii="Calibri" w:hAnsi="Calibri" w:cs="Calibri"/>
          <w:b/>
          <w:bCs/>
        </w:rPr>
        <w:t xml:space="preserve">Observation </w:t>
      </w:r>
      <w:r>
        <w:rPr>
          <w:rFonts w:ascii="Calibri" w:hAnsi="Calibri" w:cs="Calibri"/>
          <w:b/>
          <w:bCs/>
        </w:rPr>
        <w:t>2</w:t>
      </w:r>
      <w:r w:rsidRPr="00835D09">
        <w:rPr>
          <w:rFonts w:ascii="Calibri" w:hAnsi="Calibri" w:cs="Calibri"/>
          <w:b/>
          <w:bCs/>
        </w:rPr>
        <w:t xml:space="preserve">: </w:t>
      </w:r>
      <w:r w:rsidR="00F5620E" w:rsidRPr="0006555D">
        <w:rPr>
          <w:rFonts w:ascii="Calibri" w:hAnsi="Calibri" w:cs="Calibri"/>
          <w:b/>
          <w:bCs/>
        </w:rPr>
        <w:t xml:space="preserve">Sub-slot-length non-sequence-based signals </w:t>
      </w:r>
      <w:r w:rsidR="00FB4A8D" w:rsidRPr="0006555D">
        <w:rPr>
          <w:rFonts w:ascii="Calibri" w:hAnsi="Calibri" w:cs="Calibri"/>
          <w:b/>
          <w:bCs/>
        </w:rPr>
        <w:t xml:space="preserve">are merely ‘nice to have’ </w:t>
      </w:r>
      <w:r w:rsidR="00F5620E" w:rsidRPr="0006555D">
        <w:rPr>
          <w:rFonts w:ascii="Calibri" w:hAnsi="Calibri" w:cs="Calibri"/>
          <w:b/>
          <w:bCs/>
        </w:rPr>
        <w:t xml:space="preserve">and </w:t>
      </w:r>
      <w:r w:rsidR="00FB4A8D" w:rsidRPr="0006555D">
        <w:rPr>
          <w:rFonts w:ascii="Calibri" w:hAnsi="Calibri" w:cs="Calibri"/>
          <w:b/>
          <w:bCs/>
        </w:rPr>
        <w:t>must not be a primary consideration in choosing the EVM method</w:t>
      </w:r>
      <w:r w:rsidR="009B5B03" w:rsidRPr="0006555D">
        <w:rPr>
          <w:rFonts w:ascii="Calibri" w:hAnsi="Calibri" w:cs="Calibri"/>
          <w:b/>
          <w:bCs/>
        </w:rPr>
        <w:t>.</w:t>
      </w:r>
    </w:p>
    <w:p w14:paraId="304C6D55" w14:textId="26AFB069" w:rsidR="00CC2D05" w:rsidRDefault="000400F4" w:rsidP="001B59D7">
      <w:pPr>
        <w:rPr>
          <w:rFonts w:ascii="Calibri" w:hAnsi="Calibri" w:cs="Calibri"/>
        </w:rPr>
      </w:pPr>
      <w:r>
        <w:rPr>
          <w:rFonts w:ascii="Calibri" w:hAnsi="Calibri" w:cs="Calibri"/>
        </w:rPr>
        <w:t xml:space="preserve">With observation 2 in mind, we </w:t>
      </w:r>
      <w:r w:rsidR="005746B5">
        <w:rPr>
          <w:rFonts w:ascii="Calibri" w:hAnsi="Calibri" w:cs="Calibri"/>
        </w:rPr>
        <w:t xml:space="preserve">have </w:t>
      </w:r>
      <w:r w:rsidR="002768D1">
        <w:rPr>
          <w:rFonts w:ascii="Calibri" w:hAnsi="Calibri" w:cs="Calibri"/>
        </w:rPr>
        <w:t>move</w:t>
      </w:r>
      <w:r w:rsidR="005746B5">
        <w:rPr>
          <w:rFonts w:ascii="Calibri" w:hAnsi="Calibri" w:cs="Calibri"/>
        </w:rPr>
        <w:t>d</w:t>
      </w:r>
      <w:r w:rsidR="002768D1">
        <w:rPr>
          <w:rFonts w:ascii="Calibri" w:hAnsi="Calibri" w:cs="Calibri"/>
        </w:rPr>
        <w:t xml:space="preserve"> detailed </w:t>
      </w:r>
      <w:r w:rsidR="005746B5">
        <w:rPr>
          <w:rFonts w:ascii="Calibri" w:hAnsi="Calibri" w:cs="Calibri"/>
        </w:rPr>
        <w:t>discussion of this topic to the Annex.</w:t>
      </w:r>
      <w:r w:rsidR="00F15412">
        <w:rPr>
          <w:rFonts w:ascii="Calibri" w:hAnsi="Calibri" w:cs="Calibri"/>
        </w:rPr>
        <w:t xml:space="preserve"> </w:t>
      </w:r>
    </w:p>
    <w:p w14:paraId="4600E351" w14:textId="77777777" w:rsidR="00CF2FD6" w:rsidRPr="00997ED0" w:rsidRDefault="00CF2FD6" w:rsidP="002F3972">
      <w:pPr>
        <w:rPr>
          <w:rFonts w:asciiTheme="minorHAnsi" w:hAnsiTheme="minorHAnsi" w:cstheme="minorHAnsi"/>
        </w:rPr>
      </w:pPr>
    </w:p>
    <w:p w14:paraId="1129A879" w14:textId="3140897F" w:rsidR="007C426D" w:rsidRDefault="00364D65" w:rsidP="00853108">
      <w:pPr>
        <w:pStyle w:val="Heading2"/>
        <w:numPr>
          <w:ilvl w:val="1"/>
          <w:numId w:val="6"/>
        </w:numPr>
        <w:ind w:hanging="1308"/>
      </w:pPr>
      <w:r>
        <w:lastRenderedPageBreak/>
        <w:t>Invertibility problems</w:t>
      </w:r>
      <w:r w:rsidR="0059730F">
        <w:tab/>
      </w:r>
    </w:p>
    <w:p w14:paraId="527FAD66" w14:textId="46D9C149" w:rsidR="008E3B35" w:rsidRDefault="00FB422C" w:rsidP="00CB5262">
      <w:pPr>
        <w:rPr>
          <w:rFonts w:asciiTheme="minorHAnsi" w:hAnsiTheme="minorHAnsi" w:cstheme="minorHAnsi"/>
        </w:rPr>
      </w:pPr>
      <w:r w:rsidRPr="00273040">
        <w:rPr>
          <w:rFonts w:asciiTheme="minorHAnsi" w:hAnsiTheme="minorHAnsi" w:cstheme="minorHAnsi"/>
          <w:noProof/>
        </w:rPr>
        <w:drawing>
          <wp:anchor distT="0" distB="0" distL="114300" distR="114300" simplePos="0" relativeHeight="251662336" behindDoc="0" locked="0" layoutInCell="1" allowOverlap="1" wp14:anchorId="3F62723C" wp14:editId="2AD8F020">
            <wp:simplePos x="0" y="0"/>
            <wp:positionH relativeFrom="margin">
              <wp:align>left</wp:align>
            </wp:positionH>
            <wp:positionV relativeFrom="paragraph">
              <wp:posOffset>525780</wp:posOffset>
            </wp:positionV>
            <wp:extent cx="3606800" cy="2703195"/>
            <wp:effectExtent l="0" t="0" r="0" b="1905"/>
            <wp:wrapSquare wrapText="bothSides"/>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6800" cy="27031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4D65">
        <w:rPr>
          <w:rFonts w:asciiTheme="minorHAnsi" w:hAnsiTheme="minorHAnsi" w:cstheme="minorHAnsi"/>
        </w:rPr>
        <w:t xml:space="preserve">Invertibility </w:t>
      </w:r>
      <w:r w:rsidR="00072010">
        <w:rPr>
          <w:rFonts w:asciiTheme="minorHAnsi" w:hAnsiTheme="minorHAnsi" w:cstheme="minorHAnsi"/>
        </w:rPr>
        <w:t xml:space="preserve">problems are unique to Method 2 because of its dependence on data symbols for </w:t>
      </w:r>
      <w:r w:rsidR="00723217">
        <w:rPr>
          <w:rFonts w:asciiTheme="minorHAnsi" w:hAnsiTheme="minorHAnsi" w:cstheme="minorHAnsi"/>
        </w:rPr>
        <w:t xml:space="preserve">creating </w:t>
      </w:r>
      <w:r w:rsidR="00072010">
        <w:rPr>
          <w:rFonts w:asciiTheme="minorHAnsi" w:hAnsiTheme="minorHAnsi" w:cstheme="minorHAnsi"/>
        </w:rPr>
        <w:t xml:space="preserve">the channel estimate. </w:t>
      </w:r>
      <w:r w:rsidR="008C6982">
        <w:rPr>
          <w:rFonts w:asciiTheme="minorHAnsi" w:hAnsiTheme="minorHAnsi" w:cstheme="minorHAnsi"/>
        </w:rPr>
        <w:t>In figure 2.</w:t>
      </w:r>
      <w:r w:rsidR="008E3B35">
        <w:rPr>
          <w:rFonts w:asciiTheme="minorHAnsi" w:hAnsiTheme="minorHAnsi" w:cstheme="minorHAnsi"/>
        </w:rPr>
        <w:t>4</w:t>
      </w:r>
      <w:r w:rsidR="008C6982">
        <w:rPr>
          <w:rFonts w:asciiTheme="minorHAnsi" w:hAnsiTheme="minorHAnsi" w:cstheme="minorHAnsi"/>
        </w:rPr>
        <w:t xml:space="preserve">-1, we </w:t>
      </w:r>
      <w:r w:rsidR="00A95A7F">
        <w:rPr>
          <w:rFonts w:asciiTheme="minorHAnsi" w:hAnsiTheme="minorHAnsi" w:cstheme="minorHAnsi"/>
        </w:rPr>
        <w:t>reproduce</w:t>
      </w:r>
      <w:r w:rsidR="0070012A">
        <w:rPr>
          <w:rFonts w:asciiTheme="minorHAnsi" w:hAnsiTheme="minorHAnsi" w:cstheme="minorHAnsi"/>
        </w:rPr>
        <w:t xml:space="preserve"> our analysis from [2] to show</w:t>
      </w:r>
      <w:r w:rsidR="008C6982">
        <w:rPr>
          <w:rFonts w:asciiTheme="minorHAnsi" w:hAnsiTheme="minorHAnsi" w:cstheme="minorHAnsi"/>
        </w:rPr>
        <w:t xml:space="preserve"> the probability of inversion failure per SC</w:t>
      </w:r>
      <w:r w:rsidR="002E1D34">
        <w:rPr>
          <w:rFonts w:asciiTheme="minorHAnsi" w:hAnsiTheme="minorHAnsi" w:cstheme="minorHAnsi"/>
        </w:rPr>
        <w:t xml:space="preserve"> for QPSK.</w:t>
      </w:r>
    </w:p>
    <w:p w14:paraId="149779C3" w14:textId="01BD33FA" w:rsidR="00CB5262" w:rsidRDefault="002E1D34" w:rsidP="00CB5262">
      <w:pPr>
        <w:rPr>
          <w:rFonts w:asciiTheme="minorHAnsi" w:hAnsiTheme="minorHAnsi" w:cstheme="minorHAnsi"/>
        </w:rPr>
      </w:pPr>
      <w:r>
        <w:rPr>
          <w:rFonts w:asciiTheme="minorHAnsi" w:hAnsiTheme="minorHAnsi" w:cstheme="minorHAnsi"/>
        </w:rPr>
        <w:t xml:space="preserve"> </w:t>
      </w:r>
      <w:r w:rsidR="00204000" w:rsidRPr="00204000">
        <w:rPr>
          <w:rFonts w:asciiTheme="minorHAnsi" w:hAnsiTheme="minorHAnsi" w:cstheme="minorHAnsi"/>
        </w:rPr>
        <w:t>QPSK was chosen here because it also has the highest probability of invertibility failure.</w:t>
      </w:r>
      <w:r w:rsidR="00B40E04">
        <w:rPr>
          <w:rFonts w:asciiTheme="minorHAnsi" w:hAnsiTheme="minorHAnsi" w:cstheme="minorHAnsi"/>
        </w:rPr>
        <w:t xml:space="preserve"> </w:t>
      </w:r>
      <w:r w:rsidR="00204000" w:rsidRPr="00204000">
        <w:rPr>
          <w:rFonts w:asciiTheme="minorHAnsi" w:hAnsiTheme="minorHAnsi" w:cstheme="minorHAnsi"/>
        </w:rPr>
        <w:t xml:space="preserve">The probability of inversion failure </w:t>
      </w:r>
      <w:r w:rsidR="009A6C41">
        <w:rPr>
          <w:rFonts w:asciiTheme="minorHAnsi" w:hAnsiTheme="minorHAnsi" w:cstheme="minorHAnsi"/>
        </w:rPr>
        <w:t>gets progressively</w:t>
      </w:r>
      <w:r w:rsidR="00204000" w:rsidRPr="00204000">
        <w:rPr>
          <w:rFonts w:asciiTheme="minorHAnsi" w:hAnsiTheme="minorHAnsi" w:cstheme="minorHAnsi"/>
        </w:rPr>
        <w:t xml:space="preserve"> lower for 16QAM</w:t>
      </w:r>
      <w:r w:rsidR="00710D93">
        <w:rPr>
          <w:rFonts w:asciiTheme="minorHAnsi" w:hAnsiTheme="minorHAnsi" w:cstheme="minorHAnsi"/>
        </w:rPr>
        <w:t xml:space="preserve"> </w:t>
      </w:r>
      <w:r w:rsidR="009A6C41">
        <w:rPr>
          <w:rFonts w:asciiTheme="minorHAnsi" w:hAnsiTheme="minorHAnsi" w:cstheme="minorHAnsi"/>
        </w:rPr>
        <w:t>and 64QAM</w:t>
      </w:r>
      <w:r w:rsidR="00B40E04">
        <w:rPr>
          <w:rFonts w:asciiTheme="minorHAnsi" w:hAnsiTheme="minorHAnsi" w:cstheme="minorHAnsi"/>
        </w:rPr>
        <w:t xml:space="preserve">. The inversion failure probability </w:t>
      </w:r>
      <w:r w:rsidR="00710D93">
        <w:rPr>
          <w:rFonts w:asciiTheme="minorHAnsi" w:hAnsiTheme="minorHAnsi" w:cstheme="minorHAnsi"/>
        </w:rPr>
        <w:t xml:space="preserve">reduces </w:t>
      </w:r>
      <w:r w:rsidR="000231B9">
        <w:rPr>
          <w:rFonts w:asciiTheme="minorHAnsi" w:hAnsiTheme="minorHAnsi" w:cstheme="minorHAnsi"/>
        </w:rPr>
        <w:t>exponenti</w:t>
      </w:r>
      <w:r w:rsidR="00B07857">
        <w:rPr>
          <w:rFonts w:asciiTheme="minorHAnsi" w:hAnsiTheme="minorHAnsi" w:cstheme="minorHAnsi"/>
        </w:rPr>
        <w:t>ally with</w:t>
      </w:r>
      <w:r w:rsidR="00204000" w:rsidRPr="00204000">
        <w:rPr>
          <w:rFonts w:asciiTheme="minorHAnsi" w:hAnsiTheme="minorHAnsi" w:cstheme="minorHAnsi"/>
        </w:rPr>
        <w:t xml:space="preserve"> the number of symbols used for the LSE estimate. </w:t>
      </w:r>
      <w:r w:rsidR="00CB5262">
        <w:rPr>
          <w:rFonts w:asciiTheme="minorHAnsi" w:hAnsiTheme="minorHAnsi" w:cstheme="minorHAnsi"/>
        </w:rPr>
        <w:t>A</w:t>
      </w:r>
      <w:r w:rsidR="000F1FA9">
        <w:rPr>
          <w:rFonts w:asciiTheme="minorHAnsi" w:hAnsiTheme="minorHAnsi" w:cstheme="minorHAnsi"/>
        </w:rPr>
        <w:t xml:space="preserve"> simple workaround reduces this problem to insignificance</w:t>
      </w:r>
      <w:r w:rsidR="005E7993">
        <w:rPr>
          <w:rFonts w:asciiTheme="minorHAnsi" w:hAnsiTheme="minorHAnsi" w:cstheme="minorHAnsi"/>
        </w:rPr>
        <w:t xml:space="preserve">: </w:t>
      </w:r>
      <w:r w:rsidR="00204000" w:rsidRPr="00204000">
        <w:rPr>
          <w:rFonts w:asciiTheme="minorHAnsi" w:hAnsiTheme="minorHAnsi" w:cstheme="minorHAnsi"/>
        </w:rPr>
        <w:t xml:space="preserve">frequency domain interpolation from </w:t>
      </w:r>
      <w:r w:rsidR="00204000" w:rsidRPr="0094765F">
        <w:rPr>
          <w:rFonts w:asciiTheme="minorHAnsi" w:hAnsiTheme="minorHAnsi" w:cstheme="minorHAnsi"/>
        </w:rPr>
        <w:t>neighbouring SCs can be used for the rare SC that does show inversion failure.</w:t>
      </w:r>
      <w:r w:rsidR="00CB5262" w:rsidRPr="00CB5262">
        <w:rPr>
          <w:rFonts w:asciiTheme="minorHAnsi" w:hAnsiTheme="minorHAnsi" w:cstheme="minorHAnsi"/>
        </w:rPr>
        <w:t xml:space="preserve"> </w:t>
      </w:r>
      <w:r w:rsidR="00CB5262">
        <w:rPr>
          <w:rFonts w:asciiTheme="minorHAnsi" w:hAnsiTheme="minorHAnsi" w:cstheme="minorHAnsi"/>
        </w:rPr>
        <w:t xml:space="preserve">For standards test cases (slot length non-sequence-based signals), the </w:t>
      </w:r>
      <w:r w:rsidR="00214D3A">
        <w:rPr>
          <w:rFonts w:asciiTheme="minorHAnsi" w:hAnsiTheme="minorHAnsi" w:cstheme="minorHAnsi"/>
        </w:rPr>
        <w:t>inversion failure probability is insignificantly low,</w:t>
      </w:r>
      <w:r w:rsidR="00341CC1">
        <w:rPr>
          <w:rFonts w:asciiTheme="minorHAnsi" w:hAnsiTheme="minorHAnsi" w:cstheme="minorHAnsi"/>
        </w:rPr>
        <w:t xml:space="preserve"> and for short</w:t>
      </w:r>
      <w:r w:rsidR="00CC61FD">
        <w:rPr>
          <w:rFonts w:asciiTheme="minorHAnsi" w:hAnsiTheme="minorHAnsi" w:cstheme="minorHAnsi"/>
        </w:rPr>
        <w:t xml:space="preserve"> duration symbols, the interpolation workaround can be used as necessary.</w:t>
      </w:r>
      <w:r w:rsidR="00CB5262">
        <w:rPr>
          <w:rFonts w:asciiTheme="minorHAnsi" w:hAnsiTheme="minorHAnsi" w:cstheme="minorHAnsi"/>
        </w:rPr>
        <w:t xml:space="preserve"> </w:t>
      </w:r>
    </w:p>
    <w:p w14:paraId="6CC38550" w14:textId="77777777" w:rsidR="00FB422C" w:rsidRDefault="00FB422C" w:rsidP="0094765F">
      <w:pPr>
        <w:rPr>
          <w:rFonts w:asciiTheme="minorHAnsi" w:hAnsiTheme="minorHAnsi" w:cstheme="minorHAnsi"/>
          <w:b/>
          <w:bCs/>
        </w:rPr>
      </w:pPr>
    </w:p>
    <w:p w14:paraId="2181A30F" w14:textId="41FC4FD5" w:rsidR="00FB422C" w:rsidRPr="009C1D24" w:rsidRDefault="00FB422C" w:rsidP="0094765F">
      <w:pPr>
        <w:rPr>
          <w:rFonts w:asciiTheme="minorHAnsi" w:hAnsiTheme="minorHAnsi" w:cstheme="minorHAnsi"/>
        </w:rPr>
      </w:pPr>
      <w:r>
        <w:rPr>
          <w:rFonts w:asciiTheme="minorHAnsi" w:hAnsiTheme="minorHAnsi" w:cstheme="minorHAnsi"/>
        </w:rPr>
        <w:t>Figure 2.4-1: Method 2, dependence on LSE interval length</w:t>
      </w:r>
    </w:p>
    <w:p w14:paraId="5D9EDAC9" w14:textId="6BDD334A" w:rsidR="00204000" w:rsidRPr="003B0C24" w:rsidRDefault="00DD47D9" w:rsidP="0094765F">
      <w:pPr>
        <w:rPr>
          <w:rFonts w:asciiTheme="minorHAnsi" w:hAnsiTheme="minorHAnsi" w:cstheme="minorHAnsi"/>
          <w:b/>
          <w:bCs/>
        </w:rPr>
      </w:pPr>
      <w:r w:rsidRPr="003B0C24">
        <w:rPr>
          <w:rFonts w:asciiTheme="minorHAnsi" w:hAnsiTheme="minorHAnsi" w:cstheme="minorHAnsi"/>
          <w:b/>
          <w:bCs/>
        </w:rPr>
        <w:t xml:space="preserve">Observation </w:t>
      </w:r>
      <w:r w:rsidR="009C1D24">
        <w:rPr>
          <w:rFonts w:asciiTheme="minorHAnsi" w:hAnsiTheme="minorHAnsi" w:cstheme="minorHAnsi"/>
          <w:b/>
          <w:bCs/>
        </w:rPr>
        <w:t>3</w:t>
      </w:r>
      <w:r w:rsidRPr="003B0C24">
        <w:rPr>
          <w:rFonts w:asciiTheme="minorHAnsi" w:hAnsiTheme="minorHAnsi" w:cstheme="minorHAnsi"/>
          <w:b/>
          <w:bCs/>
        </w:rPr>
        <w:t xml:space="preserve">: </w:t>
      </w:r>
      <w:r w:rsidR="00AF6F45">
        <w:rPr>
          <w:rFonts w:asciiTheme="minorHAnsi" w:hAnsiTheme="minorHAnsi" w:cstheme="minorHAnsi"/>
          <w:b/>
          <w:bCs/>
        </w:rPr>
        <w:t>Inversion failure is unique to Method 2 although it i</w:t>
      </w:r>
      <w:r w:rsidR="003F0A17" w:rsidRPr="003B0C24">
        <w:rPr>
          <w:rFonts w:asciiTheme="minorHAnsi" w:hAnsiTheme="minorHAnsi" w:cstheme="minorHAnsi"/>
          <w:b/>
          <w:bCs/>
        </w:rPr>
        <w:t xml:space="preserve">s </w:t>
      </w:r>
      <w:r w:rsidR="008E35EE" w:rsidRPr="003B0C24">
        <w:rPr>
          <w:rFonts w:asciiTheme="minorHAnsi" w:hAnsiTheme="minorHAnsi" w:cstheme="minorHAnsi"/>
          <w:b/>
          <w:bCs/>
        </w:rPr>
        <w:t>easily overcome with frequency domain interpolation</w:t>
      </w:r>
      <w:r w:rsidR="003B0C24" w:rsidRPr="003B0C24">
        <w:rPr>
          <w:rFonts w:asciiTheme="minorHAnsi" w:hAnsiTheme="minorHAnsi" w:cstheme="minorHAnsi"/>
          <w:b/>
          <w:bCs/>
        </w:rPr>
        <w:t xml:space="preserve"> on </w:t>
      </w:r>
      <w:r w:rsidR="009C1D24">
        <w:rPr>
          <w:rFonts w:asciiTheme="minorHAnsi" w:hAnsiTheme="minorHAnsi" w:cstheme="minorHAnsi"/>
          <w:b/>
          <w:bCs/>
        </w:rPr>
        <w:t xml:space="preserve">affected </w:t>
      </w:r>
      <w:r w:rsidR="003B0C24" w:rsidRPr="003B0C24">
        <w:rPr>
          <w:rFonts w:asciiTheme="minorHAnsi" w:hAnsiTheme="minorHAnsi" w:cstheme="minorHAnsi"/>
          <w:b/>
          <w:bCs/>
        </w:rPr>
        <w:t>sub carriers</w:t>
      </w:r>
      <w:r w:rsidR="00860C12" w:rsidRPr="003B0C24">
        <w:rPr>
          <w:rFonts w:asciiTheme="minorHAnsi" w:hAnsiTheme="minorHAnsi" w:cstheme="minorHAnsi"/>
          <w:b/>
          <w:bCs/>
        </w:rPr>
        <w:t>.</w:t>
      </w:r>
      <w:r w:rsidR="0094765F" w:rsidRPr="003B0C24">
        <w:rPr>
          <w:rFonts w:asciiTheme="minorHAnsi" w:hAnsiTheme="minorHAnsi" w:cstheme="minorHAnsi"/>
          <w:b/>
          <w:bCs/>
        </w:rPr>
        <w:t xml:space="preserve"> </w:t>
      </w:r>
    </w:p>
    <w:p w14:paraId="3AD59612" w14:textId="2EE74995" w:rsidR="00332888" w:rsidRDefault="00332888" w:rsidP="00FF598B">
      <w:pPr>
        <w:pStyle w:val="Heading2"/>
        <w:numPr>
          <w:ilvl w:val="1"/>
          <w:numId w:val="6"/>
        </w:numPr>
        <w:ind w:hanging="1398"/>
      </w:pPr>
      <w:r>
        <w:t>Other considerations</w:t>
      </w:r>
    </w:p>
    <w:p w14:paraId="08D24019" w14:textId="4B6778C4" w:rsidR="0058446F" w:rsidRDefault="008B05C4" w:rsidP="00FF598B">
      <w:pPr>
        <w:rPr>
          <w:rFonts w:asciiTheme="minorHAnsi" w:hAnsiTheme="minorHAnsi" w:cstheme="minorHAnsi"/>
        </w:rPr>
      </w:pPr>
      <w:r w:rsidRPr="00CD27A7">
        <w:rPr>
          <w:rFonts w:asciiTheme="minorHAnsi" w:hAnsiTheme="minorHAnsi" w:cstheme="minorHAnsi"/>
        </w:rPr>
        <w:t xml:space="preserve">We have successfully verified that both methods perform well for </w:t>
      </w:r>
      <w:r w:rsidRPr="00BE0003">
        <w:rPr>
          <w:rFonts w:asciiTheme="minorHAnsi" w:hAnsiTheme="minorHAnsi" w:cstheme="minorHAnsi"/>
          <w:b/>
          <w:bCs/>
        </w:rPr>
        <w:t>single layer</w:t>
      </w:r>
      <w:r w:rsidR="003A214B" w:rsidRPr="00BE0003">
        <w:rPr>
          <w:rFonts w:asciiTheme="minorHAnsi" w:hAnsiTheme="minorHAnsi" w:cstheme="minorHAnsi"/>
          <w:b/>
          <w:bCs/>
        </w:rPr>
        <w:t xml:space="preserve"> UL</w:t>
      </w:r>
      <w:r w:rsidR="003A214B" w:rsidRPr="00CD27A7">
        <w:rPr>
          <w:rFonts w:asciiTheme="minorHAnsi" w:hAnsiTheme="minorHAnsi" w:cstheme="minorHAnsi"/>
        </w:rPr>
        <w:t xml:space="preserve">. </w:t>
      </w:r>
      <w:r w:rsidR="001D0168" w:rsidRPr="00CD27A7">
        <w:rPr>
          <w:rFonts w:asciiTheme="minorHAnsi" w:hAnsiTheme="minorHAnsi" w:cstheme="minorHAnsi"/>
        </w:rPr>
        <w:t xml:space="preserve">They can </w:t>
      </w:r>
      <w:r w:rsidR="00CC31F6" w:rsidRPr="00CD27A7">
        <w:rPr>
          <w:rFonts w:asciiTheme="minorHAnsi" w:hAnsiTheme="minorHAnsi" w:cstheme="minorHAnsi"/>
        </w:rPr>
        <w:t xml:space="preserve">correctly </w:t>
      </w:r>
      <w:r w:rsidR="001D0168" w:rsidRPr="00CD27A7">
        <w:rPr>
          <w:rFonts w:asciiTheme="minorHAnsi" w:hAnsiTheme="minorHAnsi" w:cstheme="minorHAnsi"/>
        </w:rPr>
        <w:t>demodulate any mix of polarization and frequency diversity</w:t>
      </w:r>
      <w:r w:rsidR="00CC31F6" w:rsidRPr="00CD27A7">
        <w:rPr>
          <w:rFonts w:asciiTheme="minorHAnsi" w:hAnsiTheme="minorHAnsi" w:cstheme="minorHAnsi"/>
        </w:rPr>
        <w:t xml:space="preserve"> as well as </w:t>
      </w:r>
      <w:r w:rsidR="00BA1BAE">
        <w:rPr>
          <w:rFonts w:asciiTheme="minorHAnsi" w:hAnsiTheme="minorHAnsi" w:cstheme="minorHAnsi"/>
        </w:rPr>
        <w:t xml:space="preserve">modulation types </w:t>
      </w:r>
      <w:r w:rsidR="00BE1208">
        <w:rPr>
          <w:rFonts w:asciiTheme="minorHAnsi" w:hAnsiTheme="minorHAnsi" w:cstheme="minorHAnsi"/>
        </w:rPr>
        <w:t xml:space="preserve">with non-uniform PSD </w:t>
      </w:r>
      <w:r w:rsidR="00BA1BAE">
        <w:rPr>
          <w:rFonts w:asciiTheme="minorHAnsi" w:hAnsiTheme="minorHAnsi" w:cstheme="minorHAnsi"/>
        </w:rPr>
        <w:t xml:space="preserve">like </w:t>
      </w:r>
      <w:r w:rsidR="00CC31F6" w:rsidRPr="00CD27A7">
        <w:rPr>
          <w:rFonts w:asciiTheme="minorHAnsi" w:hAnsiTheme="minorHAnsi" w:cstheme="minorHAnsi"/>
        </w:rPr>
        <w:t xml:space="preserve">shaped pi/2 BPSK. </w:t>
      </w:r>
      <w:r w:rsidR="0058446F">
        <w:rPr>
          <w:rFonts w:asciiTheme="minorHAnsi" w:hAnsiTheme="minorHAnsi" w:cstheme="minorHAnsi"/>
        </w:rPr>
        <w:t xml:space="preserve">We have also verified that both methods offer valid </w:t>
      </w:r>
      <w:r w:rsidR="007C47B1">
        <w:rPr>
          <w:rFonts w:asciiTheme="minorHAnsi" w:hAnsiTheme="minorHAnsi" w:cstheme="minorHAnsi"/>
        </w:rPr>
        <w:t>equalizer coefficients to verify against the flatness requirement.</w:t>
      </w:r>
      <w:r w:rsidR="00486C32">
        <w:rPr>
          <w:rFonts w:asciiTheme="minorHAnsi" w:hAnsiTheme="minorHAnsi" w:cstheme="minorHAnsi"/>
        </w:rPr>
        <w:t xml:space="preserve"> For single-laye</w:t>
      </w:r>
      <w:r w:rsidR="008C3929">
        <w:rPr>
          <w:rFonts w:asciiTheme="minorHAnsi" w:hAnsiTheme="minorHAnsi" w:cstheme="minorHAnsi"/>
        </w:rPr>
        <w:t>r</w:t>
      </w:r>
      <w:r w:rsidR="00486C32">
        <w:rPr>
          <w:rFonts w:asciiTheme="minorHAnsi" w:hAnsiTheme="minorHAnsi" w:cstheme="minorHAnsi"/>
        </w:rPr>
        <w:t xml:space="preserve"> UL therefore, we think </w:t>
      </w:r>
      <w:r w:rsidR="006F1E98">
        <w:rPr>
          <w:rFonts w:asciiTheme="minorHAnsi" w:hAnsiTheme="minorHAnsi" w:cstheme="minorHAnsi"/>
        </w:rPr>
        <w:t>both</w:t>
      </w:r>
      <w:r w:rsidR="00486C32">
        <w:rPr>
          <w:rFonts w:asciiTheme="minorHAnsi" w:hAnsiTheme="minorHAnsi" w:cstheme="minorHAnsi"/>
        </w:rPr>
        <w:t xml:space="preserve"> methods are </w:t>
      </w:r>
      <w:r w:rsidR="00AD3D79">
        <w:rPr>
          <w:rFonts w:asciiTheme="minorHAnsi" w:hAnsiTheme="minorHAnsi" w:cstheme="minorHAnsi"/>
        </w:rPr>
        <w:t>equivalent</w:t>
      </w:r>
      <w:r w:rsidR="00486C32">
        <w:rPr>
          <w:rFonts w:asciiTheme="minorHAnsi" w:hAnsiTheme="minorHAnsi" w:cstheme="minorHAnsi"/>
        </w:rPr>
        <w:t>.</w:t>
      </w:r>
    </w:p>
    <w:p w14:paraId="68055052" w14:textId="0D62C901" w:rsidR="00FF598B" w:rsidRPr="00CD27A7" w:rsidRDefault="0034268F" w:rsidP="00FF598B">
      <w:pPr>
        <w:rPr>
          <w:rFonts w:asciiTheme="minorHAnsi" w:hAnsiTheme="minorHAnsi" w:cstheme="minorHAnsi"/>
        </w:rPr>
      </w:pPr>
      <w:r w:rsidRPr="00CD27A7">
        <w:rPr>
          <w:rFonts w:asciiTheme="minorHAnsi" w:hAnsiTheme="minorHAnsi" w:cstheme="minorHAnsi"/>
        </w:rPr>
        <w:t xml:space="preserve">In terms of </w:t>
      </w:r>
      <w:r w:rsidRPr="00BE0003">
        <w:rPr>
          <w:rFonts w:asciiTheme="minorHAnsi" w:hAnsiTheme="minorHAnsi" w:cstheme="minorHAnsi"/>
          <w:b/>
          <w:bCs/>
        </w:rPr>
        <w:t>PTRS readiness</w:t>
      </w:r>
      <w:r w:rsidRPr="00CD27A7">
        <w:rPr>
          <w:rFonts w:asciiTheme="minorHAnsi" w:hAnsiTheme="minorHAnsi" w:cstheme="minorHAnsi"/>
        </w:rPr>
        <w:t>,</w:t>
      </w:r>
      <w:r w:rsidR="00486C32">
        <w:rPr>
          <w:rFonts w:asciiTheme="minorHAnsi" w:hAnsiTheme="minorHAnsi" w:cstheme="minorHAnsi"/>
        </w:rPr>
        <w:t xml:space="preserve"> both methods </w:t>
      </w:r>
      <w:r w:rsidR="00AD3D79">
        <w:rPr>
          <w:rFonts w:asciiTheme="minorHAnsi" w:hAnsiTheme="minorHAnsi" w:cstheme="minorHAnsi"/>
        </w:rPr>
        <w:t xml:space="preserve">lend themselves to </w:t>
      </w:r>
      <w:r w:rsidR="00BE0BE7">
        <w:rPr>
          <w:rFonts w:asciiTheme="minorHAnsi" w:hAnsiTheme="minorHAnsi" w:cstheme="minorHAnsi"/>
        </w:rPr>
        <w:t>integration of procedures to track out UE phase noise. I</w:t>
      </w:r>
      <w:r w:rsidR="00CD27A7" w:rsidRPr="00CD27A7">
        <w:rPr>
          <w:rFonts w:asciiTheme="minorHAnsi" w:hAnsiTheme="minorHAnsi" w:cstheme="minorHAnsi"/>
        </w:rPr>
        <w:t>n our estimation</w:t>
      </w:r>
      <w:r w:rsidR="00BE0BE7">
        <w:rPr>
          <w:rFonts w:asciiTheme="minorHAnsi" w:hAnsiTheme="minorHAnsi" w:cstheme="minorHAnsi"/>
        </w:rPr>
        <w:t xml:space="preserve"> however,</w:t>
      </w:r>
      <w:r w:rsidR="00CD27A7" w:rsidRPr="00CD27A7">
        <w:rPr>
          <w:rFonts w:asciiTheme="minorHAnsi" w:hAnsiTheme="minorHAnsi" w:cstheme="minorHAnsi"/>
        </w:rPr>
        <w:t xml:space="preserve"> </w:t>
      </w:r>
      <w:r w:rsidRPr="00CD27A7">
        <w:rPr>
          <w:rFonts w:asciiTheme="minorHAnsi" w:hAnsiTheme="minorHAnsi" w:cstheme="minorHAnsi"/>
        </w:rPr>
        <w:t xml:space="preserve">Method </w:t>
      </w:r>
      <w:r w:rsidR="00CD27A7" w:rsidRPr="00CD27A7">
        <w:rPr>
          <w:rFonts w:asciiTheme="minorHAnsi" w:hAnsiTheme="minorHAnsi" w:cstheme="minorHAnsi"/>
        </w:rPr>
        <w:t>1 has a simpler signal flow</w:t>
      </w:r>
      <w:r w:rsidR="00FD00B8">
        <w:rPr>
          <w:rFonts w:asciiTheme="minorHAnsi" w:hAnsiTheme="minorHAnsi" w:cstheme="minorHAnsi"/>
        </w:rPr>
        <w:t>.</w:t>
      </w:r>
      <w:r w:rsidR="0058446F">
        <w:rPr>
          <w:rFonts w:asciiTheme="minorHAnsi" w:hAnsiTheme="minorHAnsi" w:cstheme="minorHAnsi"/>
        </w:rPr>
        <w:t xml:space="preserve"> </w:t>
      </w:r>
    </w:p>
    <w:p w14:paraId="7F14EF56" w14:textId="5C0019C9" w:rsidR="001B13B7" w:rsidRPr="00853108" w:rsidRDefault="001B13B7" w:rsidP="00332888">
      <w:pPr>
        <w:pStyle w:val="Heading2"/>
      </w:pPr>
      <w:r w:rsidRPr="00853108">
        <w:t>2.</w:t>
      </w:r>
      <w:r w:rsidR="003B0C24">
        <w:t>5</w:t>
      </w:r>
      <w:r w:rsidRPr="00853108">
        <w:tab/>
      </w:r>
      <w:r w:rsidR="00D4420E" w:rsidRPr="00853108">
        <w:t>Summary</w:t>
      </w:r>
      <w:r w:rsidR="00C22540" w:rsidRPr="00853108">
        <w:t xml:space="preserve"> of </w:t>
      </w:r>
      <w:r w:rsidR="00620B51" w:rsidRPr="00853108">
        <w:t>performance</w:t>
      </w:r>
    </w:p>
    <w:p w14:paraId="26ABB6CB" w14:textId="74E97BD3" w:rsidR="00620B51" w:rsidRPr="004417A5" w:rsidRDefault="00235273" w:rsidP="001B13B7">
      <w:pPr>
        <w:rPr>
          <w:rFonts w:ascii="Calibri" w:hAnsi="Calibri" w:cs="Calibri"/>
        </w:rPr>
      </w:pPr>
      <w:r>
        <w:rPr>
          <w:rFonts w:ascii="Calibri" w:hAnsi="Calibri" w:cs="Calibri"/>
        </w:rPr>
        <w:t>The main concern with either method is EVM calculation accuracy</w:t>
      </w:r>
      <w:r w:rsidR="007E2050">
        <w:rPr>
          <w:rFonts w:ascii="Calibri" w:hAnsi="Calibri" w:cs="Calibri"/>
        </w:rPr>
        <w:t xml:space="preserve"> for standards test cases. </w:t>
      </w:r>
      <w:r w:rsidR="003B0C24">
        <w:rPr>
          <w:rFonts w:ascii="Calibri" w:hAnsi="Calibri" w:cs="Calibri"/>
        </w:rPr>
        <w:t xml:space="preserve">As captured in observation 1, </w:t>
      </w:r>
      <w:r w:rsidR="00353095">
        <w:rPr>
          <w:rFonts w:ascii="Calibri" w:hAnsi="Calibri" w:cs="Calibri"/>
        </w:rPr>
        <w:t xml:space="preserve">we </w:t>
      </w:r>
      <w:r w:rsidR="00C575F2">
        <w:rPr>
          <w:rFonts w:ascii="Calibri" w:hAnsi="Calibri" w:cs="Calibri"/>
        </w:rPr>
        <w:t>now recognize</w:t>
      </w:r>
      <w:r w:rsidR="00353095">
        <w:rPr>
          <w:rFonts w:ascii="Calibri" w:hAnsi="Calibri" w:cs="Calibri"/>
        </w:rPr>
        <w:t xml:space="preserve"> that</w:t>
      </w:r>
      <w:r w:rsidR="003B0C24">
        <w:rPr>
          <w:rFonts w:ascii="Calibri" w:hAnsi="Calibri" w:cs="Calibri"/>
        </w:rPr>
        <w:t xml:space="preserve"> Method 1</w:t>
      </w:r>
      <w:r w:rsidR="00DB2E2C">
        <w:rPr>
          <w:rFonts w:ascii="Calibri" w:hAnsi="Calibri" w:cs="Calibri"/>
        </w:rPr>
        <w:t xml:space="preserve"> </w:t>
      </w:r>
      <w:r w:rsidR="00353095">
        <w:rPr>
          <w:rFonts w:ascii="Calibri" w:hAnsi="Calibri" w:cs="Calibri"/>
        </w:rPr>
        <w:t>is indeed capable of making accurate EVM calculations without placing an undue burden on the UE</w:t>
      </w:r>
      <w:r w:rsidR="004C2B7E">
        <w:rPr>
          <w:rFonts w:ascii="Calibri" w:hAnsi="Calibri" w:cs="Calibri"/>
        </w:rPr>
        <w:t xml:space="preserve"> for standards test cases</w:t>
      </w:r>
      <w:r w:rsidR="00365822">
        <w:rPr>
          <w:rFonts w:ascii="Calibri" w:hAnsi="Calibri" w:cs="Calibri"/>
        </w:rPr>
        <w:t>.</w:t>
      </w:r>
      <w:r w:rsidR="001E3C95">
        <w:rPr>
          <w:rFonts w:ascii="Calibri" w:hAnsi="Calibri" w:cs="Calibri"/>
        </w:rPr>
        <w:t xml:space="preserve"> </w:t>
      </w:r>
      <w:r w:rsidR="007C431F">
        <w:rPr>
          <w:rFonts w:ascii="Calibri" w:hAnsi="Calibri" w:cs="Calibri"/>
        </w:rPr>
        <w:t xml:space="preserve"> </w:t>
      </w:r>
      <w:r w:rsidR="00C575F2">
        <w:rPr>
          <w:rFonts w:ascii="Calibri" w:hAnsi="Calibri" w:cs="Calibri"/>
        </w:rPr>
        <w:t xml:space="preserve">We </w:t>
      </w:r>
      <w:r w:rsidR="00F83981">
        <w:rPr>
          <w:rFonts w:ascii="Calibri" w:hAnsi="Calibri" w:cs="Calibri"/>
        </w:rPr>
        <w:t>no longer</w:t>
      </w:r>
      <w:r w:rsidR="00DB4641">
        <w:rPr>
          <w:rFonts w:ascii="Calibri" w:hAnsi="Calibri" w:cs="Calibri"/>
        </w:rPr>
        <w:t xml:space="preserve"> have a preference between Method 1 and 2</w:t>
      </w:r>
      <w:r w:rsidR="004C2B7E">
        <w:rPr>
          <w:rFonts w:ascii="Calibri" w:hAnsi="Calibri" w:cs="Calibri"/>
        </w:rPr>
        <w:t xml:space="preserve">, but it would be </w:t>
      </w:r>
      <w:r w:rsidR="00A45C00">
        <w:rPr>
          <w:rFonts w:ascii="Calibri" w:hAnsi="Calibri" w:cs="Calibri"/>
        </w:rPr>
        <w:t xml:space="preserve">useful as </w:t>
      </w:r>
      <w:r w:rsidR="0028569D">
        <w:rPr>
          <w:rFonts w:ascii="Calibri" w:hAnsi="Calibri" w:cs="Calibri"/>
        </w:rPr>
        <w:t>guidance to other WGs</w:t>
      </w:r>
      <w:r w:rsidR="004C2B7E">
        <w:rPr>
          <w:rFonts w:ascii="Calibri" w:hAnsi="Calibri" w:cs="Calibri"/>
        </w:rPr>
        <w:t xml:space="preserve"> </w:t>
      </w:r>
      <w:r w:rsidR="00B44A8A">
        <w:rPr>
          <w:rFonts w:ascii="Calibri" w:hAnsi="Calibri" w:cs="Calibri"/>
        </w:rPr>
        <w:t xml:space="preserve">to </w:t>
      </w:r>
      <w:r w:rsidR="004C2B7E">
        <w:rPr>
          <w:rFonts w:ascii="Calibri" w:hAnsi="Calibri" w:cs="Calibri"/>
        </w:rPr>
        <w:t>adopt one</w:t>
      </w:r>
      <w:r w:rsidR="008078E6">
        <w:rPr>
          <w:rFonts w:ascii="Calibri" w:hAnsi="Calibri" w:cs="Calibri"/>
        </w:rPr>
        <w:t xml:space="preserve"> as a ‘reference method’</w:t>
      </w:r>
      <w:r w:rsidR="003736AD">
        <w:rPr>
          <w:rFonts w:ascii="Calibri" w:hAnsi="Calibri" w:cs="Calibri"/>
        </w:rPr>
        <w:t>.</w:t>
      </w:r>
      <w:r w:rsidR="00A379E3">
        <w:rPr>
          <w:rFonts w:ascii="Calibri" w:hAnsi="Calibri" w:cs="Calibri"/>
        </w:rPr>
        <w:t xml:space="preserve"> </w:t>
      </w:r>
    </w:p>
    <w:p w14:paraId="7BD3610D" w14:textId="77777777" w:rsidR="0057490C" w:rsidRDefault="0057490C" w:rsidP="0057490C">
      <w:pPr>
        <w:pStyle w:val="Heading1"/>
      </w:pPr>
      <w:r>
        <w:t xml:space="preserve">3. </w:t>
      </w:r>
      <w:r>
        <w:tab/>
        <w:t>Conclusion</w:t>
      </w:r>
    </w:p>
    <w:p w14:paraId="705E27AE" w14:textId="05DE6B97" w:rsidR="006B079C" w:rsidRDefault="006B079C" w:rsidP="006B079C">
      <w:pPr>
        <w:rPr>
          <w:rFonts w:ascii="Calibri" w:hAnsi="Calibri" w:cs="Calibri"/>
          <w:b/>
          <w:bCs/>
        </w:rPr>
      </w:pPr>
      <w:r w:rsidRPr="00835D09">
        <w:rPr>
          <w:rFonts w:ascii="Calibri" w:hAnsi="Calibri" w:cs="Calibri"/>
          <w:b/>
          <w:bCs/>
        </w:rPr>
        <w:t xml:space="preserve">Observation 1: Method 1 has </w:t>
      </w:r>
      <w:r w:rsidR="00390025">
        <w:rPr>
          <w:rFonts w:ascii="Calibri" w:hAnsi="Calibri" w:cs="Calibri"/>
          <w:b/>
          <w:bCs/>
        </w:rPr>
        <w:t xml:space="preserve">equivalent or </w:t>
      </w:r>
      <w:r w:rsidRPr="00835D09">
        <w:rPr>
          <w:rFonts w:ascii="Calibri" w:hAnsi="Calibri" w:cs="Calibri"/>
          <w:b/>
          <w:bCs/>
        </w:rPr>
        <w:t>superior accuracy</w:t>
      </w:r>
      <w:r w:rsidR="00390025">
        <w:rPr>
          <w:rFonts w:ascii="Calibri" w:hAnsi="Calibri" w:cs="Calibri"/>
          <w:b/>
          <w:bCs/>
        </w:rPr>
        <w:t xml:space="preserve"> compared to Method 2</w:t>
      </w:r>
      <w:r w:rsidRPr="00835D09">
        <w:rPr>
          <w:rFonts w:ascii="Calibri" w:hAnsi="Calibri" w:cs="Calibri"/>
          <w:b/>
          <w:bCs/>
        </w:rPr>
        <w:t>, provided channel extraction is performed by LSE</w:t>
      </w:r>
      <w:r>
        <w:rPr>
          <w:rFonts w:ascii="Calibri" w:hAnsi="Calibri" w:cs="Calibri"/>
          <w:b/>
          <w:bCs/>
        </w:rPr>
        <w:t>, for slot</w:t>
      </w:r>
      <w:r w:rsidR="0028569D">
        <w:rPr>
          <w:rFonts w:ascii="Calibri" w:hAnsi="Calibri" w:cs="Calibri"/>
          <w:b/>
          <w:bCs/>
        </w:rPr>
        <w:t>-</w:t>
      </w:r>
      <w:r>
        <w:rPr>
          <w:rFonts w:ascii="Calibri" w:hAnsi="Calibri" w:cs="Calibri"/>
          <w:b/>
          <w:bCs/>
        </w:rPr>
        <w:t>length rank 2 UL.</w:t>
      </w:r>
    </w:p>
    <w:p w14:paraId="4B0B6CF9" w14:textId="50927F1D" w:rsidR="006B079C" w:rsidRDefault="00B74601" w:rsidP="006B079C">
      <w:pPr>
        <w:rPr>
          <w:rFonts w:ascii="Calibri" w:hAnsi="Calibri" w:cs="Calibri"/>
        </w:rPr>
      </w:pPr>
      <w:r>
        <w:rPr>
          <w:rFonts w:ascii="Calibri" w:hAnsi="Calibri" w:cs="Calibri"/>
        </w:rPr>
        <w:t xml:space="preserve">As captured in observation 1, we now recognize that Method 1 is indeed capable of making accurate EVM calculations without placing an undue burden on the UE for standards test cases.  </w:t>
      </w:r>
      <w:r w:rsidR="007C792B">
        <w:rPr>
          <w:rFonts w:ascii="Calibri" w:hAnsi="Calibri" w:cs="Calibri"/>
        </w:rPr>
        <w:t xml:space="preserve">Further, it lends itself better </w:t>
      </w:r>
      <w:r w:rsidR="00940EA0">
        <w:rPr>
          <w:rFonts w:ascii="Calibri" w:hAnsi="Calibri" w:cs="Calibri"/>
        </w:rPr>
        <w:t xml:space="preserve">to integration of PTRS processing, </w:t>
      </w:r>
      <w:r w:rsidR="00D30ECF">
        <w:rPr>
          <w:rFonts w:ascii="Calibri" w:hAnsi="Calibri" w:cs="Calibri"/>
        </w:rPr>
        <w:t xml:space="preserve">and </w:t>
      </w:r>
      <w:r w:rsidR="00AA485A">
        <w:rPr>
          <w:rFonts w:ascii="Calibri" w:hAnsi="Calibri" w:cs="Calibri"/>
        </w:rPr>
        <w:t xml:space="preserve">unlike Method 2, it </w:t>
      </w:r>
      <w:r w:rsidR="00D30ECF">
        <w:rPr>
          <w:rFonts w:ascii="Calibri" w:hAnsi="Calibri" w:cs="Calibri"/>
        </w:rPr>
        <w:t>does not suffer from underestimation</w:t>
      </w:r>
      <w:r w:rsidR="003F0C90">
        <w:rPr>
          <w:rFonts w:ascii="Calibri" w:hAnsi="Calibri" w:cs="Calibri"/>
        </w:rPr>
        <w:t xml:space="preserve"> of EVM for</w:t>
      </w:r>
      <w:r w:rsidR="00567144">
        <w:rPr>
          <w:rFonts w:ascii="Calibri" w:hAnsi="Calibri" w:cs="Calibri"/>
        </w:rPr>
        <w:t xml:space="preserve"> non-standards test cases </w:t>
      </w:r>
      <w:r w:rsidR="00D30ECF">
        <w:rPr>
          <w:rFonts w:ascii="Calibri" w:hAnsi="Calibri" w:cs="Calibri"/>
        </w:rPr>
        <w:t>when evaluation interval is reduced</w:t>
      </w:r>
      <w:r w:rsidR="00933EAC">
        <w:rPr>
          <w:rFonts w:ascii="Calibri" w:hAnsi="Calibri" w:cs="Calibri"/>
        </w:rPr>
        <w:t>.</w:t>
      </w:r>
    </w:p>
    <w:p w14:paraId="100DFAD1" w14:textId="5734E258" w:rsidR="00567144" w:rsidRPr="003F0C90" w:rsidRDefault="00567144" w:rsidP="006B079C">
      <w:pPr>
        <w:rPr>
          <w:rFonts w:ascii="Calibri" w:hAnsi="Calibri" w:cs="Calibri"/>
          <w:b/>
          <w:bCs/>
        </w:rPr>
      </w:pPr>
      <w:r w:rsidRPr="003F0C90">
        <w:rPr>
          <w:rFonts w:ascii="Calibri" w:hAnsi="Calibri" w:cs="Calibri"/>
          <w:b/>
          <w:bCs/>
        </w:rPr>
        <w:lastRenderedPageBreak/>
        <w:t>Proposal: Adopt Method 1</w:t>
      </w:r>
      <w:r w:rsidR="00F20608" w:rsidRPr="003F0C90">
        <w:rPr>
          <w:rFonts w:ascii="Calibri" w:hAnsi="Calibri" w:cs="Calibri"/>
          <w:b/>
          <w:bCs/>
        </w:rPr>
        <w:t xml:space="preserve"> as the reference EVM calculation method for 2L UL</w:t>
      </w: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71287DAB" w14:textId="77777777" w:rsidR="001A364A" w:rsidRPr="000B036D"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2108651</w:t>
      </w:r>
      <w:r w:rsidRPr="000B036D">
        <w:rPr>
          <w:rFonts w:ascii="Arial" w:eastAsia="SimSun" w:hAnsi="Arial" w:cs="Arial"/>
          <w:bCs/>
          <w:sz w:val="18"/>
          <w:szCs w:val="18"/>
          <w:lang w:val="en-US" w:eastAsia="en-GB"/>
        </w:rPr>
        <w:t>, ‘</w:t>
      </w:r>
      <w:r w:rsidRPr="00493FC2">
        <w:rPr>
          <w:rFonts w:ascii="Arial" w:eastAsia="SimSun" w:hAnsi="Arial" w:cs="Arial"/>
          <w:bCs/>
          <w:sz w:val="18"/>
          <w:szCs w:val="18"/>
          <w:lang w:val="en-US" w:eastAsia="en-GB"/>
        </w:rPr>
        <w:t>WF for FR2 UL MIMO EVM</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Qualcomm Incorporated</w:t>
      </w:r>
      <w:r w:rsidRPr="00190FD2">
        <w:rPr>
          <w:rFonts w:ascii="Arial" w:eastAsia="SimSun" w:hAnsi="Arial" w:cs="Arial"/>
          <w:bCs/>
          <w:sz w:val="18"/>
          <w:szCs w:val="18"/>
          <w:lang w:val="en-US" w:eastAsia="en-GB"/>
        </w:rPr>
        <w:t>, RAN4#9</w:t>
      </w:r>
      <w:r>
        <w:rPr>
          <w:rFonts w:ascii="Arial" w:eastAsia="SimSun" w:hAnsi="Arial" w:cs="Arial"/>
          <w:bCs/>
          <w:sz w:val="18"/>
          <w:szCs w:val="18"/>
          <w:lang w:val="en-US" w:eastAsia="en-GB"/>
        </w:rPr>
        <w:t>9</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May. 2021</w:t>
      </w:r>
    </w:p>
    <w:p w14:paraId="487C6585" w14:textId="6C11A5BA" w:rsidR="00190FD2" w:rsidRPr="00190FD2" w:rsidRDefault="00767997" w:rsidP="003A693E">
      <w:pPr>
        <w:numPr>
          <w:ilvl w:val="0"/>
          <w:numId w:val="1"/>
        </w:numPr>
        <w:rPr>
          <w:rFonts w:ascii="Arial" w:eastAsia="SimSun" w:hAnsi="Arial" w:cs="Arial"/>
          <w:bCs/>
          <w:sz w:val="18"/>
          <w:szCs w:val="18"/>
          <w:lang w:val="en-US" w:eastAsia="en-GB"/>
        </w:rPr>
      </w:pPr>
      <w:r w:rsidRPr="00767997">
        <w:rPr>
          <w:rFonts w:ascii="Arial" w:eastAsia="SimSun" w:hAnsi="Arial" w:cs="Arial"/>
          <w:bCs/>
          <w:sz w:val="18"/>
          <w:szCs w:val="18"/>
          <w:lang w:val="en-US" w:eastAsia="en-GB"/>
        </w:rPr>
        <w:t>R4-2108811</w:t>
      </w:r>
      <w:r w:rsidR="00190FD2" w:rsidRPr="00190FD2">
        <w:rPr>
          <w:rFonts w:ascii="Arial" w:eastAsia="SimSun" w:hAnsi="Arial" w:cs="Arial"/>
          <w:bCs/>
          <w:sz w:val="18"/>
          <w:szCs w:val="18"/>
          <w:lang w:val="en-US" w:eastAsia="en-GB"/>
        </w:rPr>
        <w:t>, ‘</w:t>
      </w:r>
      <w:r w:rsidRPr="00767997">
        <w:rPr>
          <w:rFonts w:ascii="Arial" w:eastAsia="SimSun" w:hAnsi="Arial" w:cs="Arial"/>
          <w:bCs/>
          <w:sz w:val="18"/>
          <w:szCs w:val="18"/>
          <w:lang w:val="en-US" w:eastAsia="en-GB"/>
        </w:rPr>
        <w:t>TP to TR38.884: Comparison of TSQ measurement methods for TE with dual pol Rx</w:t>
      </w:r>
      <w:r w:rsidR="00190FD2" w:rsidRPr="00190FD2">
        <w:rPr>
          <w:rFonts w:ascii="Arial" w:eastAsia="SimSun" w:hAnsi="Arial" w:cs="Arial"/>
          <w:bCs/>
          <w:sz w:val="18"/>
          <w:szCs w:val="18"/>
          <w:lang w:val="en-US" w:eastAsia="en-GB"/>
        </w:rPr>
        <w:t xml:space="preserve">’, </w:t>
      </w:r>
      <w:r w:rsidR="008E319D">
        <w:rPr>
          <w:rFonts w:ascii="Arial" w:eastAsia="SimSun" w:hAnsi="Arial" w:cs="Arial"/>
          <w:bCs/>
          <w:sz w:val="18"/>
          <w:szCs w:val="18"/>
          <w:lang w:val="en-US" w:eastAsia="en-GB"/>
        </w:rPr>
        <w:t>Qualcomm</w:t>
      </w:r>
      <w:r w:rsidR="00493FC2">
        <w:rPr>
          <w:rFonts w:ascii="Arial" w:eastAsia="SimSun" w:hAnsi="Arial" w:cs="Arial"/>
          <w:bCs/>
          <w:sz w:val="18"/>
          <w:szCs w:val="18"/>
          <w:lang w:val="en-US" w:eastAsia="en-GB"/>
        </w:rPr>
        <w:t xml:space="preserve"> Incorporated</w:t>
      </w:r>
      <w:r w:rsidR="00190FD2" w:rsidRPr="00190FD2">
        <w:rPr>
          <w:rFonts w:ascii="Arial" w:eastAsia="SimSun" w:hAnsi="Arial" w:cs="Arial"/>
          <w:bCs/>
          <w:sz w:val="18"/>
          <w:szCs w:val="18"/>
          <w:lang w:val="en-US" w:eastAsia="en-GB"/>
        </w:rPr>
        <w:t>, RAN4#9</w:t>
      </w:r>
      <w:r w:rsidR="008E319D">
        <w:rPr>
          <w:rFonts w:ascii="Arial" w:eastAsia="SimSun" w:hAnsi="Arial" w:cs="Arial"/>
          <w:bCs/>
          <w:sz w:val="18"/>
          <w:szCs w:val="18"/>
          <w:lang w:val="en-US" w:eastAsia="en-GB"/>
        </w:rPr>
        <w:t>9</w:t>
      </w:r>
      <w:r w:rsidR="00190FD2" w:rsidRPr="00190FD2">
        <w:rPr>
          <w:rFonts w:ascii="Arial" w:eastAsia="SimSun" w:hAnsi="Arial" w:cs="Arial"/>
          <w:bCs/>
          <w:sz w:val="18"/>
          <w:szCs w:val="18"/>
          <w:lang w:val="en-US" w:eastAsia="en-GB"/>
        </w:rPr>
        <w:t>-e,</w:t>
      </w:r>
      <w:r w:rsidR="00190FD2">
        <w:rPr>
          <w:rFonts w:ascii="Arial" w:eastAsia="SimSun" w:hAnsi="Arial" w:cs="Arial"/>
          <w:bCs/>
          <w:sz w:val="18"/>
          <w:szCs w:val="18"/>
          <w:lang w:val="en-US" w:eastAsia="en-GB"/>
        </w:rPr>
        <w:t xml:space="preserve"> </w:t>
      </w:r>
      <w:r w:rsidR="008E319D">
        <w:rPr>
          <w:rFonts w:ascii="Arial" w:eastAsia="SimSun" w:hAnsi="Arial" w:cs="Arial"/>
          <w:bCs/>
          <w:sz w:val="18"/>
          <w:szCs w:val="18"/>
          <w:lang w:val="en-US" w:eastAsia="en-GB"/>
        </w:rPr>
        <w:t>May</w:t>
      </w:r>
      <w:r w:rsidR="00190FD2">
        <w:rPr>
          <w:rFonts w:ascii="Arial" w:eastAsia="SimSun" w:hAnsi="Arial" w:cs="Arial"/>
          <w:bCs/>
          <w:sz w:val="18"/>
          <w:szCs w:val="18"/>
          <w:lang w:val="en-US" w:eastAsia="en-GB"/>
        </w:rPr>
        <w:t>. 202</w:t>
      </w:r>
      <w:r w:rsidR="008E319D">
        <w:rPr>
          <w:rFonts w:ascii="Arial" w:eastAsia="SimSun" w:hAnsi="Arial" w:cs="Arial"/>
          <w:bCs/>
          <w:sz w:val="18"/>
          <w:szCs w:val="18"/>
          <w:lang w:val="en-US" w:eastAsia="en-GB"/>
        </w:rPr>
        <w:t>1</w:t>
      </w:r>
    </w:p>
    <w:p w14:paraId="2F71B077" w14:textId="77777777" w:rsidR="00BF4914" w:rsidRDefault="00BF4914">
      <w:pPr>
        <w:spacing w:after="0"/>
        <w:rPr>
          <w:rFonts w:ascii="Arial" w:hAnsi="Arial"/>
          <w:sz w:val="36"/>
        </w:rPr>
      </w:pPr>
      <w:r>
        <w:br w:type="page"/>
      </w:r>
    </w:p>
    <w:p w14:paraId="196C3431" w14:textId="5ABD68FE" w:rsidR="00D06901" w:rsidRDefault="00D06901" w:rsidP="00D06901">
      <w:pPr>
        <w:pStyle w:val="Heading1"/>
      </w:pPr>
      <w:r>
        <w:lastRenderedPageBreak/>
        <w:t xml:space="preserve">5. </w:t>
      </w:r>
      <w:r>
        <w:tab/>
        <w:t>Annex</w:t>
      </w:r>
      <w:r w:rsidR="004B375E">
        <w:t xml:space="preserve"> – Continuation of section 2.3</w:t>
      </w:r>
    </w:p>
    <w:p w14:paraId="1793E639" w14:textId="27930EE6" w:rsidR="005746B5" w:rsidRPr="005746B5" w:rsidRDefault="005746B5" w:rsidP="00945A87">
      <w:pPr>
        <w:rPr>
          <w:rFonts w:ascii="Calibri" w:hAnsi="Calibri" w:cs="Calibri"/>
        </w:rPr>
      </w:pPr>
      <w:r>
        <w:rPr>
          <w:rFonts w:ascii="Calibri" w:hAnsi="Calibri" w:cs="Calibri"/>
        </w:rPr>
        <w:t xml:space="preserve">In section </w:t>
      </w:r>
      <w:r w:rsidR="001D794A">
        <w:rPr>
          <w:rFonts w:ascii="Calibri" w:hAnsi="Calibri" w:cs="Calibri"/>
        </w:rPr>
        <w:t>2.3, we concluded that:</w:t>
      </w:r>
    </w:p>
    <w:p w14:paraId="3307273F" w14:textId="3D0F85FC" w:rsidR="00945A87" w:rsidRDefault="00945A87" w:rsidP="009C1D24">
      <w:pPr>
        <w:ind w:left="720"/>
        <w:rPr>
          <w:rFonts w:ascii="Calibri" w:hAnsi="Calibri" w:cs="Calibri"/>
        </w:rPr>
      </w:pPr>
      <w:r w:rsidRPr="00835D09">
        <w:rPr>
          <w:rFonts w:ascii="Calibri" w:hAnsi="Calibri" w:cs="Calibri"/>
          <w:b/>
          <w:bCs/>
        </w:rPr>
        <w:t xml:space="preserve">Observation </w:t>
      </w:r>
      <w:r>
        <w:rPr>
          <w:rFonts w:ascii="Calibri" w:hAnsi="Calibri" w:cs="Calibri"/>
          <w:b/>
          <w:bCs/>
        </w:rPr>
        <w:t>2</w:t>
      </w:r>
      <w:r w:rsidRPr="00835D09">
        <w:rPr>
          <w:rFonts w:ascii="Calibri" w:hAnsi="Calibri" w:cs="Calibri"/>
          <w:b/>
          <w:bCs/>
        </w:rPr>
        <w:t xml:space="preserve">: </w:t>
      </w:r>
      <w:r w:rsidRPr="0006555D">
        <w:rPr>
          <w:rFonts w:ascii="Calibri" w:hAnsi="Calibri" w:cs="Calibri"/>
          <w:b/>
          <w:bCs/>
        </w:rPr>
        <w:t>Sub-slot-length non-sequence-based signals are merely ‘nice to have’ and must not be a primary consideration in choosing the EVM method.</w:t>
      </w:r>
    </w:p>
    <w:p w14:paraId="3479719B" w14:textId="462C05AE" w:rsidR="00945A87" w:rsidRDefault="001D794A" w:rsidP="00945A87">
      <w:pPr>
        <w:rPr>
          <w:rFonts w:ascii="Calibri" w:hAnsi="Calibri" w:cs="Calibri"/>
        </w:rPr>
      </w:pPr>
      <w:r>
        <w:rPr>
          <w:rFonts w:ascii="Calibri" w:hAnsi="Calibri" w:cs="Calibri"/>
        </w:rPr>
        <w:t>For completeness of analysis</w:t>
      </w:r>
      <w:r w:rsidR="00945A87">
        <w:rPr>
          <w:rFonts w:ascii="Calibri" w:hAnsi="Calibri" w:cs="Calibri"/>
        </w:rPr>
        <w:t>, we evaluated the impact of non-standards test cases for EVM involving sub-slot length signals. Method 1 builds the channel estimate mainly based on DMRS symbols. Its accuracy therefore depends strongly on number of DMRS symbols in the evaluation period. Method 2 uses all the symbols in the measurement interval to form the channel estimate. It therefore has minimal dependence on DMRS configuration</w:t>
      </w:r>
      <w:r w:rsidR="00945A87" w:rsidRPr="006557CB">
        <w:rPr>
          <w:rFonts w:asciiTheme="minorHAnsi" w:hAnsiTheme="minorHAnsi" w:cstheme="minorHAnsi"/>
        </w:rPr>
        <w:t xml:space="preserve"> </w:t>
      </w:r>
      <w:r w:rsidR="00945A87">
        <w:rPr>
          <w:rFonts w:asciiTheme="minorHAnsi" w:hAnsiTheme="minorHAnsi" w:cstheme="minorHAnsi"/>
        </w:rPr>
        <w:t>but can be sensitive to the total number of UL symbols</w:t>
      </w:r>
      <w:r w:rsidR="00945A87">
        <w:rPr>
          <w:rFonts w:ascii="Calibri" w:hAnsi="Calibri" w:cs="Calibri"/>
        </w:rPr>
        <w:t xml:space="preserve">. </w:t>
      </w:r>
    </w:p>
    <w:p w14:paraId="3208195B" w14:textId="77777777" w:rsidR="00945A87" w:rsidRDefault="00945A87" w:rsidP="00945A87">
      <w:pPr>
        <w:pStyle w:val="Heading3"/>
      </w:pPr>
      <w:r>
        <w:t>2.3.1</w:t>
      </w:r>
      <w:r>
        <w:tab/>
      </w:r>
      <w:r w:rsidRPr="000454EC">
        <w:t xml:space="preserve">EVM accuracy </w:t>
      </w:r>
      <w:r>
        <w:t>sensitivity to DMRS configuration</w:t>
      </w:r>
    </w:p>
    <w:p w14:paraId="7BC18DEC" w14:textId="77777777" w:rsidR="00945A87" w:rsidRDefault="00945A87" w:rsidP="00945A87">
      <w:pPr>
        <w:rPr>
          <w:rFonts w:ascii="Calibri" w:hAnsi="Calibri" w:cs="Calibri"/>
        </w:rPr>
      </w:pPr>
      <w:r>
        <w:rPr>
          <w:rFonts w:ascii="Calibri" w:hAnsi="Calibri" w:cs="Calibri"/>
        </w:rPr>
        <w:t>The previous section demonstrates Method 1 has excellent accuracy with 3 DMRS symbols per slot (see figure 2.2-1b).</w:t>
      </w:r>
      <w:r w:rsidRPr="00335F2B">
        <w:rPr>
          <w:rFonts w:ascii="Calibri" w:hAnsi="Calibri" w:cs="Calibri"/>
        </w:rPr>
        <w:t xml:space="preserve"> </w:t>
      </w:r>
      <w:r>
        <w:rPr>
          <w:rFonts w:ascii="Calibri" w:hAnsi="Calibri" w:cs="Calibri"/>
        </w:rPr>
        <w:t>Method 1 can work well with at least 2 DMRS symbols per evaluation period. Method 1 however cannot be relied upon for UL configurations with just one 1 DMRS symbol per evaluation period. Figure 2.3.1-1 shows accuracy results of Method 1 as a function of number of DMRS symbols.</w:t>
      </w:r>
    </w:p>
    <w:p w14:paraId="4B6E9D15" w14:textId="77777777" w:rsidR="00945A87" w:rsidRDefault="00945A87" w:rsidP="00945A87">
      <w:pPr>
        <w:rPr>
          <w:rFonts w:ascii="Calibri" w:hAnsi="Calibri" w:cs="Calibri"/>
        </w:rPr>
      </w:pPr>
      <w:r>
        <w:rPr>
          <w:rFonts w:ascii="Calibri" w:hAnsi="Calibri" w:cs="Calibri"/>
        </w:rPr>
        <w:t>It is also useful to note that when using 2 DMRS symbols per evaluation period, Method 1 needs to rely on frequency domain smoothing.</w:t>
      </w:r>
    </w:p>
    <w:p w14:paraId="6D8CFC54" w14:textId="77777777" w:rsidR="00945A87" w:rsidRDefault="00945A87" w:rsidP="00945A87">
      <w:pPr>
        <w:rPr>
          <w:rFonts w:ascii="Calibri" w:hAnsi="Calibri" w:cs="Calibri"/>
        </w:rPr>
      </w:pPr>
      <w:r>
        <w:rPr>
          <w:rFonts w:ascii="Calibri" w:hAnsi="Calibri" w:cs="Calibri"/>
          <w:noProof/>
        </w:rPr>
        <w:drawing>
          <wp:inline distT="0" distB="0" distL="0" distR="0" wp14:anchorId="6BA327E7" wp14:editId="6D3EA7ED">
            <wp:extent cx="3017520" cy="2071710"/>
            <wp:effectExtent l="0" t="0" r="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7520" cy="2071710"/>
                    </a:xfrm>
                    <a:prstGeom prst="rect">
                      <a:avLst/>
                    </a:prstGeom>
                    <a:noFill/>
                  </pic:spPr>
                </pic:pic>
              </a:graphicData>
            </a:graphic>
          </wp:inline>
        </w:drawing>
      </w:r>
      <w:r>
        <w:rPr>
          <w:rFonts w:ascii="Calibri" w:hAnsi="Calibri" w:cs="Calibri"/>
          <w:noProof/>
        </w:rPr>
        <w:drawing>
          <wp:inline distT="0" distB="0" distL="0" distR="0" wp14:anchorId="17BD153A" wp14:editId="4BE41BB9">
            <wp:extent cx="3017520" cy="2071710"/>
            <wp:effectExtent l="0" t="0" r="0" b="508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17520" cy="2071710"/>
                    </a:xfrm>
                    <a:prstGeom prst="rect">
                      <a:avLst/>
                    </a:prstGeom>
                    <a:noFill/>
                  </pic:spPr>
                </pic:pic>
              </a:graphicData>
            </a:graphic>
          </wp:inline>
        </w:drawing>
      </w:r>
    </w:p>
    <w:p w14:paraId="54B90A37" w14:textId="77777777" w:rsidR="00945A87" w:rsidRDefault="00945A87" w:rsidP="00945A87">
      <w:pPr>
        <w:pStyle w:val="Heading3"/>
      </w:pPr>
      <w:r>
        <w:t>2.3.2</w:t>
      </w:r>
      <w:r>
        <w:tab/>
      </w:r>
      <w:r w:rsidRPr="000454EC">
        <w:t xml:space="preserve">EVM accuracy </w:t>
      </w:r>
      <w:r>
        <w:t>sensitivity to number of UL symbols</w:t>
      </w:r>
    </w:p>
    <w:p w14:paraId="2D296519" w14:textId="3789687C" w:rsidR="00945A87" w:rsidRDefault="00945A87" w:rsidP="009C1D24">
      <w:pPr>
        <w:rPr>
          <w:rFonts w:asciiTheme="minorHAnsi" w:hAnsiTheme="minorHAnsi" w:cstheme="minorHAnsi"/>
        </w:rPr>
      </w:pPr>
      <w:r>
        <w:rPr>
          <w:rFonts w:asciiTheme="minorHAnsi" w:hAnsiTheme="minorHAnsi" w:cstheme="minorHAnsi"/>
        </w:rPr>
        <w:t>As we reported in [2], Method 2 tends to provide optimistic results as the LSE averaging interval is reduced. Figure 2.</w:t>
      </w:r>
      <w:r w:rsidR="009C1D24">
        <w:rPr>
          <w:rFonts w:asciiTheme="minorHAnsi" w:hAnsiTheme="minorHAnsi" w:cstheme="minorHAnsi"/>
        </w:rPr>
        <w:t>4</w:t>
      </w:r>
      <w:r>
        <w:rPr>
          <w:rFonts w:asciiTheme="minorHAnsi" w:hAnsiTheme="minorHAnsi" w:cstheme="minorHAnsi"/>
        </w:rPr>
        <w:t>-1 captures the optimism factor of Method 2, for QPSK. Accuracy of method 1 remains mostly insensitive to number of UL slots in the evaluation interval, although dependency on number of DMRS symbols remains (see section 2.3.1).</w:t>
      </w:r>
    </w:p>
    <w:p w14:paraId="61D0ECA5" w14:textId="77777777" w:rsidR="00945A87" w:rsidRDefault="00945A87" w:rsidP="00945A87">
      <w:pPr>
        <w:rPr>
          <w:rFonts w:asciiTheme="minorHAnsi" w:hAnsiTheme="minorHAnsi" w:cstheme="minorHAnsi"/>
        </w:rPr>
      </w:pPr>
      <w:r>
        <w:rPr>
          <w:rFonts w:asciiTheme="minorHAnsi" w:hAnsiTheme="minorHAnsi" w:cstheme="minorHAnsi"/>
        </w:rPr>
        <w:t>In our view there is no one method that is better than the other for all conditions. For example, Method 1 is not appropriate for signals with only 1 DMRS symbol/evaluation period. On the other hand, Method 2 under-estimates the error significantly if evaluation period reduces in length. Since sub-slot signals are not standards test cases choice of EVM method can be left up to TE implementation.</w:t>
      </w:r>
    </w:p>
    <w:p w14:paraId="345D3B22" w14:textId="44F778B0" w:rsidR="00E53CBD" w:rsidRPr="00D84C49" w:rsidRDefault="00945A87" w:rsidP="00D84C49">
      <w:pPr>
        <w:rPr>
          <w:rFonts w:ascii="Calibri" w:hAnsi="Calibri" w:cs="Calibri"/>
        </w:rPr>
      </w:pPr>
      <w:r w:rsidRPr="00835D09">
        <w:rPr>
          <w:rFonts w:ascii="Calibri" w:hAnsi="Calibri" w:cs="Calibri"/>
          <w:b/>
          <w:bCs/>
        </w:rPr>
        <w:t xml:space="preserve">Observation </w:t>
      </w:r>
      <w:r w:rsidR="009C1D24">
        <w:rPr>
          <w:rFonts w:ascii="Calibri" w:hAnsi="Calibri" w:cs="Calibri"/>
          <w:b/>
          <w:bCs/>
        </w:rPr>
        <w:t>4</w:t>
      </w:r>
      <w:r w:rsidRPr="00835D09">
        <w:rPr>
          <w:rFonts w:ascii="Calibri" w:hAnsi="Calibri" w:cs="Calibri"/>
          <w:b/>
          <w:bCs/>
        </w:rPr>
        <w:t xml:space="preserve">: </w:t>
      </w:r>
      <w:r>
        <w:rPr>
          <w:rFonts w:ascii="Calibri" w:hAnsi="Calibri" w:cs="Calibri"/>
          <w:b/>
          <w:bCs/>
        </w:rPr>
        <w:t>The EVM method for s</w:t>
      </w:r>
      <w:r w:rsidRPr="0006555D">
        <w:rPr>
          <w:rFonts w:ascii="Calibri" w:hAnsi="Calibri" w:cs="Calibri"/>
          <w:b/>
          <w:bCs/>
        </w:rPr>
        <w:t xml:space="preserve">ub-slot-length non-sequence-based signals </w:t>
      </w:r>
      <w:r>
        <w:rPr>
          <w:rFonts w:ascii="Calibri" w:hAnsi="Calibri" w:cs="Calibri"/>
          <w:b/>
          <w:bCs/>
        </w:rPr>
        <w:t>can be left to TE implementation</w:t>
      </w:r>
      <w:r w:rsidRPr="0006555D">
        <w:rPr>
          <w:rFonts w:ascii="Calibri" w:hAnsi="Calibri" w:cs="Calibri"/>
          <w:b/>
          <w:bCs/>
        </w:rPr>
        <w:t>.</w:t>
      </w:r>
    </w:p>
    <w:sectPr w:rsidR="00E53CBD" w:rsidRPr="00D84C49">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3"/>
  </w:num>
  <w:num w:numId="3">
    <w:abstractNumId w:val="7"/>
  </w:num>
  <w:num w:numId="4">
    <w:abstractNumId w:val="2"/>
  </w:num>
  <w:num w:numId="5">
    <w:abstractNumId w:val="1"/>
  </w:num>
  <w:num w:numId="6">
    <w:abstractNumId w:val="0"/>
  </w:num>
  <w:num w:numId="7">
    <w:abstractNumId w:val="6"/>
  </w:num>
  <w:num w:numId="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5518"/>
    <w:rsid w:val="00037A84"/>
    <w:rsid w:val="000400F4"/>
    <w:rsid w:val="00040657"/>
    <w:rsid w:val="000418D7"/>
    <w:rsid w:val="0004380F"/>
    <w:rsid w:val="00043AFD"/>
    <w:rsid w:val="00043E19"/>
    <w:rsid w:val="00043EAA"/>
    <w:rsid w:val="000442E0"/>
    <w:rsid w:val="000454A9"/>
    <w:rsid w:val="000454EC"/>
    <w:rsid w:val="00046CEF"/>
    <w:rsid w:val="00050DB5"/>
    <w:rsid w:val="000530E2"/>
    <w:rsid w:val="00054C8B"/>
    <w:rsid w:val="00055EBF"/>
    <w:rsid w:val="00055FF2"/>
    <w:rsid w:val="00057087"/>
    <w:rsid w:val="0006136D"/>
    <w:rsid w:val="000616EB"/>
    <w:rsid w:val="00061714"/>
    <w:rsid w:val="000617F6"/>
    <w:rsid w:val="0006555D"/>
    <w:rsid w:val="00066D96"/>
    <w:rsid w:val="000674DC"/>
    <w:rsid w:val="00070248"/>
    <w:rsid w:val="00072010"/>
    <w:rsid w:val="00072326"/>
    <w:rsid w:val="000726D8"/>
    <w:rsid w:val="00074C38"/>
    <w:rsid w:val="00076DED"/>
    <w:rsid w:val="00077EB3"/>
    <w:rsid w:val="00080921"/>
    <w:rsid w:val="00081306"/>
    <w:rsid w:val="000817D0"/>
    <w:rsid w:val="000831CC"/>
    <w:rsid w:val="00083838"/>
    <w:rsid w:val="000842C1"/>
    <w:rsid w:val="000856E2"/>
    <w:rsid w:val="00085B9A"/>
    <w:rsid w:val="00087ADC"/>
    <w:rsid w:val="000908D9"/>
    <w:rsid w:val="00093CF3"/>
    <w:rsid w:val="000941F2"/>
    <w:rsid w:val="0009445F"/>
    <w:rsid w:val="00094FBF"/>
    <w:rsid w:val="00095A42"/>
    <w:rsid w:val="00095CD3"/>
    <w:rsid w:val="00095EAA"/>
    <w:rsid w:val="000976DD"/>
    <w:rsid w:val="000977F2"/>
    <w:rsid w:val="00097F44"/>
    <w:rsid w:val="000A0E97"/>
    <w:rsid w:val="000A1617"/>
    <w:rsid w:val="000A1F0B"/>
    <w:rsid w:val="000A5286"/>
    <w:rsid w:val="000A567D"/>
    <w:rsid w:val="000A643B"/>
    <w:rsid w:val="000A6887"/>
    <w:rsid w:val="000A6B8A"/>
    <w:rsid w:val="000A6BF4"/>
    <w:rsid w:val="000B0067"/>
    <w:rsid w:val="000B036D"/>
    <w:rsid w:val="000B6E32"/>
    <w:rsid w:val="000B7016"/>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D11B0"/>
    <w:rsid w:val="000D12EE"/>
    <w:rsid w:val="000D18EC"/>
    <w:rsid w:val="000D1FB9"/>
    <w:rsid w:val="000D23BF"/>
    <w:rsid w:val="000D42A9"/>
    <w:rsid w:val="000D4C6B"/>
    <w:rsid w:val="000D6793"/>
    <w:rsid w:val="000D6CAE"/>
    <w:rsid w:val="000D7816"/>
    <w:rsid w:val="000E08B5"/>
    <w:rsid w:val="000E0A10"/>
    <w:rsid w:val="000E1E06"/>
    <w:rsid w:val="000E1E7F"/>
    <w:rsid w:val="000E26BD"/>
    <w:rsid w:val="000E37DD"/>
    <w:rsid w:val="000E3A85"/>
    <w:rsid w:val="000E4512"/>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54AF"/>
    <w:rsid w:val="00105BC0"/>
    <w:rsid w:val="0010618D"/>
    <w:rsid w:val="001069FC"/>
    <w:rsid w:val="00107246"/>
    <w:rsid w:val="001106E3"/>
    <w:rsid w:val="001114E4"/>
    <w:rsid w:val="00111AE3"/>
    <w:rsid w:val="00111C42"/>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615B"/>
    <w:rsid w:val="00126845"/>
    <w:rsid w:val="00126E1A"/>
    <w:rsid w:val="00127050"/>
    <w:rsid w:val="00130E2C"/>
    <w:rsid w:val="001314AE"/>
    <w:rsid w:val="00131AFF"/>
    <w:rsid w:val="00132FC6"/>
    <w:rsid w:val="001337E7"/>
    <w:rsid w:val="001338B7"/>
    <w:rsid w:val="00134105"/>
    <w:rsid w:val="00134840"/>
    <w:rsid w:val="00134BA8"/>
    <w:rsid w:val="00134D6D"/>
    <w:rsid w:val="001351EB"/>
    <w:rsid w:val="00135F65"/>
    <w:rsid w:val="001365E3"/>
    <w:rsid w:val="001370A3"/>
    <w:rsid w:val="001372D8"/>
    <w:rsid w:val="00137573"/>
    <w:rsid w:val="00137983"/>
    <w:rsid w:val="00140D1D"/>
    <w:rsid w:val="00141789"/>
    <w:rsid w:val="0014314A"/>
    <w:rsid w:val="0014315B"/>
    <w:rsid w:val="001445ED"/>
    <w:rsid w:val="001448F1"/>
    <w:rsid w:val="00144FDD"/>
    <w:rsid w:val="00145330"/>
    <w:rsid w:val="001458B2"/>
    <w:rsid w:val="00146172"/>
    <w:rsid w:val="0014709F"/>
    <w:rsid w:val="00147997"/>
    <w:rsid w:val="00147A60"/>
    <w:rsid w:val="00150AB4"/>
    <w:rsid w:val="001512D7"/>
    <w:rsid w:val="00151F34"/>
    <w:rsid w:val="00152908"/>
    <w:rsid w:val="001547C6"/>
    <w:rsid w:val="00155EE5"/>
    <w:rsid w:val="00156109"/>
    <w:rsid w:val="00156B5E"/>
    <w:rsid w:val="00157EA2"/>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A0"/>
    <w:rsid w:val="0018592E"/>
    <w:rsid w:val="00186DCC"/>
    <w:rsid w:val="00186FCB"/>
    <w:rsid w:val="00187BF5"/>
    <w:rsid w:val="00190316"/>
    <w:rsid w:val="00190479"/>
    <w:rsid w:val="00190505"/>
    <w:rsid w:val="0019056F"/>
    <w:rsid w:val="001906D3"/>
    <w:rsid w:val="00190D71"/>
    <w:rsid w:val="00190FD2"/>
    <w:rsid w:val="00191C40"/>
    <w:rsid w:val="00192AF0"/>
    <w:rsid w:val="00193E25"/>
    <w:rsid w:val="00194778"/>
    <w:rsid w:val="00195A3B"/>
    <w:rsid w:val="00196045"/>
    <w:rsid w:val="00196080"/>
    <w:rsid w:val="001A0E7B"/>
    <w:rsid w:val="001A32ED"/>
    <w:rsid w:val="001A3380"/>
    <w:rsid w:val="001A364A"/>
    <w:rsid w:val="001A3BB6"/>
    <w:rsid w:val="001A4703"/>
    <w:rsid w:val="001A498A"/>
    <w:rsid w:val="001A4F6A"/>
    <w:rsid w:val="001A69D6"/>
    <w:rsid w:val="001B0F83"/>
    <w:rsid w:val="001B13B7"/>
    <w:rsid w:val="001B143A"/>
    <w:rsid w:val="001B1685"/>
    <w:rsid w:val="001B3183"/>
    <w:rsid w:val="001B4872"/>
    <w:rsid w:val="001B490A"/>
    <w:rsid w:val="001B4B13"/>
    <w:rsid w:val="001B59D7"/>
    <w:rsid w:val="001B60A9"/>
    <w:rsid w:val="001B6DB7"/>
    <w:rsid w:val="001B78F1"/>
    <w:rsid w:val="001C038F"/>
    <w:rsid w:val="001C0CF6"/>
    <w:rsid w:val="001C1001"/>
    <w:rsid w:val="001C4092"/>
    <w:rsid w:val="001C5055"/>
    <w:rsid w:val="001C512A"/>
    <w:rsid w:val="001C5370"/>
    <w:rsid w:val="001C6F4D"/>
    <w:rsid w:val="001C796A"/>
    <w:rsid w:val="001C7DB9"/>
    <w:rsid w:val="001D00F7"/>
    <w:rsid w:val="001D0168"/>
    <w:rsid w:val="001D29A7"/>
    <w:rsid w:val="001D4364"/>
    <w:rsid w:val="001D4399"/>
    <w:rsid w:val="001D794A"/>
    <w:rsid w:val="001E016A"/>
    <w:rsid w:val="001E0606"/>
    <w:rsid w:val="001E216D"/>
    <w:rsid w:val="001E286F"/>
    <w:rsid w:val="001E2A62"/>
    <w:rsid w:val="001E3572"/>
    <w:rsid w:val="001E3C95"/>
    <w:rsid w:val="001E42CC"/>
    <w:rsid w:val="001E4305"/>
    <w:rsid w:val="001E4517"/>
    <w:rsid w:val="001E74D4"/>
    <w:rsid w:val="001F193B"/>
    <w:rsid w:val="001F1B7D"/>
    <w:rsid w:val="001F28E4"/>
    <w:rsid w:val="001F302F"/>
    <w:rsid w:val="001F415A"/>
    <w:rsid w:val="001F5365"/>
    <w:rsid w:val="001F5513"/>
    <w:rsid w:val="001F6490"/>
    <w:rsid w:val="001F79B8"/>
    <w:rsid w:val="00200596"/>
    <w:rsid w:val="002007CA"/>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4AB"/>
    <w:rsid w:val="00241665"/>
    <w:rsid w:val="00241773"/>
    <w:rsid w:val="00242909"/>
    <w:rsid w:val="00244785"/>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E52"/>
    <w:rsid w:val="002666B8"/>
    <w:rsid w:val="00267ECA"/>
    <w:rsid w:val="002702A8"/>
    <w:rsid w:val="00271477"/>
    <w:rsid w:val="002715F5"/>
    <w:rsid w:val="00271B83"/>
    <w:rsid w:val="00272536"/>
    <w:rsid w:val="00273040"/>
    <w:rsid w:val="002758F1"/>
    <w:rsid w:val="002768D1"/>
    <w:rsid w:val="002769CD"/>
    <w:rsid w:val="002820E8"/>
    <w:rsid w:val="00283C36"/>
    <w:rsid w:val="00284510"/>
    <w:rsid w:val="00285623"/>
    <w:rsid w:val="00285693"/>
    <w:rsid w:val="0028569D"/>
    <w:rsid w:val="00286A18"/>
    <w:rsid w:val="00287C9E"/>
    <w:rsid w:val="00290ACB"/>
    <w:rsid w:val="002910BA"/>
    <w:rsid w:val="00292320"/>
    <w:rsid w:val="00292BB8"/>
    <w:rsid w:val="00292E7E"/>
    <w:rsid w:val="002930BF"/>
    <w:rsid w:val="00293E95"/>
    <w:rsid w:val="00294060"/>
    <w:rsid w:val="002948A8"/>
    <w:rsid w:val="00294E9B"/>
    <w:rsid w:val="002960BC"/>
    <w:rsid w:val="00296729"/>
    <w:rsid w:val="002A08FE"/>
    <w:rsid w:val="002A1B22"/>
    <w:rsid w:val="002A1C01"/>
    <w:rsid w:val="002A353B"/>
    <w:rsid w:val="002A368E"/>
    <w:rsid w:val="002A5622"/>
    <w:rsid w:val="002A7497"/>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6BD"/>
    <w:rsid w:val="002C0E0C"/>
    <w:rsid w:val="002C0F18"/>
    <w:rsid w:val="002C1FBB"/>
    <w:rsid w:val="002C21D2"/>
    <w:rsid w:val="002C5153"/>
    <w:rsid w:val="002C5814"/>
    <w:rsid w:val="002C5CC1"/>
    <w:rsid w:val="002C62E7"/>
    <w:rsid w:val="002C65B6"/>
    <w:rsid w:val="002D0370"/>
    <w:rsid w:val="002D2A7E"/>
    <w:rsid w:val="002D3F49"/>
    <w:rsid w:val="002D4CC7"/>
    <w:rsid w:val="002D4FBE"/>
    <w:rsid w:val="002D526F"/>
    <w:rsid w:val="002D52A2"/>
    <w:rsid w:val="002D5381"/>
    <w:rsid w:val="002D5BF7"/>
    <w:rsid w:val="002D6A81"/>
    <w:rsid w:val="002D7018"/>
    <w:rsid w:val="002D72C3"/>
    <w:rsid w:val="002E1D34"/>
    <w:rsid w:val="002E2724"/>
    <w:rsid w:val="002E272A"/>
    <w:rsid w:val="002E2B93"/>
    <w:rsid w:val="002E2BED"/>
    <w:rsid w:val="002E3654"/>
    <w:rsid w:val="002E48E0"/>
    <w:rsid w:val="002E568B"/>
    <w:rsid w:val="002E5F8E"/>
    <w:rsid w:val="002E6130"/>
    <w:rsid w:val="002E7011"/>
    <w:rsid w:val="002E7CA1"/>
    <w:rsid w:val="002F03EC"/>
    <w:rsid w:val="002F1C8C"/>
    <w:rsid w:val="002F1E4E"/>
    <w:rsid w:val="002F2467"/>
    <w:rsid w:val="002F28ED"/>
    <w:rsid w:val="002F2AF3"/>
    <w:rsid w:val="002F367F"/>
    <w:rsid w:val="002F3972"/>
    <w:rsid w:val="002F4F52"/>
    <w:rsid w:val="002F5196"/>
    <w:rsid w:val="002F583F"/>
    <w:rsid w:val="002F62ED"/>
    <w:rsid w:val="002F6702"/>
    <w:rsid w:val="002F77EF"/>
    <w:rsid w:val="002F7C54"/>
    <w:rsid w:val="003000FE"/>
    <w:rsid w:val="0030012B"/>
    <w:rsid w:val="00300732"/>
    <w:rsid w:val="00300B71"/>
    <w:rsid w:val="003013ED"/>
    <w:rsid w:val="00302A56"/>
    <w:rsid w:val="00302E72"/>
    <w:rsid w:val="0030770F"/>
    <w:rsid w:val="00311C70"/>
    <w:rsid w:val="003126D5"/>
    <w:rsid w:val="003141FD"/>
    <w:rsid w:val="00315C69"/>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76B3"/>
    <w:rsid w:val="003479CA"/>
    <w:rsid w:val="00347D07"/>
    <w:rsid w:val="00350A27"/>
    <w:rsid w:val="00350DDB"/>
    <w:rsid w:val="00351A78"/>
    <w:rsid w:val="00351F14"/>
    <w:rsid w:val="003524CA"/>
    <w:rsid w:val="003526DF"/>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252F"/>
    <w:rsid w:val="003736AD"/>
    <w:rsid w:val="003740C7"/>
    <w:rsid w:val="00375AA5"/>
    <w:rsid w:val="00377DC4"/>
    <w:rsid w:val="0038188A"/>
    <w:rsid w:val="00382594"/>
    <w:rsid w:val="00384935"/>
    <w:rsid w:val="00385424"/>
    <w:rsid w:val="0038634A"/>
    <w:rsid w:val="00386EF2"/>
    <w:rsid w:val="0038770D"/>
    <w:rsid w:val="00390025"/>
    <w:rsid w:val="00390DB9"/>
    <w:rsid w:val="003911C3"/>
    <w:rsid w:val="003917F8"/>
    <w:rsid w:val="00391CCD"/>
    <w:rsid w:val="0039343A"/>
    <w:rsid w:val="00395017"/>
    <w:rsid w:val="0039532A"/>
    <w:rsid w:val="003959D7"/>
    <w:rsid w:val="00395DA0"/>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C0362"/>
    <w:rsid w:val="003C0809"/>
    <w:rsid w:val="003C17C4"/>
    <w:rsid w:val="003C1DB8"/>
    <w:rsid w:val="003C2BA0"/>
    <w:rsid w:val="003C3217"/>
    <w:rsid w:val="003C3383"/>
    <w:rsid w:val="003C5038"/>
    <w:rsid w:val="003C5CAE"/>
    <w:rsid w:val="003C6029"/>
    <w:rsid w:val="003D0148"/>
    <w:rsid w:val="003D0A5E"/>
    <w:rsid w:val="003D353C"/>
    <w:rsid w:val="003D46AF"/>
    <w:rsid w:val="003D4978"/>
    <w:rsid w:val="003D76EC"/>
    <w:rsid w:val="003E0174"/>
    <w:rsid w:val="003E0EF6"/>
    <w:rsid w:val="003E11D3"/>
    <w:rsid w:val="003E13CC"/>
    <w:rsid w:val="003E1E32"/>
    <w:rsid w:val="003E3399"/>
    <w:rsid w:val="003E427D"/>
    <w:rsid w:val="003E4CBC"/>
    <w:rsid w:val="003E5FB9"/>
    <w:rsid w:val="003E722B"/>
    <w:rsid w:val="003E7ADB"/>
    <w:rsid w:val="003F0999"/>
    <w:rsid w:val="003F0A17"/>
    <w:rsid w:val="003F0C7A"/>
    <w:rsid w:val="003F0C90"/>
    <w:rsid w:val="003F2703"/>
    <w:rsid w:val="003F273F"/>
    <w:rsid w:val="003F36E4"/>
    <w:rsid w:val="003F3BE5"/>
    <w:rsid w:val="003F6ABE"/>
    <w:rsid w:val="003F6DA5"/>
    <w:rsid w:val="00400A46"/>
    <w:rsid w:val="00400AD6"/>
    <w:rsid w:val="00401112"/>
    <w:rsid w:val="00401552"/>
    <w:rsid w:val="00401B04"/>
    <w:rsid w:val="00401E65"/>
    <w:rsid w:val="00402892"/>
    <w:rsid w:val="00404558"/>
    <w:rsid w:val="00404E6B"/>
    <w:rsid w:val="00405503"/>
    <w:rsid w:val="00405BFD"/>
    <w:rsid w:val="004074B1"/>
    <w:rsid w:val="004115CA"/>
    <w:rsid w:val="0041198B"/>
    <w:rsid w:val="00411A23"/>
    <w:rsid w:val="004127B2"/>
    <w:rsid w:val="00412939"/>
    <w:rsid w:val="0041370C"/>
    <w:rsid w:val="00413848"/>
    <w:rsid w:val="00414CE5"/>
    <w:rsid w:val="004152E5"/>
    <w:rsid w:val="004155C8"/>
    <w:rsid w:val="00415DED"/>
    <w:rsid w:val="00416128"/>
    <w:rsid w:val="00416364"/>
    <w:rsid w:val="00416BB2"/>
    <w:rsid w:val="0042095B"/>
    <w:rsid w:val="00421CC7"/>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6F4"/>
    <w:rsid w:val="00446E9E"/>
    <w:rsid w:val="004470BC"/>
    <w:rsid w:val="004474F1"/>
    <w:rsid w:val="00450217"/>
    <w:rsid w:val="00450389"/>
    <w:rsid w:val="00451787"/>
    <w:rsid w:val="00451809"/>
    <w:rsid w:val="00453431"/>
    <w:rsid w:val="004541E5"/>
    <w:rsid w:val="0045428D"/>
    <w:rsid w:val="004544D6"/>
    <w:rsid w:val="004554BF"/>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900F0"/>
    <w:rsid w:val="004918DB"/>
    <w:rsid w:val="004920D2"/>
    <w:rsid w:val="0049230B"/>
    <w:rsid w:val="00492E39"/>
    <w:rsid w:val="00493FC2"/>
    <w:rsid w:val="004958EA"/>
    <w:rsid w:val="00496FBC"/>
    <w:rsid w:val="00496FCF"/>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8ED"/>
    <w:rsid w:val="004C1484"/>
    <w:rsid w:val="004C2A36"/>
    <w:rsid w:val="004C2B7E"/>
    <w:rsid w:val="004C3700"/>
    <w:rsid w:val="004C5FCA"/>
    <w:rsid w:val="004C68C9"/>
    <w:rsid w:val="004D17AA"/>
    <w:rsid w:val="004D3585"/>
    <w:rsid w:val="004D3E69"/>
    <w:rsid w:val="004D43C9"/>
    <w:rsid w:val="004D55AC"/>
    <w:rsid w:val="004D59D7"/>
    <w:rsid w:val="004E076B"/>
    <w:rsid w:val="004E0CD1"/>
    <w:rsid w:val="004E0FAB"/>
    <w:rsid w:val="004E1641"/>
    <w:rsid w:val="004E3693"/>
    <w:rsid w:val="004E50A3"/>
    <w:rsid w:val="004E70A2"/>
    <w:rsid w:val="004E7F19"/>
    <w:rsid w:val="004F02A7"/>
    <w:rsid w:val="004F08E2"/>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7ACB"/>
    <w:rsid w:val="00507D16"/>
    <w:rsid w:val="00510D5C"/>
    <w:rsid w:val="005120D5"/>
    <w:rsid w:val="00514334"/>
    <w:rsid w:val="00514836"/>
    <w:rsid w:val="00517ABC"/>
    <w:rsid w:val="00520026"/>
    <w:rsid w:val="0052004B"/>
    <w:rsid w:val="0052226D"/>
    <w:rsid w:val="00523330"/>
    <w:rsid w:val="00523D5B"/>
    <w:rsid w:val="0052449E"/>
    <w:rsid w:val="00524612"/>
    <w:rsid w:val="005253F6"/>
    <w:rsid w:val="00525BD4"/>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6287"/>
    <w:rsid w:val="005814F0"/>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3A16"/>
    <w:rsid w:val="005A3AFC"/>
    <w:rsid w:val="005A5500"/>
    <w:rsid w:val="005A5992"/>
    <w:rsid w:val="005A5E68"/>
    <w:rsid w:val="005B0319"/>
    <w:rsid w:val="005B03DB"/>
    <w:rsid w:val="005B0A6C"/>
    <w:rsid w:val="005B0AC1"/>
    <w:rsid w:val="005B16F2"/>
    <w:rsid w:val="005B193E"/>
    <w:rsid w:val="005B19CF"/>
    <w:rsid w:val="005B1D2D"/>
    <w:rsid w:val="005B4A28"/>
    <w:rsid w:val="005B4FA1"/>
    <w:rsid w:val="005B7193"/>
    <w:rsid w:val="005B7CB8"/>
    <w:rsid w:val="005C13E0"/>
    <w:rsid w:val="005C29C2"/>
    <w:rsid w:val="005C361F"/>
    <w:rsid w:val="005C421D"/>
    <w:rsid w:val="005C4551"/>
    <w:rsid w:val="005C53EB"/>
    <w:rsid w:val="005C5735"/>
    <w:rsid w:val="005C6CAA"/>
    <w:rsid w:val="005C7AB3"/>
    <w:rsid w:val="005D1530"/>
    <w:rsid w:val="005D1EA9"/>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655"/>
    <w:rsid w:val="005E77DE"/>
    <w:rsid w:val="005E7993"/>
    <w:rsid w:val="005E7E77"/>
    <w:rsid w:val="005F17FB"/>
    <w:rsid w:val="005F1D2E"/>
    <w:rsid w:val="005F33D7"/>
    <w:rsid w:val="005F343C"/>
    <w:rsid w:val="005F35A7"/>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10416"/>
    <w:rsid w:val="00610BAA"/>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7AE7"/>
    <w:rsid w:val="006408BB"/>
    <w:rsid w:val="00642F54"/>
    <w:rsid w:val="0064339E"/>
    <w:rsid w:val="00643CE6"/>
    <w:rsid w:val="00644E09"/>
    <w:rsid w:val="00645020"/>
    <w:rsid w:val="00645E5F"/>
    <w:rsid w:val="0064770D"/>
    <w:rsid w:val="00650F92"/>
    <w:rsid w:val="00651D0E"/>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E54"/>
    <w:rsid w:val="006642AD"/>
    <w:rsid w:val="00664696"/>
    <w:rsid w:val="00664963"/>
    <w:rsid w:val="00665BBC"/>
    <w:rsid w:val="00667CFB"/>
    <w:rsid w:val="00667D71"/>
    <w:rsid w:val="006705C6"/>
    <w:rsid w:val="0067065A"/>
    <w:rsid w:val="006723D8"/>
    <w:rsid w:val="006729C2"/>
    <w:rsid w:val="00674D9B"/>
    <w:rsid w:val="00675D62"/>
    <w:rsid w:val="0067612C"/>
    <w:rsid w:val="006774AD"/>
    <w:rsid w:val="00677519"/>
    <w:rsid w:val="0068115C"/>
    <w:rsid w:val="006817D6"/>
    <w:rsid w:val="00681F7F"/>
    <w:rsid w:val="006821D3"/>
    <w:rsid w:val="006834CE"/>
    <w:rsid w:val="00683C1F"/>
    <w:rsid w:val="006842D9"/>
    <w:rsid w:val="00686E81"/>
    <w:rsid w:val="00687BB4"/>
    <w:rsid w:val="00690914"/>
    <w:rsid w:val="00690A02"/>
    <w:rsid w:val="00691155"/>
    <w:rsid w:val="00691500"/>
    <w:rsid w:val="00693267"/>
    <w:rsid w:val="00694771"/>
    <w:rsid w:val="00695119"/>
    <w:rsid w:val="00695F3B"/>
    <w:rsid w:val="0069606D"/>
    <w:rsid w:val="006961F6"/>
    <w:rsid w:val="006A0BAA"/>
    <w:rsid w:val="006A0EBB"/>
    <w:rsid w:val="006A2E7B"/>
    <w:rsid w:val="006A3AC3"/>
    <w:rsid w:val="006A3DD3"/>
    <w:rsid w:val="006A455E"/>
    <w:rsid w:val="006A47D6"/>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E90"/>
    <w:rsid w:val="006D70E4"/>
    <w:rsid w:val="006D7BEA"/>
    <w:rsid w:val="006D7C1A"/>
    <w:rsid w:val="006E274D"/>
    <w:rsid w:val="006E4C54"/>
    <w:rsid w:val="006E4D30"/>
    <w:rsid w:val="006F027C"/>
    <w:rsid w:val="006F03DE"/>
    <w:rsid w:val="006F196D"/>
    <w:rsid w:val="006F1E98"/>
    <w:rsid w:val="006F2300"/>
    <w:rsid w:val="006F2678"/>
    <w:rsid w:val="006F2695"/>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61CC"/>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A61"/>
    <w:rsid w:val="00737F0B"/>
    <w:rsid w:val="007402B0"/>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2038"/>
    <w:rsid w:val="007C347A"/>
    <w:rsid w:val="007C391C"/>
    <w:rsid w:val="007C426D"/>
    <w:rsid w:val="007C431F"/>
    <w:rsid w:val="007C47B1"/>
    <w:rsid w:val="007C56A9"/>
    <w:rsid w:val="007C56C0"/>
    <w:rsid w:val="007C6050"/>
    <w:rsid w:val="007C6778"/>
    <w:rsid w:val="007C6E00"/>
    <w:rsid w:val="007C792B"/>
    <w:rsid w:val="007D11BE"/>
    <w:rsid w:val="007D1959"/>
    <w:rsid w:val="007D1DB4"/>
    <w:rsid w:val="007D2F6E"/>
    <w:rsid w:val="007D4012"/>
    <w:rsid w:val="007D4C55"/>
    <w:rsid w:val="007D4E70"/>
    <w:rsid w:val="007D57F1"/>
    <w:rsid w:val="007D5C8E"/>
    <w:rsid w:val="007D67B5"/>
    <w:rsid w:val="007D7F6F"/>
    <w:rsid w:val="007E2050"/>
    <w:rsid w:val="007E2213"/>
    <w:rsid w:val="007E29B7"/>
    <w:rsid w:val="007E2AFB"/>
    <w:rsid w:val="007E3106"/>
    <w:rsid w:val="007E37FA"/>
    <w:rsid w:val="007E5EEB"/>
    <w:rsid w:val="007E62D2"/>
    <w:rsid w:val="007E62DA"/>
    <w:rsid w:val="007E7322"/>
    <w:rsid w:val="007F0430"/>
    <w:rsid w:val="007F1857"/>
    <w:rsid w:val="007F2559"/>
    <w:rsid w:val="007F2774"/>
    <w:rsid w:val="007F2A60"/>
    <w:rsid w:val="007F5A2D"/>
    <w:rsid w:val="007F7AAD"/>
    <w:rsid w:val="007F7AE6"/>
    <w:rsid w:val="0080082C"/>
    <w:rsid w:val="0080109A"/>
    <w:rsid w:val="008023D3"/>
    <w:rsid w:val="00802812"/>
    <w:rsid w:val="0080320A"/>
    <w:rsid w:val="00803597"/>
    <w:rsid w:val="00804D26"/>
    <w:rsid w:val="00804D43"/>
    <w:rsid w:val="00805649"/>
    <w:rsid w:val="00805AEC"/>
    <w:rsid w:val="00806BAD"/>
    <w:rsid w:val="008078E6"/>
    <w:rsid w:val="00810EC4"/>
    <w:rsid w:val="00812B98"/>
    <w:rsid w:val="008151A2"/>
    <w:rsid w:val="008152BD"/>
    <w:rsid w:val="00815671"/>
    <w:rsid w:val="008157E8"/>
    <w:rsid w:val="0081713B"/>
    <w:rsid w:val="0081721A"/>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5D09"/>
    <w:rsid w:val="0083775C"/>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41FA"/>
    <w:rsid w:val="00855039"/>
    <w:rsid w:val="0085530D"/>
    <w:rsid w:val="008553DF"/>
    <w:rsid w:val="008560A6"/>
    <w:rsid w:val="00856578"/>
    <w:rsid w:val="00857E6D"/>
    <w:rsid w:val="00860C12"/>
    <w:rsid w:val="008619D6"/>
    <w:rsid w:val="00861EC1"/>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215D"/>
    <w:rsid w:val="0089271A"/>
    <w:rsid w:val="0089271D"/>
    <w:rsid w:val="008937EA"/>
    <w:rsid w:val="00894F87"/>
    <w:rsid w:val="00896B2C"/>
    <w:rsid w:val="008979F2"/>
    <w:rsid w:val="008A01FF"/>
    <w:rsid w:val="008A19C8"/>
    <w:rsid w:val="008A2793"/>
    <w:rsid w:val="008A2FCA"/>
    <w:rsid w:val="008A30DD"/>
    <w:rsid w:val="008A3B39"/>
    <w:rsid w:val="008A4C1E"/>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929"/>
    <w:rsid w:val="008C3A6D"/>
    <w:rsid w:val="008C3E84"/>
    <w:rsid w:val="008C48DA"/>
    <w:rsid w:val="008C5463"/>
    <w:rsid w:val="008C6021"/>
    <w:rsid w:val="008C6982"/>
    <w:rsid w:val="008C6D09"/>
    <w:rsid w:val="008D05AD"/>
    <w:rsid w:val="008D252D"/>
    <w:rsid w:val="008D305A"/>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208E6"/>
    <w:rsid w:val="0092174F"/>
    <w:rsid w:val="00921940"/>
    <w:rsid w:val="00921D00"/>
    <w:rsid w:val="00922C81"/>
    <w:rsid w:val="00923FE8"/>
    <w:rsid w:val="00925B09"/>
    <w:rsid w:val="009264DA"/>
    <w:rsid w:val="00927AC6"/>
    <w:rsid w:val="00927DC7"/>
    <w:rsid w:val="009316B7"/>
    <w:rsid w:val="00932C73"/>
    <w:rsid w:val="0093333D"/>
    <w:rsid w:val="00933EAC"/>
    <w:rsid w:val="00934DE1"/>
    <w:rsid w:val="00935FB3"/>
    <w:rsid w:val="0093749A"/>
    <w:rsid w:val="009376C7"/>
    <w:rsid w:val="00937EBF"/>
    <w:rsid w:val="009409BC"/>
    <w:rsid w:val="00940EA0"/>
    <w:rsid w:val="00941D19"/>
    <w:rsid w:val="00941F24"/>
    <w:rsid w:val="009429B3"/>
    <w:rsid w:val="009458BF"/>
    <w:rsid w:val="00945A87"/>
    <w:rsid w:val="00945FFB"/>
    <w:rsid w:val="0094765F"/>
    <w:rsid w:val="00947803"/>
    <w:rsid w:val="0095149E"/>
    <w:rsid w:val="00952A0B"/>
    <w:rsid w:val="00952B99"/>
    <w:rsid w:val="00953CD5"/>
    <w:rsid w:val="00954D53"/>
    <w:rsid w:val="00955BCA"/>
    <w:rsid w:val="0096054F"/>
    <w:rsid w:val="00960582"/>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7122"/>
    <w:rsid w:val="00977601"/>
    <w:rsid w:val="00981332"/>
    <w:rsid w:val="009834CD"/>
    <w:rsid w:val="0098447D"/>
    <w:rsid w:val="009856B0"/>
    <w:rsid w:val="00986FA3"/>
    <w:rsid w:val="00987DC6"/>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F5C"/>
    <w:rsid w:val="009D1612"/>
    <w:rsid w:val="009D21B1"/>
    <w:rsid w:val="009D22E9"/>
    <w:rsid w:val="009D29CF"/>
    <w:rsid w:val="009D3DA1"/>
    <w:rsid w:val="009D415E"/>
    <w:rsid w:val="009D4229"/>
    <w:rsid w:val="009D51F8"/>
    <w:rsid w:val="009D5CFB"/>
    <w:rsid w:val="009D6519"/>
    <w:rsid w:val="009D6F57"/>
    <w:rsid w:val="009D7A8E"/>
    <w:rsid w:val="009E026A"/>
    <w:rsid w:val="009E08C2"/>
    <w:rsid w:val="009E300F"/>
    <w:rsid w:val="009E3820"/>
    <w:rsid w:val="009E4FD2"/>
    <w:rsid w:val="009E54DA"/>
    <w:rsid w:val="009E60F6"/>
    <w:rsid w:val="009E6DAC"/>
    <w:rsid w:val="009E78FF"/>
    <w:rsid w:val="009F0728"/>
    <w:rsid w:val="009F4E49"/>
    <w:rsid w:val="009F5FD5"/>
    <w:rsid w:val="009F615D"/>
    <w:rsid w:val="009F618F"/>
    <w:rsid w:val="009F65D6"/>
    <w:rsid w:val="00A0034C"/>
    <w:rsid w:val="00A00D38"/>
    <w:rsid w:val="00A02538"/>
    <w:rsid w:val="00A03133"/>
    <w:rsid w:val="00A0355C"/>
    <w:rsid w:val="00A036D1"/>
    <w:rsid w:val="00A03E6A"/>
    <w:rsid w:val="00A04D25"/>
    <w:rsid w:val="00A04F2A"/>
    <w:rsid w:val="00A05ADD"/>
    <w:rsid w:val="00A05BEF"/>
    <w:rsid w:val="00A06BB7"/>
    <w:rsid w:val="00A07D07"/>
    <w:rsid w:val="00A11A01"/>
    <w:rsid w:val="00A167BE"/>
    <w:rsid w:val="00A1739B"/>
    <w:rsid w:val="00A17597"/>
    <w:rsid w:val="00A17809"/>
    <w:rsid w:val="00A17D67"/>
    <w:rsid w:val="00A202CA"/>
    <w:rsid w:val="00A21617"/>
    <w:rsid w:val="00A2185B"/>
    <w:rsid w:val="00A225F9"/>
    <w:rsid w:val="00A231D7"/>
    <w:rsid w:val="00A26424"/>
    <w:rsid w:val="00A26AE2"/>
    <w:rsid w:val="00A27FCC"/>
    <w:rsid w:val="00A307F8"/>
    <w:rsid w:val="00A30923"/>
    <w:rsid w:val="00A34428"/>
    <w:rsid w:val="00A34FF4"/>
    <w:rsid w:val="00A36287"/>
    <w:rsid w:val="00A379E3"/>
    <w:rsid w:val="00A428C2"/>
    <w:rsid w:val="00A4319F"/>
    <w:rsid w:val="00A431C3"/>
    <w:rsid w:val="00A43740"/>
    <w:rsid w:val="00A4545A"/>
    <w:rsid w:val="00A45639"/>
    <w:rsid w:val="00A45A6D"/>
    <w:rsid w:val="00A45C00"/>
    <w:rsid w:val="00A46370"/>
    <w:rsid w:val="00A46EEF"/>
    <w:rsid w:val="00A47107"/>
    <w:rsid w:val="00A47659"/>
    <w:rsid w:val="00A5041F"/>
    <w:rsid w:val="00A517EF"/>
    <w:rsid w:val="00A51DCB"/>
    <w:rsid w:val="00A52109"/>
    <w:rsid w:val="00A52B7F"/>
    <w:rsid w:val="00A53122"/>
    <w:rsid w:val="00A532C8"/>
    <w:rsid w:val="00A5364C"/>
    <w:rsid w:val="00A53807"/>
    <w:rsid w:val="00A53D14"/>
    <w:rsid w:val="00A54355"/>
    <w:rsid w:val="00A5583C"/>
    <w:rsid w:val="00A56E68"/>
    <w:rsid w:val="00A607F0"/>
    <w:rsid w:val="00A61490"/>
    <w:rsid w:val="00A61D03"/>
    <w:rsid w:val="00A62CCF"/>
    <w:rsid w:val="00A652B6"/>
    <w:rsid w:val="00A6550B"/>
    <w:rsid w:val="00A655F2"/>
    <w:rsid w:val="00A65CA7"/>
    <w:rsid w:val="00A6615F"/>
    <w:rsid w:val="00A662BA"/>
    <w:rsid w:val="00A66C77"/>
    <w:rsid w:val="00A7066E"/>
    <w:rsid w:val="00A71B54"/>
    <w:rsid w:val="00A7241B"/>
    <w:rsid w:val="00A72832"/>
    <w:rsid w:val="00A72A55"/>
    <w:rsid w:val="00A73F07"/>
    <w:rsid w:val="00A74454"/>
    <w:rsid w:val="00A74EF2"/>
    <w:rsid w:val="00A7502C"/>
    <w:rsid w:val="00A767C3"/>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82A"/>
    <w:rsid w:val="00AA3186"/>
    <w:rsid w:val="00AA33EC"/>
    <w:rsid w:val="00AA485A"/>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1FE"/>
    <w:rsid w:val="00AD6423"/>
    <w:rsid w:val="00AD73C1"/>
    <w:rsid w:val="00AD7D8B"/>
    <w:rsid w:val="00AE0DB0"/>
    <w:rsid w:val="00AE3918"/>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2CFD"/>
    <w:rsid w:val="00B039CA"/>
    <w:rsid w:val="00B03E3A"/>
    <w:rsid w:val="00B05730"/>
    <w:rsid w:val="00B06B0A"/>
    <w:rsid w:val="00B074EB"/>
    <w:rsid w:val="00B07857"/>
    <w:rsid w:val="00B10065"/>
    <w:rsid w:val="00B10A08"/>
    <w:rsid w:val="00B11246"/>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342C"/>
    <w:rsid w:val="00B23705"/>
    <w:rsid w:val="00B245FC"/>
    <w:rsid w:val="00B2494B"/>
    <w:rsid w:val="00B24FD6"/>
    <w:rsid w:val="00B267CB"/>
    <w:rsid w:val="00B27A7F"/>
    <w:rsid w:val="00B306DC"/>
    <w:rsid w:val="00B317F6"/>
    <w:rsid w:val="00B31821"/>
    <w:rsid w:val="00B31916"/>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499F"/>
    <w:rsid w:val="00B557F9"/>
    <w:rsid w:val="00B56903"/>
    <w:rsid w:val="00B575B5"/>
    <w:rsid w:val="00B57E31"/>
    <w:rsid w:val="00B60568"/>
    <w:rsid w:val="00B61468"/>
    <w:rsid w:val="00B62482"/>
    <w:rsid w:val="00B62803"/>
    <w:rsid w:val="00B62E09"/>
    <w:rsid w:val="00B64D69"/>
    <w:rsid w:val="00B6503D"/>
    <w:rsid w:val="00B65827"/>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A17"/>
    <w:rsid w:val="00B81F12"/>
    <w:rsid w:val="00B82872"/>
    <w:rsid w:val="00B828C7"/>
    <w:rsid w:val="00B8554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61"/>
    <w:rsid w:val="00BA4605"/>
    <w:rsid w:val="00BA4DF2"/>
    <w:rsid w:val="00BA647F"/>
    <w:rsid w:val="00BA6DD1"/>
    <w:rsid w:val="00BA718F"/>
    <w:rsid w:val="00BA7246"/>
    <w:rsid w:val="00BA74CB"/>
    <w:rsid w:val="00BB0346"/>
    <w:rsid w:val="00BB2DCE"/>
    <w:rsid w:val="00BB7CEA"/>
    <w:rsid w:val="00BC23EB"/>
    <w:rsid w:val="00BC2FCB"/>
    <w:rsid w:val="00BC38AC"/>
    <w:rsid w:val="00BC3AAF"/>
    <w:rsid w:val="00BC3BBE"/>
    <w:rsid w:val="00BC48BB"/>
    <w:rsid w:val="00BC497D"/>
    <w:rsid w:val="00BC57A0"/>
    <w:rsid w:val="00BC64F6"/>
    <w:rsid w:val="00BC6542"/>
    <w:rsid w:val="00BC71E1"/>
    <w:rsid w:val="00BD020F"/>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B09"/>
    <w:rsid w:val="00BE4DB2"/>
    <w:rsid w:val="00BE57AE"/>
    <w:rsid w:val="00BE699C"/>
    <w:rsid w:val="00BE7F4C"/>
    <w:rsid w:val="00BF2233"/>
    <w:rsid w:val="00BF2553"/>
    <w:rsid w:val="00BF2B29"/>
    <w:rsid w:val="00BF3C2F"/>
    <w:rsid w:val="00BF4914"/>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221F"/>
    <w:rsid w:val="00C22540"/>
    <w:rsid w:val="00C2255D"/>
    <w:rsid w:val="00C2269D"/>
    <w:rsid w:val="00C22799"/>
    <w:rsid w:val="00C23F1D"/>
    <w:rsid w:val="00C2400B"/>
    <w:rsid w:val="00C241BC"/>
    <w:rsid w:val="00C24D72"/>
    <w:rsid w:val="00C254E1"/>
    <w:rsid w:val="00C26C1E"/>
    <w:rsid w:val="00C2767F"/>
    <w:rsid w:val="00C30EA5"/>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FFD"/>
    <w:rsid w:val="00C475B5"/>
    <w:rsid w:val="00C50BF5"/>
    <w:rsid w:val="00C51D0C"/>
    <w:rsid w:val="00C51D97"/>
    <w:rsid w:val="00C52D42"/>
    <w:rsid w:val="00C54C6D"/>
    <w:rsid w:val="00C56833"/>
    <w:rsid w:val="00C575F2"/>
    <w:rsid w:val="00C57642"/>
    <w:rsid w:val="00C60888"/>
    <w:rsid w:val="00C61F67"/>
    <w:rsid w:val="00C62D87"/>
    <w:rsid w:val="00C62E1A"/>
    <w:rsid w:val="00C63841"/>
    <w:rsid w:val="00C64EA8"/>
    <w:rsid w:val="00C65438"/>
    <w:rsid w:val="00C6572F"/>
    <w:rsid w:val="00C67D9A"/>
    <w:rsid w:val="00C67FA5"/>
    <w:rsid w:val="00C72BDD"/>
    <w:rsid w:val="00C7440A"/>
    <w:rsid w:val="00C7511C"/>
    <w:rsid w:val="00C75273"/>
    <w:rsid w:val="00C7586C"/>
    <w:rsid w:val="00C7658D"/>
    <w:rsid w:val="00C768DE"/>
    <w:rsid w:val="00C76E0A"/>
    <w:rsid w:val="00C80D68"/>
    <w:rsid w:val="00C83E56"/>
    <w:rsid w:val="00C83EF0"/>
    <w:rsid w:val="00C847CF"/>
    <w:rsid w:val="00C8503D"/>
    <w:rsid w:val="00C85336"/>
    <w:rsid w:val="00C86A22"/>
    <w:rsid w:val="00C90749"/>
    <w:rsid w:val="00C908CF"/>
    <w:rsid w:val="00C91731"/>
    <w:rsid w:val="00C91785"/>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E49"/>
    <w:rsid w:val="00CF1518"/>
    <w:rsid w:val="00CF2FD6"/>
    <w:rsid w:val="00CF37AA"/>
    <w:rsid w:val="00CF3819"/>
    <w:rsid w:val="00CF5045"/>
    <w:rsid w:val="00CF5257"/>
    <w:rsid w:val="00CF760A"/>
    <w:rsid w:val="00CF7776"/>
    <w:rsid w:val="00D00609"/>
    <w:rsid w:val="00D0106A"/>
    <w:rsid w:val="00D01653"/>
    <w:rsid w:val="00D01EB0"/>
    <w:rsid w:val="00D02764"/>
    <w:rsid w:val="00D0364F"/>
    <w:rsid w:val="00D04823"/>
    <w:rsid w:val="00D0492A"/>
    <w:rsid w:val="00D05EC9"/>
    <w:rsid w:val="00D06901"/>
    <w:rsid w:val="00D1126A"/>
    <w:rsid w:val="00D11B57"/>
    <w:rsid w:val="00D12418"/>
    <w:rsid w:val="00D136C2"/>
    <w:rsid w:val="00D16D69"/>
    <w:rsid w:val="00D16F95"/>
    <w:rsid w:val="00D17A5C"/>
    <w:rsid w:val="00D17D18"/>
    <w:rsid w:val="00D222A5"/>
    <w:rsid w:val="00D22597"/>
    <w:rsid w:val="00D2278A"/>
    <w:rsid w:val="00D22D26"/>
    <w:rsid w:val="00D23AD9"/>
    <w:rsid w:val="00D2529E"/>
    <w:rsid w:val="00D267A7"/>
    <w:rsid w:val="00D26F85"/>
    <w:rsid w:val="00D30ECF"/>
    <w:rsid w:val="00D31DD1"/>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1070"/>
    <w:rsid w:val="00D5108E"/>
    <w:rsid w:val="00D512A2"/>
    <w:rsid w:val="00D52CC2"/>
    <w:rsid w:val="00D55177"/>
    <w:rsid w:val="00D55A51"/>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818D7"/>
    <w:rsid w:val="00D81AA4"/>
    <w:rsid w:val="00D81C65"/>
    <w:rsid w:val="00D84406"/>
    <w:rsid w:val="00D84C49"/>
    <w:rsid w:val="00D8571B"/>
    <w:rsid w:val="00D86166"/>
    <w:rsid w:val="00D87606"/>
    <w:rsid w:val="00D918AB"/>
    <w:rsid w:val="00D92533"/>
    <w:rsid w:val="00D93386"/>
    <w:rsid w:val="00D93511"/>
    <w:rsid w:val="00D94240"/>
    <w:rsid w:val="00D9511B"/>
    <w:rsid w:val="00D9644E"/>
    <w:rsid w:val="00D9671F"/>
    <w:rsid w:val="00DA0412"/>
    <w:rsid w:val="00DA1520"/>
    <w:rsid w:val="00DA1790"/>
    <w:rsid w:val="00DA1A3E"/>
    <w:rsid w:val="00DA24EF"/>
    <w:rsid w:val="00DA2B07"/>
    <w:rsid w:val="00DA3470"/>
    <w:rsid w:val="00DA34F0"/>
    <w:rsid w:val="00DA57B9"/>
    <w:rsid w:val="00DA581E"/>
    <w:rsid w:val="00DA7820"/>
    <w:rsid w:val="00DB01AD"/>
    <w:rsid w:val="00DB2D4A"/>
    <w:rsid w:val="00DB2E2C"/>
    <w:rsid w:val="00DB311C"/>
    <w:rsid w:val="00DB4641"/>
    <w:rsid w:val="00DB47B1"/>
    <w:rsid w:val="00DB6B87"/>
    <w:rsid w:val="00DC0BD0"/>
    <w:rsid w:val="00DC1E96"/>
    <w:rsid w:val="00DC1F87"/>
    <w:rsid w:val="00DC200B"/>
    <w:rsid w:val="00DC278D"/>
    <w:rsid w:val="00DC3625"/>
    <w:rsid w:val="00DC38CB"/>
    <w:rsid w:val="00DC485E"/>
    <w:rsid w:val="00DC5180"/>
    <w:rsid w:val="00DC59A0"/>
    <w:rsid w:val="00DC5DB4"/>
    <w:rsid w:val="00DC6A69"/>
    <w:rsid w:val="00DC7F24"/>
    <w:rsid w:val="00DD06A0"/>
    <w:rsid w:val="00DD0871"/>
    <w:rsid w:val="00DD266B"/>
    <w:rsid w:val="00DD29CF"/>
    <w:rsid w:val="00DD34BB"/>
    <w:rsid w:val="00DD37B4"/>
    <w:rsid w:val="00DD3F77"/>
    <w:rsid w:val="00DD47D9"/>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F0574"/>
    <w:rsid w:val="00DF0961"/>
    <w:rsid w:val="00DF1D40"/>
    <w:rsid w:val="00DF2DFA"/>
    <w:rsid w:val="00DF34AD"/>
    <w:rsid w:val="00DF3B8A"/>
    <w:rsid w:val="00DF3E2D"/>
    <w:rsid w:val="00DF5388"/>
    <w:rsid w:val="00DF61FA"/>
    <w:rsid w:val="00DF7479"/>
    <w:rsid w:val="00E01775"/>
    <w:rsid w:val="00E01DFD"/>
    <w:rsid w:val="00E048E9"/>
    <w:rsid w:val="00E049E7"/>
    <w:rsid w:val="00E04D5A"/>
    <w:rsid w:val="00E04DFA"/>
    <w:rsid w:val="00E04E91"/>
    <w:rsid w:val="00E05254"/>
    <w:rsid w:val="00E063F4"/>
    <w:rsid w:val="00E07459"/>
    <w:rsid w:val="00E07822"/>
    <w:rsid w:val="00E07880"/>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471B"/>
    <w:rsid w:val="00E34D39"/>
    <w:rsid w:val="00E35269"/>
    <w:rsid w:val="00E35657"/>
    <w:rsid w:val="00E36017"/>
    <w:rsid w:val="00E3670A"/>
    <w:rsid w:val="00E369E4"/>
    <w:rsid w:val="00E40184"/>
    <w:rsid w:val="00E402A0"/>
    <w:rsid w:val="00E418F6"/>
    <w:rsid w:val="00E43299"/>
    <w:rsid w:val="00E43D82"/>
    <w:rsid w:val="00E45FEB"/>
    <w:rsid w:val="00E509F8"/>
    <w:rsid w:val="00E510DE"/>
    <w:rsid w:val="00E51EC2"/>
    <w:rsid w:val="00E53964"/>
    <w:rsid w:val="00E53CBD"/>
    <w:rsid w:val="00E54299"/>
    <w:rsid w:val="00E54351"/>
    <w:rsid w:val="00E545D3"/>
    <w:rsid w:val="00E54A0C"/>
    <w:rsid w:val="00E5616F"/>
    <w:rsid w:val="00E56485"/>
    <w:rsid w:val="00E56DB5"/>
    <w:rsid w:val="00E57B52"/>
    <w:rsid w:val="00E61E38"/>
    <w:rsid w:val="00E63983"/>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34D"/>
    <w:rsid w:val="00E811F6"/>
    <w:rsid w:val="00E81204"/>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D67"/>
    <w:rsid w:val="00EA17E9"/>
    <w:rsid w:val="00EA183C"/>
    <w:rsid w:val="00EA2278"/>
    <w:rsid w:val="00EA33CB"/>
    <w:rsid w:val="00EA3668"/>
    <w:rsid w:val="00EA387B"/>
    <w:rsid w:val="00EA438F"/>
    <w:rsid w:val="00EA4EB8"/>
    <w:rsid w:val="00EA50A0"/>
    <w:rsid w:val="00EA5EE7"/>
    <w:rsid w:val="00EA7C19"/>
    <w:rsid w:val="00EB1AB7"/>
    <w:rsid w:val="00EB1CDF"/>
    <w:rsid w:val="00EB2720"/>
    <w:rsid w:val="00EB4C7A"/>
    <w:rsid w:val="00EB65FD"/>
    <w:rsid w:val="00EB714D"/>
    <w:rsid w:val="00EB73E3"/>
    <w:rsid w:val="00EB750D"/>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4179"/>
    <w:rsid w:val="00EE45C2"/>
    <w:rsid w:val="00EE51F8"/>
    <w:rsid w:val="00EF0CC5"/>
    <w:rsid w:val="00EF0D28"/>
    <w:rsid w:val="00EF1E6F"/>
    <w:rsid w:val="00EF4317"/>
    <w:rsid w:val="00EF4DBE"/>
    <w:rsid w:val="00EF5A27"/>
    <w:rsid w:val="00EF60CC"/>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28E0"/>
    <w:rsid w:val="00F13034"/>
    <w:rsid w:val="00F14AA4"/>
    <w:rsid w:val="00F15412"/>
    <w:rsid w:val="00F171D2"/>
    <w:rsid w:val="00F20608"/>
    <w:rsid w:val="00F20F97"/>
    <w:rsid w:val="00F20FAF"/>
    <w:rsid w:val="00F211B3"/>
    <w:rsid w:val="00F217A5"/>
    <w:rsid w:val="00F222BF"/>
    <w:rsid w:val="00F23BEA"/>
    <w:rsid w:val="00F2692B"/>
    <w:rsid w:val="00F270AE"/>
    <w:rsid w:val="00F32C48"/>
    <w:rsid w:val="00F3340D"/>
    <w:rsid w:val="00F3452C"/>
    <w:rsid w:val="00F361D7"/>
    <w:rsid w:val="00F36DC9"/>
    <w:rsid w:val="00F37DF6"/>
    <w:rsid w:val="00F4124C"/>
    <w:rsid w:val="00F412D9"/>
    <w:rsid w:val="00F4221A"/>
    <w:rsid w:val="00F42EC6"/>
    <w:rsid w:val="00F43420"/>
    <w:rsid w:val="00F44D73"/>
    <w:rsid w:val="00F45AE1"/>
    <w:rsid w:val="00F4686D"/>
    <w:rsid w:val="00F468A0"/>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2075"/>
    <w:rsid w:val="00F62A1B"/>
    <w:rsid w:val="00F6337A"/>
    <w:rsid w:val="00F636AB"/>
    <w:rsid w:val="00F641EA"/>
    <w:rsid w:val="00F652CF"/>
    <w:rsid w:val="00F65B2E"/>
    <w:rsid w:val="00F65FC1"/>
    <w:rsid w:val="00F66697"/>
    <w:rsid w:val="00F66F41"/>
    <w:rsid w:val="00F67502"/>
    <w:rsid w:val="00F67C80"/>
    <w:rsid w:val="00F725BE"/>
    <w:rsid w:val="00F72902"/>
    <w:rsid w:val="00F73F0E"/>
    <w:rsid w:val="00F742E9"/>
    <w:rsid w:val="00F74388"/>
    <w:rsid w:val="00F75A0B"/>
    <w:rsid w:val="00F76FA0"/>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787"/>
    <w:rsid w:val="00FA106E"/>
    <w:rsid w:val="00FA2B6E"/>
    <w:rsid w:val="00FA3727"/>
    <w:rsid w:val="00FA62F7"/>
    <w:rsid w:val="00FA6FCA"/>
    <w:rsid w:val="00FA7051"/>
    <w:rsid w:val="00FB2389"/>
    <w:rsid w:val="00FB2391"/>
    <w:rsid w:val="00FB2922"/>
    <w:rsid w:val="00FB2F3D"/>
    <w:rsid w:val="00FB37D5"/>
    <w:rsid w:val="00FB388A"/>
    <w:rsid w:val="00FB40C4"/>
    <w:rsid w:val="00FB422C"/>
    <w:rsid w:val="00FB463E"/>
    <w:rsid w:val="00FB4A8D"/>
    <w:rsid w:val="00FB4F4E"/>
    <w:rsid w:val="00FB574A"/>
    <w:rsid w:val="00FB5CCE"/>
    <w:rsid w:val="00FB6252"/>
    <w:rsid w:val="00FB642A"/>
    <w:rsid w:val="00FC0A3F"/>
    <w:rsid w:val="00FC1B4B"/>
    <w:rsid w:val="00FC1C17"/>
    <w:rsid w:val="00FC2093"/>
    <w:rsid w:val="00FC51FD"/>
    <w:rsid w:val="00FC5D45"/>
    <w:rsid w:val="00FC61A4"/>
    <w:rsid w:val="00FC7B97"/>
    <w:rsid w:val="00FC7E80"/>
    <w:rsid w:val="00FD00B8"/>
    <w:rsid w:val="00FD024A"/>
    <w:rsid w:val="00FD2B94"/>
    <w:rsid w:val="00FD7C6A"/>
    <w:rsid w:val="00FE000F"/>
    <w:rsid w:val="00FE023B"/>
    <w:rsid w:val="00FE1B18"/>
    <w:rsid w:val="00FE1D26"/>
    <w:rsid w:val="00FE2790"/>
    <w:rsid w:val="00FE2D98"/>
    <w:rsid w:val="00FE3315"/>
    <w:rsid w:val="00FE3E52"/>
    <w:rsid w:val="00FE4481"/>
    <w:rsid w:val="00FE567D"/>
    <w:rsid w:val="00FE611B"/>
    <w:rsid w:val="00FE61C1"/>
    <w:rsid w:val="00FF06B9"/>
    <w:rsid w:val="00FF0D42"/>
    <w:rsid w:val="00FF4679"/>
    <w:rsid w:val="00FF598B"/>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package" Target="embeddings/Microsoft_Visio_Drawing.vsdx"/><Relationship Id="rId5" Type="http://schemas.openxmlformats.org/officeDocument/2006/relationships/numbering" Target="numbering.xml"/><Relationship Id="rId15" Type="http://schemas.openxmlformats.org/officeDocument/2006/relationships/image" Target="media/image6.png"/><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1624</TotalTime>
  <Pages>1</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
  <cp:keywords/>
  <dc:description/>
  <cp:lastModifiedBy>Qualcomm</cp:lastModifiedBy>
  <cp:revision>291</cp:revision>
  <dcterms:created xsi:type="dcterms:W3CDTF">2021-07-17T14:38:00Z</dcterms:created>
  <dcterms:modified xsi:type="dcterms:W3CDTF">2021-08-04T02:31:00Z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