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47E6E23" w:rsidR="0074405B" w:rsidRDefault="007A068F" w:rsidP="0074405B">
      <w:pPr>
        <w:pStyle w:val="3GPPHeader"/>
        <w:spacing w:after="60"/>
        <w:rPr>
          <w:sz w:val="32"/>
          <w:szCs w:val="32"/>
          <w:highlight w:val="yellow"/>
        </w:rPr>
      </w:pPr>
      <w:r>
        <w:t>3GPP TSG RAN WG3</w:t>
      </w:r>
      <w:r w:rsidRPr="00861F4A">
        <w:t xml:space="preserve"> </w:t>
      </w:r>
      <w:r w:rsidR="00420013" w:rsidRPr="00420013">
        <w:t>NR AdHoc 1801</w:t>
      </w:r>
      <w:bookmarkStart w:id="0" w:name="_GoBack"/>
      <w:bookmarkEnd w:id="0"/>
      <w:r w:rsidR="0074405B">
        <w:tab/>
      </w:r>
      <w:r w:rsidR="000F1FCF" w:rsidRPr="000F1FCF">
        <w:rPr>
          <w:szCs w:val="24"/>
        </w:rPr>
        <w:t>R3-180409</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47796DD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FF4AD1" w:rsidRPr="0028124E">
        <w:rPr>
          <w:noProof/>
          <w:lang w:val="en-US"/>
        </w:rPr>
        <w:t>10.8.2.7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EFD73A6" w:rsidR="00E90E49" w:rsidRPr="00CE0424" w:rsidRDefault="003D3C45" w:rsidP="00311702">
      <w:pPr>
        <w:pStyle w:val="3GPPHeader"/>
        <w:rPr>
          <w:sz w:val="22"/>
          <w:szCs w:val="22"/>
        </w:rPr>
      </w:pPr>
      <w:r>
        <w:rPr>
          <w:sz w:val="22"/>
          <w:szCs w:val="22"/>
        </w:rPr>
        <w:t>Title:</w:t>
      </w:r>
      <w:r w:rsidR="00E90E49" w:rsidRPr="00CE0424">
        <w:rPr>
          <w:sz w:val="22"/>
          <w:szCs w:val="22"/>
        </w:rPr>
        <w:tab/>
      </w:r>
      <w:r w:rsidR="00BE44B7">
        <w:rPr>
          <w:sz w:val="22"/>
          <w:szCs w:val="22"/>
        </w:rPr>
        <w:t xml:space="preserve">Handling of UE UL AMBR </w:t>
      </w:r>
      <w:r w:rsidR="001051DE">
        <w:rPr>
          <w:sz w:val="22"/>
          <w:szCs w:val="22"/>
        </w:rPr>
        <w:t xml:space="preserve"> </w:t>
      </w:r>
      <w:r w:rsidR="00DA01B6">
        <w:rPr>
          <w:sz w:val="22"/>
          <w:szCs w:val="22"/>
        </w:rPr>
        <w:t xml:space="preserve"> </w:t>
      </w:r>
    </w:p>
    <w:p w14:paraId="7E783B99" w14:textId="57CCA4F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9C51ED">
        <w:rPr>
          <w:sz w:val="22"/>
          <w:szCs w:val="22"/>
        </w:rPr>
        <w:t>Discussion and Approval</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0A43582" w14:textId="5693DB01" w:rsidR="009F4B5B" w:rsidRDefault="009F4B5B" w:rsidP="00345333">
      <w:r>
        <w:t>In TS37.340 it has so far been agreed the following regarding how RAN nodes can enforce the UE AMBR:</w:t>
      </w:r>
      <w:r w:rsidR="00150BF1">
        <w:br/>
      </w:r>
    </w:p>
    <w:p w14:paraId="1E7B7D1A" w14:textId="77777777" w:rsidR="009F4B5B" w:rsidRPr="009F4B5B" w:rsidRDefault="009F4B5B" w:rsidP="009F4B5B">
      <w:pPr>
        <w:pStyle w:val="B1"/>
        <w:rPr>
          <w:i/>
          <w:lang w:eastAsia="ja-JP"/>
        </w:rPr>
      </w:pPr>
      <w:r w:rsidRPr="009F4B5B">
        <w:rPr>
          <w:i/>
          <w:lang w:val="en-US"/>
        </w:rPr>
        <w:t>-</w:t>
      </w:r>
      <w:r w:rsidRPr="009F4B5B">
        <w:rPr>
          <w:i/>
          <w:lang w:val="en-US"/>
        </w:rPr>
        <w:tab/>
      </w:r>
      <w:r w:rsidRPr="009F4B5B">
        <w:rPr>
          <w:i/>
          <w:lang w:eastAsia="ja-JP"/>
        </w:rPr>
        <w:t xml:space="preserve">The node that hosts the </w:t>
      </w:r>
      <w:r w:rsidRPr="009F4B5B">
        <w:rPr>
          <w:i/>
          <w:lang w:val="en-US" w:eastAsia="ja-JP"/>
        </w:rPr>
        <w:t xml:space="preserve">PDCP </w:t>
      </w:r>
      <w:r w:rsidRPr="009F4B5B">
        <w:rPr>
          <w:i/>
          <w:lang w:eastAsia="ja-JP"/>
        </w:rPr>
        <w:t>entity enforces the respective DL UE AMBR limits;</w:t>
      </w:r>
    </w:p>
    <w:p w14:paraId="027AFF87" w14:textId="7281205B" w:rsidR="009F4B5B" w:rsidRPr="009F4B5B" w:rsidRDefault="009F4B5B" w:rsidP="009F4B5B">
      <w:pPr>
        <w:pStyle w:val="B1"/>
        <w:rPr>
          <w:i/>
          <w:lang w:eastAsia="ja-JP"/>
        </w:rPr>
      </w:pPr>
      <w:r w:rsidRPr="009F4B5B">
        <w:rPr>
          <w:i/>
          <w:lang w:val="en-US"/>
        </w:rPr>
        <w:t>-</w:t>
      </w:r>
      <w:r w:rsidRPr="009F4B5B">
        <w:rPr>
          <w:i/>
          <w:lang w:val="en-US"/>
        </w:rPr>
        <w:tab/>
      </w:r>
      <w:r w:rsidRPr="009F4B5B">
        <w:rPr>
          <w:i/>
          <w:lang w:val="en-US" w:eastAsia="zh-CN"/>
        </w:rPr>
        <w:t>Each</w:t>
      </w:r>
      <w:r w:rsidRPr="009F4B5B">
        <w:rPr>
          <w:i/>
          <w:lang w:eastAsia="zh-CN"/>
        </w:rPr>
        <w:t xml:space="preserve"> node enforces the respective UL UE AMBR limits. For </w:t>
      </w:r>
      <w:r w:rsidRPr="009F4B5B">
        <w:rPr>
          <w:i/>
          <w:lang w:val="en-US" w:eastAsia="zh-CN"/>
        </w:rPr>
        <w:t xml:space="preserve">SN terminated </w:t>
      </w:r>
      <w:r w:rsidRPr="009F4B5B">
        <w:rPr>
          <w:i/>
          <w:lang w:eastAsia="zh-CN"/>
        </w:rPr>
        <w:t>bearers, if the node is not configured to serve the uplink, it ignores the indicated UL UE-AMBR</w:t>
      </w:r>
      <w:r w:rsidRPr="009F4B5B">
        <w:rPr>
          <w:i/>
          <w:lang w:eastAsia="ja-JP"/>
        </w:rPr>
        <w:t>.</w:t>
      </w:r>
      <w:r w:rsidR="00150BF1">
        <w:rPr>
          <w:i/>
          <w:lang w:eastAsia="ja-JP"/>
        </w:rPr>
        <w:br/>
      </w:r>
    </w:p>
    <w:p w14:paraId="782C5CF8" w14:textId="395BAAD1" w:rsidR="00345333" w:rsidRDefault="00150BF1" w:rsidP="00345333">
      <w:r>
        <w:t>Further, for EN-DC and MR-DC cases, the signalling conveying UE AMBR information between RAN nodes is specified in TS36.423</w:t>
      </w:r>
      <w:r w:rsidR="00555E3A">
        <w:t xml:space="preserve"> </w:t>
      </w:r>
      <w:r>
        <w:t>and TS38.423, where respectively</w:t>
      </w:r>
      <w:r>
        <w:br/>
      </w:r>
    </w:p>
    <w:p w14:paraId="4897346A" w14:textId="413929F4" w:rsidR="00150BF1" w:rsidRPr="00150BF1" w:rsidRDefault="00150BF1" w:rsidP="00150BF1">
      <w:pPr>
        <w:pStyle w:val="ListParagraph"/>
        <w:numPr>
          <w:ilvl w:val="0"/>
          <w:numId w:val="17"/>
        </w:numPr>
      </w:pPr>
      <w:r>
        <w:t xml:space="preserve">The </w:t>
      </w:r>
      <w:r w:rsidRPr="00150BF1">
        <w:rPr>
          <w:rFonts w:cs="Arial"/>
          <w:bCs/>
          <w:i/>
          <w:lang w:eastAsia="ja-JP"/>
        </w:rPr>
        <w:t>SgNB UE Aggregate Maximum Bit Rate</w:t>
      </w:r>
      <w:r>
        <w:rPr>
          <w:rFonts w:cs="Arial"/>
          <w:bCs/>
          <w:i/>
          <w:lang w:eastAsia="ja-JP"/>
        </w:rPr>
        <w:t xml:space="preserve"> </w:t>
      </w:r>
      <w:r>
        <w:rPr>
          <w:rFonts w:cs="Arial"/>
          <w:bCs/>
          <w:lang w:eastAsia="ja-JP"/>
        </w:rPr>
        <w:t>IE is added in the X2: SgNB Addition Request, as agreed in the BS CR in R3-175079.</w:t>
      </w:r>
      <w:r>
        <w:rPr>
          <w:rFonts w:cs="Arial"/>
          <w:bCs/>
          <w:lang w:eastAsia="ja-JP"/>
        </w:rPr>
        <w:br/>
      </w:r>
    </w:p>
    <w:p w14:paraId="3E8BCB2E" w14:textId="65319863" w:rsidR="00150BF1" w:rsidRDefault="00150BF1" w:rsidP="00150BF1">
      <w:pPr>
        <w:pStyle w:val="ListParagraph"/>
        <w:numPr>
          <w:ilvl w:val="0"/>
          <w:numId w:val="17"/>
        </w:numPr>
      </w:pPr>
      <w:r>
        <w:rPr>
          <w:rFonts w:cs="Arial"/>
          <w:bCs/>
          <w:lang w:eastAsia="ja-JP"/>
        </w:rPr>
        <w:t xml:space="preserve">The </w:t>
      </w:r>
      <w:r w:rsidRPr="00150BF1">
        <w:rPr>
          <w:bCs/>
          <w:i/>
          <w:lang w:eastAsia="ja-JP"/>
        </w:rPr>
        <w:t>S-NG-RAN node UE Aggregate Maximum Bit Rate</w:t>
      </w:r>
      <w:r>
        <w:rPr>
          <w:bCs/>
          <w:lang w:eastAsia="ja-JP"/>
        </w:rPr>
        <w:t xml:space="preserve"> IE is added in the Xn: S-Node Addition Request, as captured in TS38.423.</w:t>
      </w:r>
      <w:r>
        <w:rPr>
          <w:rFonts w:cs="Arial"/>
          <w:bCs/>
          <w:lang w:eastAsia="ja-JP"/>
        </w:rPr>
        <w:t xml:space="preserve"> </w:t>
      </w:r>
    </w:p>
    <w:p w14:paraId="31B5E2C8" w14:textId="48A6089B" w:rsidR="00150BF1" w:rsidRDefault="00150BF1" w:rsidP="00345333"/>
    <w:p w14:paraId="3098DBDD" w14:textId="6619DD14" w:rsidR="00150BF1" w:rsidRDefault="00150BF1" w:rsidP="00345333">
      <w:r>
        <w:t xml:space="preserve">What remains ambiguous and not specified is where the UL UE AMBR is enforced </w:t>
      </w:r>
      <w:r w:rsidR="005227B2">
        <w:t>for</w:t>
      </w:r>
      <w:r>
        <w:t xml:space="preserve"> gNBs involved in EN-DC and MR-DC.</w:t>
      </w:r>
    </w:p>
    <w:p w14:paraId="17B36681" w14:textId="77777777" w:rsidR="00682AF4" w:rsidRDefault="00150BF1" w:rsidP="00345333">
      <w:r>
        <w:t xml:space="preserve">As it can be seen, TS37.340 is clear in saying that the enforcement of the </w:t>
      </w:r>
      <w:r w:rsidR="00682AF4">
        <w:t xml:space="preserve">DL UE AMBR occurs at the node that hosts the PDCP entity, namely the gNB-CU. In particular this node is the gNB-CU-UP, as such node would host the PDCP entity for DL data traffic. </w:t>
      </w:r>
    </w:p>
    <w:p w14:paraId="24A50285" w14:textId="07F4C8BC" w:rsidR="00150BF1" w:rsidRDefault="00682AF4" w:rsidP="00345333">
      <w:r>
        <w:t>However, for the UL UE AMBR 37.340 only says that “</w:t>
      </w:r>
      <w:r w:rsidRPr="009F4B5B">
        <w:rPr>
          <w:i/>
          <w:lang w:val="en-US"/>
        </w:rPr>
        <w:t>Each</w:t>
      </w:r>
      <w:r w:rsidRPr="009F4B5B">
        <w:rPr>
          <w:i/>
        </w:rPr>
        <w:t xml:space="preserve"> node enforces the respective UL UE AMBR limits</w:t>
      </w:r>
      <w:r>
        <w:t xml:space="preserve">”. </w:t>
      </w:r>
      <w:r w:rsidR="005227B2">
        <w:t xml:space="preserve">Does it mean that the gNB-CU performs the enforcement? OR is it the gNB-DU? </w:t>
      </w:r>
      <w:r>
        <w:t>This ambiguity may lead to non interoperable systems. This contribution proposes changes and solutions to clarify these points.</w:t>
      </w:r>
      <w:r w:rsidR="00150BF1">
        <w:t xml:space="preserve"> </w:t>
      </w:r>
    </w:p>
    <w:p w14:paraId="65CAF258" w14:textId="77777777" w:rsidR="00150BF1" w:rsidRPr="00F11290" w:rsidRDefault="00150BF1" w:rsidP="00345333"/>
    <w:p w14:paraId="36CEC7B2" w14:textId="5F5D1B85" w:rsidR="001643A8" w:rsidRDefault="00A00B32" w:rsidP="00CE0424">
      <w:pPr>
        <w:pStyle w:val="Heading1"/>
      </w:pPr>
      <w:r>
        <w:t>Discussion</w:t>
      </w:r>
    </w:p>
    <w:p w14:paraId="11F59D61" w14:textId="12DB9311" w:rsidR="00682AF4" w:rsidRDefault="00682AF4" w:rsidP="00682AF4">
      <w:r>
        <w:t xml:space="preserve">The main advantage of establishing dual connectivity in UL is to be able to exploit the radio capabilities of two UL radio links for the same UE. </w:t>
      </w:r>
    </w:p>
    <w:p w14:paraId="0CA5A4DB" w14:textId="047B42F8" w:rsidR="00682AF4" w:rsidRDefault="00682AF4" w:rsidP="00682AF4">
      <w:r>
        <w:t xml:space="preserve">Namely, if a UE is connected to two gNB-DUs via DC and it can perform UL via either one DU or the other, one considerable advantage is that when the UL radio link of one DU decreases in performance, the UE throughput can be increased </w:t>
      </w:r>
      <w:r w:rsidR="009A170A">
        <w:t>on the other available UL radio link.</w:t>
      </w:r>
    </w:p>
    <w:p w14:paraId="07C4CE22" w14:textId="156C951D" w:rsidR="009A170A" w:rsidRDefault="009A170A" w:rsidP="00682AF4">
      <w:r>
        <w:t>Figure 1 shows a graphical representation of this case.</w:t>
      </w:r>
    </w:p>
    <w:p w14:paraId="01A1340F" w14:textId="09FE6226" w:rsidR="009A170A" w:rsidRDefault="009A170A" w:rsidP="00682AF4">
      <w:r>
        <w:object w:dxaOrig="16275" w:dyaOrig="11341" w14:anchorId="68D17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315.85pt" o:ole="">
            <v:imagedata r:id="rId13" o:title=""/>
          </v:shape>
          <o:OLEObject Type="Embed" ProgID="Visio.Drawing.15" ShapeID="_x0000_i1025" DrawAspect="Content" ObjectID="_1577306079" r:id="rId14"/>
        </w:object>
      </w:r>
    </w:p>
    <w:p w14:paraId="7F07FAA2" w14:textId="1413CC1F" w:rsidR="009A170A" w:rsidRDefault="009A170A" w:rsidP="009A170A">
      <w:pPr>
        <w:jc w:val="center"/>
      </w:pPr>
      <w:r>
        <w:t>Figure 1: example of flexible UL throughput utilisation between DUs in DC</w:t>
      </w:r>
    </w:p>
    <w:p w14:paraId="20BFF5A0" w14:textId="79AA0EEF" w:rsidR="00682AF4" w:rsidRDefault="00682AF4" w:rsidP="00682AF4"/>
    <w:p w14:paraId="011F8F62" w14:textId="7963D03C" w:rsidR="00277F7F" w:rsidRDefault="009A170A" w:rsidP="00682AF4">
      <w:r>
        <w:t>Let us assume the overall UL UE AMBR is “100”. If we assume that such value is split in two and e</w:t>
      </w:r>
      <w:r w:rsidR="00277F7F">
        <w:t xml:space="preserve">ach half assigned to one gNB-DU, gNB-DU1 and gNB-DU2 will each allow UL UE throughput of “50”. </w:t>
      </w:r>
      <w:r w:rsidR="00277F7F">
        <w:br/>
        <w:t>If the UL throughput of gNB-DU1 goes down, for radio reasons, it will not be possible to serve the UE via gNB-DU2 with an UL throughput of “100”, as gNB-DU2 has an UL AMBR limit of “50”.</w:t>
      </w:r>
    </w:p>
    <w:p w14:paraId="7A0B6B33" w14:textId="73F95FB1" w:rsidR="00277F7F" w:rsidRDefault="00277F7F" w:rsidP="00682AF4">
      <w:r>
        <w:t>With this simple example we want to show that splitting the UE UL AMBR on a per gNB-DU basis and setting an UL AMBR enforcement point at the gNB-DU impacts DC performance and in fact removes the main advantage of DC in UL because it prevents flexible increase of UL throughput on good UL radio links in cases where other radio links performance deteriorate</w:t>
      </w:r>
      <w:r w:rsidR="005227B2">
        <w:t>s</w:t>
      </w:r>
    </w:p>
    <w:p w14:paraId="6CACC046" w14:textId="77777777" w:rsidR="005227B2" w:rsidRDefault="005227B2" w:rsidP="00682AF4"/>
    <w:p w14:paraId="27DBE07D" w14:textId="5027C2D2" w:rsidR="00277F7F" w:rsidRPr="00277F7F" w:rsidRDefault="00277F7F" w:rsidP="00682AF4">
      <w:pPr>
        <w:rPr>
          <w:b/>
        </w:rPr>
      </w:pPr>
      <w:r w:rsidRPr="00277F7F">
        <w:rPr>
          <w:b/>
        </w:rPr>
        <w:t>Observation 1: splitting the UE UL AMBR on a per gNB-DU basis and setting an UL AMBR enforcement point at the gNB-DU impacts DC performance and in fact removes the main advantage of DC in UL because it prevents flexible increase of UL throughput on good UL radio links in cases where other radio links performance deteriorate</w:t>
      </w:r>
      <w:r w:rsidR="005227B2">
        <w:rPr>
          <w:b/>
        </w:rPr>
        <w:t>s</w:t>
      </w:r>
    </w:p>
    <w:p w14:paraId="18F1C909" w14:textId="40C1CCAB" w:rsidR="009A170A" w:rsidRDefault="009A170A" w:rsidP="00682AF4"/>
    <w:p w14:paraId="490E7340" w14:textId="77777777" w:rsidR="00277F7F" w:rsidRDefault="00277F7F" w:rsidP="00682AF4">
      <w:r>
        <w:t>On the other side, the UE UL AMBR value “100” could be signalled to the node hosting the UP PDCP termination, namely the gNB-CU-UP. In case of a non-split gNB-CU, this means that the UL UE AMBR would be stored at the gNB-CU. Such node would be in charge of monitoring the UL UE throughput and detecting if such throughput exceeds the UE UL AMBR.</w:t>
      </w:r>
    </w:p>
    <w:p w14:paraId="4D8BA40B" w14:textId="77777777" w:rsidR="000878C6" w:rsidRDefault="00277F7F" w:rsidP="00682AF4">
      <w:r>
        <w:t xml:space="preserve">Upon detection of UE UL AMBR breach, a number of actions can be taken, such as </w:t>
      </w:r>
      <w:r w:rsidR="000878C6">
        <w:t>removal of specific DRBs, e.g. DRBs causing an excess of UL throughput, or signalling of recommended bit rate limitations per DRB or per DRB group.</w:t>
      </w:r>
    </w:p>
    <w:p w14:paraId="2948DD78" w14:textId="2200CFB2" w:rsidR="000878C6" w:rsidRDefault="000878C6" w:rsidP="00682AF4">
      <w:r>
        <w:t>It should be noted that exceeding the UL AMBR may not be a very frequent event for a number of reasons:</w:t>
      </w:r>
    </w:p>
    <w:p w14:paraId="5FE62E7F" w14:textId="77777777" w:rsidR="000878C6" w:rsidRDefault="000878C6" w:rsidP="000878C6">
      <w:pPr>
        <w:pStyle w:val="ListParagraph"/>
        <w:numPr>
          <w:ilvl w:val="0"/>
          <w:numId w:val="17"/>
        </w:numPr>
      </w:pPr>
      <w:r>
        <w:t>UL traffic is usually not throughput-hungry</w:t>
      </w:r>
    </w:p>
    <w:p w14:paraId="69705405" w14:textId="77777777" w:rsidR="000878C6" w:rsidRDefault="000878C6" w:rsidP="000878C6">
      <w:pPr>
        <w:pStyle w:val="ListParagraph"/>
        <w:numPr>
          <w:ilvl w:val="0"/>
          <w:numId w:val="17"/>
        </w:numPr>
      </w:pPr>
      <w:r>
        <w:t>UL resources are usually less available than DL resources</w:t>
      </w:r>
    </w:p>
    <w:p w14:paraId="65D59BBB" w14:textId="42512081" w:rsidR="00277F7F" w:rsidRDefault="000878C6" w:rsidP="000878C6">
      <w:pPr>
        <w:pStyle w:val="ListParagraph"/>
        <w:numPr>
          <w:ilvl w:val="0"/>
          <w:numId w:val="17"/>
        </w:numPr>
      </w:pPr>
      <w:r>
        <w:t>It is rare that two UL radio links perform both so well to lead to an excess of UL UE AMBR</w:t>
      </w:r>
      <w:r w:rsidR="00277F7F">
        <w:t xml:space="preserve"> </w:t>
      </w:r>
    </w:p>
    <w:p w14:paraId="3E69509D" w14:textId="4EB235E7" w:rsidR="00682AF4" w:rsidRDefault="00682AF4" w:rsidP="00682AF4"/>
    <w:p w14:paraId="25CACEF0" w14:textId="619E0710" w:rsidR="000878C6" w:rsidRDefault="000878C6" w:rsidP="00682AF4">
      <w:r>
        <w:lastRenderedPageBreak/>
        <w:t>On the other side, it is rather frequent that one of the two UL radio links serving the UE goes down in throughput capacity, while the other radio link increases its capacity. This may be simply due to the UE moving closer to gNB-DU</w:t>
      </w:r>
      <w:r w:rsidR="005227B2">
        <w:t>2</w:t>
      </w:r>
      <w:r>
        <w:t xml:space="preserve"> and further from gNB-DU</w:t>
      </w:r>
      <w:r w:rsidR="005227B2">
        <w:t>1</w:t>
      </w:r>
      <w:r>
        <w:t xml:space="preserve">. </w:t>
      </w:r>
    </w:p>
    <w:p w14:paraId="4D85F481" w14:textId="2469283D" w:rsidR="000878C6" w:rsidRDefault="000878C6" w:rsidP="00682AF4">
      <w:r>
        <w:t>It seems therefore logical that it would be better to maintain a monitoring and enforcement point for the UL UE AMBR at the node hosting the PDCP termination of the split bearer, i.e. at the gNB-CU-UP.</w:t>
      </w:r>
    </w:p>
    <w:p w14:paraId="71397AE8" w14:textId="77777777" w:rsidR="005227B2" w:rsidRDefault="005227B2" w:rsidP="00682AF4"/>
    <w:p w14:paraId="38036BEC" w14:textId="00449D20" w:rsidR="000878C6" w:rsidRDefault="000878C6" w:rsidP="00682AF4">
      <w:pPr>
        <w:rPr>
          <w:b/>
        </w:rPr>
      </w:pPr>
      <w:r w:rsidRPr="000878C6">
        <w:rPr>
          <w:b/>
        </w:rPr>
        <w:t>Conclusion 1: In order to allow flexible increase of UL throughput over each of the UL radio links participating in a UE DC split bearer configuration, monitoring and enforcement of the UL UE AMBR shall be performed in the node hosting the PDCP termination of the UL split bearer</w:t>
      </w:r>
      <w:r>
        <w:rPr>
          <w:b/>
        </w:rPr>
        <w:t>, i.e. at the gNB-CU-UP</w:t>
      </w:r>
    </w:p>
    <w:p w14:paraId="01E2C693" w14:textId="77777777" w:rsidR="005227B2" w:rsidRDefault="005227B2" w:rsidP="00682AF4"/>
    <w:p w14:paraId="634C81BB" w14:textId="53370C61" w:rsidR="000878C6" w:rsidRDefault="00495A55" w:rsidP="00682AF4">
      <w:r>
        <w:t>Conclusion 1 would be in line with the text on DL AMBR already captured in TS37.340, which places the DL AMBR enforcement at the node hosting the DL PDCP termination.</w:t>
      </w:r>
    </w:p>
    <w:p w14:paraId="3CB657FD" w14:textId="19945859" w:rsidR="00495A55" w:rsidRPr="00495A55" w:rsidRDefault="00495A55" w:rsidP="00495A55">
      <w:pPr>
        <w:rPr>
          <w:bCs/>
          <w:lang w:eastAsia="ja-JP"/>
        </w:rPr>
      </w:pPr>
      <w:r>
        <w:t xml:space="preserve">Conclusion 1 would also be in line with the current specifications in TS36.423 and TS38.423, which describe signalling of the UE DL AMBR in </w:t>
      </w:r>
      <w:r>
        <w:rPr>
          <w:rFonts w:cs="Arial"/>
          <w:bCs/>
          <w:lang w:eastAsia="ja-JP"/>
        </w:rPr>
        <w:t>X2: SgNB Addition Request</w:t>
      </w:r>
      <w:r>
        <w:t xml:space="preserve"> and </w:t>
      </w:r>
      <w:r>
        <w:rPr>
          <w:bCs/>
          <w:lang w:eastAsia="ja-JP"/>
        </w:rPr>
        <w:t>Xn: S-Node Addition Request. Both signalling messages are terminated at the gNB-CU.</w:t>
      </w:r>
    </w:p>
    <w:p w14:paraId="42CE4AD8" w14:textId="0C7DA329" w:rsidR="00495A55" w:rsidRPr="00495A55" w:rsidRDefault="00495A55" w:rsidP="00682AF4"/>
    <w:p w14:paraId="5CCC4764" w14:textId="437CCF24" w:rsidR="00212D46" w:rsidRPr="00CE0424" w:rsidRDefault="00212D46" w:rsidP="003B2105">
      <w:pPr>
        <w:pStyle w:val="Heading1"/>
      </w:pPr>
      <w:r w:rsidRPr="00CE0424">
        <w:t>Conclusion</w:t>
      </w:r>
    </w:p>
    <w:p w14:paraId="735F1628" w14:textId="5220F315" w:rsidR="00B56296" w:rsidRDefault="00495A55" w:rsidP="00495A55">
      <w:pPr>
        <w:rPr>
          <w:rFonts w:cs="Arial"/>
          <w:bCs/>
          <w:lang w:eastAsia="ja-JP"/>
        </w:rPr>
      </w:pPr>
      <w:bookmarkStart w:id="1" w:name="_In-sequence_SDU_delivery"/>
      <w:bookmarkEnd w:id="1"/>
      <w:r w:rsidRPr="00495A55">
        <w:rPr>
          <w:rFonts w:cs="Arial"/>
          <w:bCs/>
          <w:lang w:eastAsia="ja-JP"/>
        </w:rPr>
        <w:t>In this contribution monitoring and enforcement of the UL UE AMBR is discussed. The following observations and conclusions were derived</w:t>
      </w:r>
    </w:p>
    <w:p w14:paraId="532CFF38" w14:textId="77777777" w:rsidR="00495A55" w:rsidRPr="00277F7F" w:rsidRDefault="00495A55" w:rsidP="00495A55">
      <w:pPr>
        <w:rPr>
          <w:b/>
        </w:rPr>
      </w:pPr>
      <w:r w:rsidRPr="00277F7F">
        <w:rPr>
          <w:b/>
        </w:rPr>
        <w:t>Observation 1: splitting the UE UL AMBR on a per gNB-DU basis and setting an UL AMBR enforcement point at the gNB-DU impacts DC performance and in fact removes the main advantage of DC in UL because it prevents flexible increase of UL throughput on good UL radio links in cases where other radio links performance deteriorate</w:t>
      </w:r>
    </w:p>
    <w:p w14:paraId="0047FB56" w14:textId="77777777" w:rsidR="00495A55" w:rsidRDefault="00495A55" w:rsidP="00495A55">
      <w:pPr>
        <w:rPr>
          <w:b/>
        </w:rPr>
      </w:pPr>
      <w:r w:rsidRPr="000878C6">
        <w:rPr>
          <w:b/>
        </w:rPr>
        <w:t>Conclusion 1: In order to allow flexible increase of UL throughput over each of the UL radio links participating in a UE DC split bearer configuration, monitoring and enforcement of the UL UE AMBR shall be performed in the node hosting the PDCP termination of the UL split bearer</w:t>
      </w:r>
      <w:r>
        <w:rPr>
          <w:b/>
        </w:rPr>
        <w:t>, i.e. at the gNB-CU-UP</w:t>
      </w:r>
    </w:p>
    <w:p w14:paraId="551A5E38" w14:textId="5EE47E89" w:rsidR="00495A55" w:rsidRPr="00495A55" w:rsidRDefault="00495A55" w:rsidP="00495A55">
      <w:pPr>
        <w:rPr>
          <w:rFonts w:cs="Arial"/>
          <w:bCs/>
          <w:lang w:eastAsia="ja-JP"/>
        </w:rPr>
      </w:pPr>
      <w:r>
        <w:rPr>
          <w:rFonts w:cs="Arial"/>
          <w:bCs/>
          <w:lang w:eastAsia="ja-JP"/>
        </w:rPr>
        <w:t>On the basis of such conclusion i</w:t>
      </w:r>
      <w:r w:rsidR="005227B2">
        <w:rPr>
          <w:rFonts w:cs="Arial"/>
          <w:bCs/>
          <w:lang w:eastAsia="ja-JP"/>
        </w:rPr>
        <w:t xml:space="preserve">t is proposed to agree to the CR to TS37.340 in </w:t>
      </w:r>
      <w:r w:rsidR="008A104F">
        <w:rPr>
          <w:rFonts w:cs="Arial"/>
          <w:bCs/>
          <w:lang w:eastAsia="ja-JP"/>
        </w:rPr>
        <w:t>R3-180410</w:t>
      </w:r>
    </w:p>
    <w:p w14:paraId="6D07C107" w14:textId="77777777" w:rsidR="00495A55" w:rsidRPr="0067082D" w:rsidRDefault="00495A55" w:rsidP="00495A55">
      <w:pPr>
        <w:pStyle w:val="B2"/>
        <w:rPr>
          <w:lang w:val="en-US"/>
        </w:rPr>
      </w:pPr>
      <w:bookmarkStart w:id="2" w:name="_Ref484067741"/>
      <w:bookmarkStart w:id="3" w:name="_Ref174151459"/>
      <w:bookmarkStart w:id="4" w:name="_Ref189809556"/>
    </w:p>
    <w:bookmarkEnd w:id="2"/>
    <w:bookmarkEnd w:id="3"/>
    <w:bookmarkEnd w:id="4"/>
    <w:p w14:paraId="4DF965D4" w14:textId="7D61FD9D" w:rsidR="00DB72C9" w:rsidRDefault="00DB72C9">
      <w:pPr>
        <w:overflowPunct/>
        <w:autoSpaceDE/>
        <w:autoSpaceDN/>
        <w:adjustRightInd/>
        <w:spacing w:after="0"/>
        <w:jc w:val="left"/>
        <w:textAlignment w:val="auto"/>
      </w:pPr>
    </w:p>
    <w:sectPr w:rsidR="00DB72C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59914" w14:textId="77777777" w:rsidR="00640332" w:rsidRDefault="00640332">
      <w:r>
        <w:separator/>
      </w:r>
    </w:p>
  </w:endnote>
  <w:endnote w:type="continuationSeparator" w:id="0">
    <w:p w14:paraId="5197F5BC" w14:textId="77777777" w:rsidR="00640332" w:rsidRDefault="0064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8AF8B48" w:rsidR="00277F7F" w:rsidRDefault="00277F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001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001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2F4A" w14:textId="77777777" w:rsidR="00640332" w:rsidRDefault="00640332">
      <w:r>
        <w:separator/>
      </w:r>
    </w:p>
  </w:footnote>
  <w:footnote w:type="continuationSeparator" w:id="0">
    <w:p w14:paraId="450E7365" w14:textId="77777777" w:rsidR="00640332" w:rsidRDefault="00640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77F7F" w:rsidRDefault="00277F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1FCF"/>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37682"/>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0013"/>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5A55"/>
    <w:rsid w:val="004964F1"/>
    <w:rsid w:val="004A16BC"/>
    <w:rsid w:val="004A1C96"/>
    <w:rsid w:val="004A2B94"/>
    <w:rsid w:val="004B1EB4"/>
    <w:rsid w:val="004B29D1"/>
    <w:rsid w:val="004B556D"/>
    <w:rsid w:val="004B7C0C"/>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27B2"/>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332"/>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AA1"/>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104F"/>
    <w:rsid w:val="008A21FF"/>
    <w:rsid w:val="008A2CE2"/>
    <w:rsid w:val="008A30AC"/>
    <w:rsid w:val="008A3F81"/>
    <w:rsid w:val="008A41F4"/>
    <w:rsid w:val="008A44B8"/>
    <w:rsid w:val="008A4CE1"/>
    <w:rsid w:val="008A51A8"/>
    <w:rsid w:val="008A54C7"/>
    <w:rsid w:val="008A6373"/>
    <w:rsid w:val="008A77D8"/>
    <w:rsid w:val="008B0483"/>
    <w:rsid w:val="008B0C02"/>
    <w:rsid w:val="008B120C"/>
    <w:rsid w:val="008B2BCE"/>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E7472"/>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3AA7"/>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51ED"/>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4B7"/>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12F6"/>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FE7FB5A-0357-428C-9BAB-078275EBD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Ericsson</vt:lpstr>
      <vt:lpstr>Introduction</vt:lpstr>
      <vt:lpstr>Discussion</vt:lpstr>
      <vt:lpstr>Conclusion</vt:lpstr>
    </vt:vector>
  </TitlesOfParts>
  <Company>Ericsson</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2008-01-31T06:09:00Z</cp:lastPrinted>
  <dcterms:created xsi:type="dcterms:W3CDTF">2018-01-12T16:39:00Z</dcterms:created>
  <dcterms:modified xsi:type="dcterms:W3CDTF">2018-01-12T22:48:00Z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