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720E6" w:rsidRPr="00066B3B" w:rsidRDefault="00D720E6" w:rsidP="00D720E6">
      <w:pPr>
        <w:pStyle w:val="NoSpacing"/>
        <w:rPr>
          <w:rFonts w:ascii="Arial" w:hAnsi="Arial" w:cs="Arial"/>
          <w:i/>
          <w:sz w:val="24"/>
          <w:szCs w:val="24"/>
          <w:lang w:val="en-US"/>
        </w:rPr>
      </w:pPr>
      <w:r w:rsidRPr="00066B3B">
        <w:rPr>
          <w:rFonts w:ascii="Arial" w:hAnsi="Arial" w:cs="Arial"/>
          <w:sz w:val="24"/>
          <w:szCs w:val="24"/>
          <w:lang w:val="en-US"/>
        </w:rPr>
        <w:t xml:space="preserve">3GPP TSG-RAN WG3 </w:t>
      </w:r>
      <w:r>
        <w:rPr>
          <w:rFonts w:ascii="Arial" w:hAnsi="Arial" w:cs="Arial"/>
          <w:sz w:val="24"/>
          <w:szCs w:val="24"/>
          <w:lang w:val="en-US"/>
        </w:rPr>
        <w:t>97</w:t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 w:rsidRPr="00066B3B"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 w:rsidRPr="00066B3B">
        <w:rPr>
          <w:rFonts w:ascii="Arial" w:hAnsi="Arial" w:cs="Arial"/>
          <w:iCs/>
          <w:sz w:val="24"/>
          <w:szCs w:val="24"/>
          <w:lang w:val="en-US"/>
        </w:rPr>
        <w:t>R3-17</w:t>
      </w:r>
      <w:r w:rsidR="00F26062">
        <w:rPr>
          <w:rFonts w:ascii="Arial" w:hAnsi="Arial" w:cs="Arial"/>
          <w:iCs/>
          <w:sz w:val="24"/>
          <w:szCs w:val="24"/>
          <w:lang w:val="en-US"/>
        </w:rPr>
        <w:t>2669</w:t>
      </w:r>
    </w:p>
    <w:p w:rsidR="00D720E6" w:rsidRPr="00066B3B" w:rsidRDefault="00D720E6" w:rsidP="00D720E6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Cs w:val="24"/>
          <w:lang w:eastAsia="ja-JP"/>
        </w:rPr>
      </w:pPr>
      <w:r>
        <w:rPr>
          <w:rFonts w:ascii="Arial" w:eastAsia="Batang" w:hAnsi="Arial" w:cs="Arial"/>
          <w:color w:val="000000"/>
          <w:szCs w:val="24"/>
          <w:lang w:eastAsia="ja-JP"/>
        </w:rPr>
        <w:t>Berlin, Germany</w:t>
      </w:r>
      <w:r w:rsidRPr="00066B3B">
        <w:rPr>
          <w:rFonts w:ascii="Arial" w:eastAsia="Batang" w:hAnsi="Arial" w:cs="Arial"/>
          <w:color w:val="000000"/>
          <w:szCs w:val="24"/>
          <w:lang w:eastAsia="ja-JP"/>
        </w:rPr>
        <w:t>, 2</w:t>
      </w:r>
      <w:r>
        <w:rPr>
          <w:rFonts w:ascii="Arial" w:eastAsia="Batang" w:hAnsi="Arial" w:cs="Arial"/>
          <w:color w:val="000000"/>
          <w:szCs w:val="24"/>
          <w:lang w:eastAsia="ja-JP"/>
        </w:rPr>
        <w:t>1-25</w:t>
      </w:r>
      <w:r w:rsidRPr="00066B3B">
        <w:rPr>
          <w:rFonts w:ascii="Arial" w:eastAsia="Batang" w:hAnsi="Arial" w:cs="Arial"/>
          <w:color w:val="000000"/>
          <w:szCs w:val="24"/>
          <w:lang w:eastAsia="ja-JP"/>
        </w:rPr>
        <w:t xml:space="preserve"> </w:t>
      </w:r>
      <w:r>
        <w:rPr>
          <w:rFonts w:ascii="Arial" w:eastAsia="Batang" w:hAnsi="Arial" w:cs="Arial"/>
          <w:color w:val="000000"/>
          <w:szCs w:val="24"/>
          <w:lang w:eastAsia="ja-JP"/>
        </w:rPr>
        <w:t>August</w:t>
      </w:r>
      <w:r w:rsidRPr="00066B3B">
        <w:rPr>
          <w:rFonts w:ascii="Arial" w:eastAsia="Batang" w:hAnsi="Arial" w:cs="Arial"/>
          <w:color w:val="000000"/>
          <w:szCs w:val="24"/>
          <w:lang w:eastAsia="ja-JP"/>
        </w:rPr>
        <w:t xml:space="preserve"> 2017</w:t>
      </w:r>
    </w:p>
    <w:p w:rsidR="00D720E6" w:rsidRDefault="00D720E6" w:rsidP="00EE43F4">
      <w:pPr>
        <w:tabs>
          <w:tab w:val="left" w:pos="1985"/>
        </w:tabs>
        <w:rPr>
          <w:rFonts w:ascii="Arial" w:hAnsi="Arial"/>
          <w:b/>
        </w:rPr>
      </w:pPr>
    </w:p>
    <w:p w:rsidR="00EE43F4" w:rsidRPr="008723D6" w:rsidRDefault="00EE43F4" w:rsidP="00EE43F4">
      <w:pPr>
        <w:tabs>
          <w:tab w:val="left" w:pos="1985"/>
        </w:tabs>
        <w:rPr>
          <w:rFonts w:ascii="Arial" w:eastAsia="Calibri" w:hAnsi="Arial" w:cs="Times New Roman"/>
          <w:sz w:val="22"/>
        </w:rPr>
      </w:pPr>
      <w:r w:rsidRPr="008723D6">
        <w:rPr>
          <w:rFonts w:ascii="Arial" w:hAnsi="Arial"/>
          <w:b/>
        </w:rPr>
        <w:t>Agenda Item:</w:t>
      </w:r>
      <w:r w:rsidRPr="008723D6">
        <w:rPr>
          <w:rFonts w:ascii="Arial" w:hAnsi="Arial"/>
        </w:rPr>
        <w:tab/>
      </w:r>
      <w:bookmarkStart w:id="0" w:name="Source"/>
      <w:bookmarkEnd w:id="0"/>
      <w:r w:rsidR="00D720E6">
        <w:rPr>
          <w:rFonts w:ascii="Arial" w:hAnsi="Arial"/>
        </w:rPr>
        <w:t>10.10.1.6</w:t>
      </w:r>
    </w:p>
    <w:p w:rsidR="00EE43F4" w:rsidRPr="008723D6" w:rsidRDefault="00EE43F4" w:rsidP="00EE43F4">
      <w:pPr>
        <w:tabs>
          <w:tab w:val="left" w:pos="1985"/>
        </w:tabs>
        <w:rPr>
          <w:rFonts w:ascii="Arial" w:hAnsi="Arial"/>
        </w:rPr>
      </w:pPr>
      <w:r w:rsidRPr="008723D6">
        <w:rPr>
          <w:rFonts w:ascii="Arial" w:hAnsi="Arial"/>
          <w:b/>
        </w:rPr>
        <w:t xml:space="preserve">Source: </w:t>
      </w:r>
      <w:r w:rsidRPr="008723D6">
        <w:rPr>
          <w:rFonts w:ascii="Arial" w:hAnsi="Arial"/>
          <w:b/>
        </w:rPr>
        <w:tab/>
      </w:r>
      <w:r w:rsidRPr="002E55B3">
        <w:rPr>
          <w:rFonts w:ascii="Arial" w:hAnsi="Arial"/>
        </w:rPr>
        <w:t>Vodafone</w:t>
      </w:r>
      <w:r w:rsidR="007070E1" w:rsidRPr="002E55B3">
        <w:rPr>
          <w:rFonts w:ascii="Arial" w:hAnsi="Arial"/>
        </w:rPr>
        <w:t xml:space="preserve"> Group</w:t>
      </w:r>
      <w:r w:rsidR="007070E1">
        <w:rPr>
          <w:rFonts w:ascii="Arial" w:hAnsi="Arial"/>
          <w:b/>
        </w:rPr>
        <w:t xml:space="preserve"> </w:t>
      </w:r>
    </w:p>
    <w:p w:rsidR="00EE43F4" w:rsidRPr="008723D6" w:rsidRDefault="00EE43F4" w:rsidP="00EE43F4">
      <w:pPr>
        <w:ind w:left="1988" w:hanging="1988"/>
        <w:rPr>
          <w:rFonts w:ascii="Arial" w:hAnsi="Arial"/>
        </w:rPr>
      </w:pPr>
      <w:r w:rsidRPr="008723D6">
        <w:rPr>
          <w:rFonts w:ascii="Arial" w:hAnsi="Arial"/>
          <w:b/>
        </w:rPr>
        <w:t>Title:</w:t>
      </w:r>
      <w:r w:rsidRPr="008723D6">
        <w:rPr>
          <w:rFonts w:ascii="Arial" w:hAnsi="Arial"/>
        </w:rPr>
        <w:t xml:space="preserve"> </w:t>
      </w:r>
      <w:r w:rsidRPr="008723D6">
        <w:rPr>
          <w:rFonts w:ascii="Arial" w:hAnsi="Arial"/>
        </w:rPr>
        <w:tab/>
      </w:r>
      <w:r w:rsidR="00186D1B" w:rsidRPr="008723D6">
        <w:rPr>
          <w:rFonts w:ascii="Arial" w:hAnsi="Arial"/>
        </w:rPr>
        <w:t xml:space="preserve">Inter DU Mobility </w:t>
      </w:r>
      <w:r w:rsidR="00807520" w:rsidRPr="008723D6">
        <w:rPr>
          <w:rFonts w:ascii="Arial" w:hAnsi="Arial"/>
        </w:rPr>
        <w:t xml:space="preserve"> </w:t>
      </w:r>
    </w:p>
    <w:p w:rsidR="00EE43F4" w:rsidRPr="008723D6" w:rsidRDefault="00EE43F4" w:rsidP="00EE43F4">
      <w:pPr>
        <w:tabs>
          <w:tab w:val="left" w:pos="1985"/>
        </w:tabs>
        <w:ind w:right="-446"/>
        <w:rPr>
          <w:rFonts w:ascii="Arial" w:hAnsi="Arial"/>
        </w:rPr>
      </w:pPr>
      <w:r w:rsidRPr="008723D6">
        <w:rPr>
          <w:rFonts w:ascii="Arial" w:hAnsi="Arial"/>
          <w:b/>
        </w:rPr>
        <w:t>Document for:</w:t>
      </w:r>
      <w:r w:rsidRPr="008723D6">
        <w:rPr>
          <w:rFonts w:ascii="Arial" w:hAnsi="Arial"/>
        </w:rPr>
        <w:tab/>
      </w:r>
      <w:bookmarkStart w:id="1" w:name="DocumentFor"/>
      <w:bookmarkEnd w:id="1"/>
      <w:r w:rsidRPr="008723D6">
        <w:rPr>
          <w:rFonts w:ascii="Arial" w:hAnsi="Arial"/>
        </w:rPr>
        <w:t xml:space="preserve">Discussion and Decision </w:t>
      </w:r>
    </w:p>
    <w:p w:rsidR="00EE43F4" w:rsidRPr="008723D6" w:rsidRDefault="00710AAE" w:rsidP="00EE43F4">
      <w:pPr>
        <w:rPr>
          <w:color w:val="FF0000"/>
        </w:rPr>
      </w:pPr>
      <w:r w:rsidRPr="008723D6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4E3650F" wp14:editId="52A8ECE8">
                <wp:simplePos x="0" y="0"/>
                <wp:positionH relativeFrom="column">
                  <wp:posOffset>0</wp:posOffset>
                </wp:positionH>
                <wp:positionV relativeFrom="page">
                  <wp:posOffset>3429000</wp:posOffset>
                </wp:positionV>
                <wp:extent cx="5715000" cy="0"/>
                <wp:effectExtent l="0" t="0" r="19050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5000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83AB1C" id="Straight Connector 5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from="0,270pt" to="450pt,2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" strokecolor="black [3040]">
                <w10:wrap anchory="page"/>
              </v:line>
            </w:pict>
          </mc:Fallback>
        </mc:AlternateContent>
      </w:r>
    </w:p>
    <w:p w:rsidR="00B46E5B" w:rsidRPr="008723D6" w:rsidRDefault="00CE0C21" w:rsidP="00D32696">
      <w:pPr>
        <w:pStyle w:val="Heading1"/>
      </w:pPr>
      <w:r w:rsidRPr="008723D6">
        <w:t>Introduction</w:t>
      </w:r>
    </w:p>
    <w:p w:rsidR="00CE0C21" w:rsidRPr="008723D6" w:rsidRDefault="00CE0C21" w:rsidP="00CE0C21">
      <w:r w:rsidRPr="008723D6">
        <w:t>In this contribution we present a number of signalling and user plane call flow example</w:t>
      </w:r>
      <w:r w:rsidR="00B63A69" w:rsidRPr="008723D6">
        <w:t>s between the DU and CU. The purpose of this document is to illustrate th</w:t>
      </w:r>
      <w:r w:rsidR="007F52A2" w:rsidRPr="008723D6">
        <w:t>e commonality of</w:t>
      </w:r>
      <w:r w:rsidR="00B63A69" w:rsidRPr="008723D6">
        <w:t xml:space="preserve"> control </w:t>
      </w:r>
      <w:r w:rsidR="007F52A2" w:rsidRPr="008723D6">
        <w:t xml:space="preserve">signalling </w:t>
      </w:r>
      <w:r w:rsidR="00B63A69" w:rsidRPr="008723D6">
        <w:t xml:space="preserve">and user plane </w:t>
      </w:r>
      <w:r w:rsidR="007F52A2" w:rsidRPr="008723D6">
        <w:t>data</w:t>
      </w:r>
      <w:r w:rsidR="00B63A69" w:rsidRPr="008723D6">
        <w:t xml:space="preserve"> </w:t>
      </w:r>
      <w:r w:rsidR="008723D6" w:rsidRPr="008723D6">
        <w:t>flows when</w:t>
      </w:r>
      <w:r w:rsidR="007F52A2" w:rsidRPr="008723D6">
        <w:t xml:space="preserve"> the different logical entities (Distributed Unit, Control Plane-CU, and User Plane Central Unit)</w:t>
      </w:r>
      <w:r w:rsidR="00B63A69" w:rsidRPr="008723D6">
        <w:t xml:space="preserve"> </w:t>
      </w:r>
      <w:r w:rsidR="007F52A2" w:rsidRPr="008723D6">
        <w:t xml:space="preserve">are subject to different physical </w:t>
      </w:r>
      <w:r w:rsidR="00B63A69" w:rsidRPr="008723D6">
        <w:t>deployment scenario</w:t>
      </w:r>
      <w:r w:rsidR="007F52A2" w:rsidRPr="008723D6">
        <w:t>s</w:t>
      </w:r>
      <w:r w:rsidR="00B63A69" w:rsidRPr="008723D6">
        <w:t>.</w:t>
      </w:r>
    </w:p>
    <w:p w:rsidR="005317BB" w:rsidRPr="008723D6" w:rsidRDefault="00286911" w:rsidP="00CE0C21">
      <w:r w:rsidRPr="008723D6">
        <w:t xml:space="preserve">Furthermore, we aim to illustrate </w:t>
      </w:r>
      <w:r w:rsidR="005317BB" w:rsidRPr="008723D6">
        <w:t xml:space="preserve">that for a typical scenario a </w:t>
      </w:r>
      <w:proofErr w:type="spellStart"/>
      <w:r w:rsidR="005317BB" w:rsidRPr="008723D6">
        <w:t>Xn</w:t>
      </w:r>
      <w:proofErr w:type="spellEnd"/>
      <w:r w:rsidR="005317BB" w:rsidRPr="008723D6">
        <w:t xml:space="preserve"> or X2 type signalling would be required between the </w:t>
      </w:r>
      <w:r w:rsidR="007F52A2" w:rsidRPr="008723D6">
        <w:t>Control Plane Units</w:t>
      </w:r>
      <w:r w:rsidR="005317BB" w:rsidRPr="008723D6">
        <w:t xml:space="preserve">. </w:t>
      </w:r>
    </w:p>
    <w:p w:rsidR="00CE0C21" w:rsidRPr="008723D6" w:rsidRDefault="00CE0C21" w:rsidP="00CE0C21">
      <w:pPr>
        <w:pStyle w:val="Heading1"/>
      </w:pPr>
      <w:r w:rsidRPr="008723D6">
        <w:t>Deployment Scenarios</w:t>
      </w:r>
    </w:p>
    <w:p w:rsidR="00CE0C21" w:rsidRPr="008723D6" w:rsidRDefault="00CE0C21" w:rsidP="00CE0C21">
      <w:r w:rsidRPr="008723D6">
        <w:t xml:space="preserve">For the purpose of discussion, we use two practical </w:t>
      </w:r>
      <w:r w:rsidR="00B63A69" w:rsidRPr="008723D6">
        <w:t>examples</w:t>
      </w:r>
      <w:r w:rsidRPr="008723D6">
        <w:t xml:space="preserve"> that could be deployed in the </w:t>
      </w:r>
      <w:r w:rsidR="00B63A69" w:rsidRPr="008723D6">
        <w:t xml:space="preserve">network.  </w:t>
      </w:r>
      <w:r w:rsidR="005317BB" w:rsidRPr="008723D6">
        <w:t>A number of scenarios were presented</w:t>
      </w:r>
      <w:r w:rsidR="007F52A2" w:rsidRPr="008723D6">
        <w:t xml:space="preserve"> </w:t>
      </w:r>
      <w:r w:rsidR="008723D6">
        <w:t xml:space="preserve">by Vodafone </w:t>
      </w:r>
      <w:r w:rsidR="008723D6" w:rsidRPr="008723D6">
        <w:t>in</w:t>
      </w:r>
      <w:r w:rsidR="007F52A2" w:rsidRPr="008723D6">
        <w:t xml:space="preserve"> R3-171693 [1] at</w:t>
      </w:r>
      <w:r w:rsidR="005317BB" w:rsidRPr="008723D6">
        <w:t xml:space="preserve">RAN3 #96 </w:t>
      </w:r>
      <w:r w:rsidR="007F52A2" w:rsidRPr="008723D6">
        <w:t xml:space="preserve">in </w:t>
      </w:r>
      <w:r w:rsidR="008723D6" w:rsidRPr="008723D6">
        <w:t>Hangzhou.</w:t>
      </w:r>
      <w:r w:rsidR="005317BB" w:rsidRPr="008723D6">
        <w:t xml:space="preserve"> </w:t>
      </w:r>
      <w:r w:rsidR="00B63A69" w:rsidRPr="008723D6">
        <w:t xml:space="preserve">The two scenarios are illustrated in the following </w:t>
      </w:r>
      <w:r w:rsidR="00286911" w:rsidRPr="008723D6">
        <w:t>sections</w:t>
      </w:r>
      <w:r w:rsidR="007F52A2" w:rsidRPr="008723D6">
        <w:t>.</w:t>
      </w:r>
      <w:r w:rsidR="00286911" w:rsidRPr="008723D6">
        <w:t xml:space="preserve"> </w:t>
      </w:r>
    </w:p>
    <w:p w:rsidR="00B63A69" w:rsidRPr="008723D6" w:rsidRDefault="00B63A69" w:rsidP="00CE0C21">
      <w:r w:rsidRPr="008723D6">
        <w:t xml:space="preserve">Scenario1 illustrates a CU-DU High Layer Functional split architecture. The Control Plane Signalling Entity and the User Plane Entity are located </w:t>
      </w:r>
      <w:r w:rsidR="007F52A2" w:rsidRPr="008723D6">
        <w:t>remotely from the DU</w:t>
      </w:r>
      <w:r w:rsidRPr="008723D6">
        <w:t xml:space="preserve">. The transmission network latency </w:t>
      </w:r>
      <w:r w:rsidR="004F4BE2" w:rsidRPr="008723D6">
        <w:t>is</w:t>
      </w:r>
      <w:r w:rsidRPr="008723D6">
        <w:t xml:space="preserve"> less than 8 </w:t>
      </w:r>
      <w:proofErr w:type="spellStart"/>
      <w:r w:rsidRPr="008723D6">
        <w:t>ms</w:t>
      </w:r>
      <w:proofErr w:type="spellEnd"/>
      <w:r w:rsidRPr="008723D6">
        <w:t xml:space="preserve"> between the CU and DU sites. </w:t>
      </w:r>
      <w:r w:rsidR="00286911" w:rsidRPr="008723D6">
        <w:t>See the</w:t>
      </w:r>
      <w:r w:rsidR="00401A99" w:rsidRPr="008723D6">
        <w:t xml:space="preserve"> following </w:t>
      </w:r>
      <w:r w:rsidR="00401A99" w:rsidRPr="008723D6">
        <w:fldChar w:fldCharType="begin"/>
      </w:r>
      <w:r w:rsidR="00401A99" w:rsidRPr="008723D6">
        <w:instrText xml:space="preserve"> REF _Ref485126698 \h </w:instrText>
      </w:r>
      <w:r w:rsidR="00401A99" w:rsidRPr="008723D6">
        <w:fldChar w:fldCharType="separate"/>
      </w:r>
      <w:r w:rsidR="002D5070" w:rsidRPr="008723D6">
        <w:t>Figure 1</w:t>
      </w:r>
      <w:r w:rsidR="00401A99" w:rsidRPr="008723D6">
        <w:fldChar w:fldCharType="end"/>
      </w:r>
    </w:p>
    <w:p w:rsidR="00286911" w:rsidRPr="008723D6" w:rsidRDefault="00286911" w:rsidP="00286911">
      <w:pPr>
        <w:keepNext/>
      </w:pPr>
      <w:r w:rsidRPr="008723D6">
        <w:rPr>
          <w:noProof/>
          <w:lang w:eastAsia="en-GB"/>
          <w14:cntxtAlts w14:val="0"/>
        </w:rPr>
        <w:lastRenderedPageBreak/>
        <w:drawing>
          <wp:inline distT="0" distB="0" distL="0" distR="0">
            <wp:extent cx="5731510" cy="367411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RM_scenario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7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911" w:rsidRPr="008723D6" w:rsidRDefault="00286911" w:rsidP="00286911">
      <w:pPr>
        <w:pStyle w:val="Caption"/>
      </w:pPr>
      <w:bookmarkStart w:id="2" w:name="_Ref485126698"/>
      <w:r w:rsidRPr="008723D6">
        <w:t xml:space="preserve">Figure </w:t>
      </w:r>
      <w:r w:rsidR="005B7E1E">
        <w:fldChar w:fldCharType="begin"/>
      </w:r>
      <w:r w:rsidR="005B7E1E">
        <w:instrText xml:space="preserve"> SEQ Figure \* ARABIC </w:instrText>
      </w:r>
      <w:r w:rsidR="005B7E1E">
        <w:fldChar w:fldCharType="separate"/>
      </w:r>
      <w:r w:rsidR="002D5070" w:rsidRPr="008723D6">
        <w:t>1</w:t>
      </w:r>
      <w:r w:rsidR="005B7E1E">
        <w:fldChar w:fldCharType="end"/>
      </w:r>
      <w:bookmarkEnd w:id="2"/>
      <w:r w:rsidRPr="008723D6">
        <w:t xml:space="preserve"> Deployment Scenario 1</w:t>
      </w:r>
    </w:p>
    <w:p w:rsidR="00286911" w:rsidRPr="008723D6" w:rsidRDefault="00286911" w:rsidP="00CE0C21">
      <w:r w:rsidRPr="008723D6">
        <w:t xml:space="preserve">Scenario 2 illustrates a similar functional split as in Scenario 1 with a difference that the Control </w:t>
      </w:r>
      <w:r w:rsidR="007F52A2" w:rsidRPr="008723D6">
        <w:t xml:space="preserve">Plane </w:t>
      </w:r>
      <w:r w:rsidRPr="008723D6">
        <w:t xml:space="preserve">Signalling Entities, i.e. RRC and PDCP-C, are located </w:t>
      </w:r>
      <w:r w:rsidR="007F52A2" w:rsidRPr="008723D6">
        <w:t>at the same place as</w:t>
      </w:r>
      <w:r w:rsidR="008723D6">
        <w:t xml:space="preserve"> </w:t>
      </w:r>
      <w:r w:rsidRPr="008723D6">
        <w:t xml:space="preserve">the DU. </w:t>
      </w:r>
      <w:r w:rsidR="00401A99" w:rsidRPr="008723D6">
        <w:t xml:space="preserve"> This deployment scenario offers </w:t>
      </w:r>
      <w:r w:rsidR="007F52A2" w:rsidRPr="008723D6">
        <w:t xml:space="preserve">lower latency </w:t>
      </w:r>
      <w:r w:rsidR="00401A99" w:rsidRPr="008723D6">
        <w:t xml:space="preserve">signalling. </w:t>
      </w:r>
      <w:r w:rsidRPr="008723D6">
        <w:t>See the fo</w:t>
      </w:r>
      <w:r w:rsidR="00401A99" w:rsidRPr="008723D6">
        <w:t>llowing</w:t>
      </w:r>
      <w:r w:rsidR="007F322B" w:rsidRPr="008723D6">
        <w:t xml:space="preserve"> </w:t>
      </w:r>
      <w:r w:rsidR="007F322B" w:rsidRPr="008723D6">
        <w:fldChar w:fldCharType="begin"/>
      </w:r>
      <w:r w:rsidR="007F322B" w:rsidRPr="008723D6">
        <w:instrText xml:space="preserve"> REF _Ref485126712 \h </w:instrText>
      </w:r>
      <w:r w:rsidR="007F322B" w:rsidRPr="008723D6">
        <w:fldChar w:fldCharType="separate"/>
      </w:r>
      <w:r w:rsidR="002D5070" w:rsidRPr="008723D6">
        <w:t>Figure 2</w:t>
      </w:r>
      <w:r w:rsidR="007F322B" w:rsidRPr="008723D6">
        <w:fldChar w:fldCharType="end"/>
      </w:r>
      <w:r w:rsidRPr="008723D6">
        <w:t>:</w:t>
      </w:r>
    </w:p>
    <w:p w:rsidR="00286911" w:rsidRPr="008723D6" w:rsidRDefault="00286911" w:rsidP="00286911">
      <w:pPr>
        <w:keepNext/>
      </w:pPr>
      <w:r w:rsidRPr="008723D6">
        <w:rPr>
          <w:noProof/>
          <w:lang w:eastAsia="en-GB"/>
          <w14:cntxtAlts w14:val="0"/>
        </w:rPr>
        <w:drawing>
          <wp:inline distT="0" distB="0" distL="0" distR="0">
            <wp:extent cx="5731510" cy="360235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RM_scenario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0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63D" w:rsidRPr="008723D6" w:rsidRDefault="00286911" w:rsidP="00286911">
      <w:pPr>
        <w:pStyle w:val="Caption"/>
      </w:pPr>
      <w:bookmarkStart w:id="3" w:name="_Ref485126712"/>
      <w:r w:rsidRPr="008723D6">
        <w:t xml:space="preserve">Figure </w:t>
      </w:r>
      <w:fldSimple w:instr=" SEQ Figure \* ARABIC ">
        <w:r w:rsidR="002D5070" w:rsidRPr="008723D6">
          <w:t>2</w:t>
        </w:r>
      </w:fldSimple>
      <w:bookmarkEnd w:id="3"/>
      <w:r w:rsidRPr="008723D6">
        <w:t xml:space="preserve"> Depl</w:t>
      </w:r>
      <w:bookmarkStart w:id="4" w:name="_GoBack"/>
      <w:bookmarkEnd w:id="4"/>
      <w:r w:rsidRPr="008723D6">
        <w:t>oyment Scenario 2</w:t>
      </w:r>
    </w:p>
    <w:p w:rsidR="00CE0C21" w:rsidRPr="008723D6" w:rsidRDefault="00CE0C21" w:rsidP="00CE0C21">
      <w:pPr>
        <w:pStyle w:val="Heading1"/>
      </w:pPr>
      <w:r w:rsidRPr="008723D6">
        <w:lastRenderedPageBreak/>
        <w:t xml:space="preserve">Inter-DU Mobility </w:t>
      </w:r>
    </w:p>
    <w:p w:rsidR="00286911" w:rsidRPr="008723D6" w:rsidRDefault="00286911" w:rsidP="00286911">
      <w:pPr>
        <w:pStyle w:val="Heading2"/>
      </w:pPr>
      <w:r w:rsidRPr="008723D6">
        <w:t>Deployment Scenario 1</w:t>
      </w:r>
    </w:p>
    <w:p w:rsidR="00C12837" w:rsidRPr="008723D6" w:rsidRDefault="00C12837" w:rsidP="00C12837">
      <w:r w:rsidRPr="008723D6">
        <w:t xml:space="preserve">The mobility between DUs for a typical Scenario 1 deployment are shown in the following </w:t>
      </w:r>
      <w:r w:rsidR="00401A99" w:rsidRPr="008723D6">
        <w:fldChar w:fldCharType="begin"/>
      </w:r>
      <w:r w:rsidR="00401A99" w:rsidRPr="008723D6">
        <w:instrText xml:space="preserve"> REF _Ref485126736 \h </w:instrText>
      </w:r>
      <w:r w:rsidR="00401A99" w:rsidRPr="008723D6">
        <w:fldChar w:fldCharType="separate"/>
      </w:r>
      <w:r w:rsidR="002D5070" w:rsidRPr="008723D6">
        <w:t>Figure 3</w:t>
      </w:r>
      <w:r w:rsidR="00401A99" w:rsidRPr="008723D6">
        <w:fldChar w:fldCharType="end"/>
      </w:r>
      <w:r w:rsidR="00401A99" w:rsidRPr="008723D6">
        <w:t>.</w:t>
      </w:r>
    </w:p>
    <w:p w:rsidR="00C12837" w:rsidRPr="008723D6" w:rsidRDefault="00C12837" w:rsidP="00C12837">
      <w:r w:rsidRPr="008723D6">
        <w:t xml:space="preserve">The </w:t>
      </w:r>
      <w:r w:rsidR="00401A99" w:rsidRPr="008723D6">
        <w:fldChar w:fldCharType="begin"/>
      </w:r>
      <w:r w:rsidR="00401A99" w:rsidRPr="008723D6">
        <w:instrText xml:space="preserve"> REF _Ref485126736 \h </w:instrText>
      </w:r>
      <w:r w:rsidR="00401A99" w:rsidRPr="008723D6">
        <w:fldChar w:fldCharType="separate"/>
      </w:r>
      <w:r w:rsidR="002D5070" w:rsidRPr="008723D6">
        <w:t>Figure 3</w:t>
      </w:r>
      <w:r w:rsidR="00401A99" w:rsidRPr="008723D6">
        <w:fldChar w:fldCharType="end"/>
      </w:r>
      <w:r w:rsidR="00401A99" w:rsidRPr="008723D6">
        <w:t xml:space="preserve"> </w:t>
      </w:r>
      <w:r w:rsidRPr="008723D6">
        <w:t xml:space="preserve">illustrates that </w:t>
      </w:r>
      <w:r w:rsidR="007F52A2" w:rsidRPr="008723D6">
        <w:t xml:space="preserve">almost </w:t>
      </w:r>
      <w:r w:rsidRPr="008723D6">
        <w:t>all signalling is carried from DUs to the CU over F1-C interface and are terminated at the control Plane Signalling Entity, similarly the user plane data flows from the User Plane Entity over F1-U interface to the DUs. Both Control and User Plane Entities are housed in the CU.</w:t>
      </w:r>
    </w:p>
    <w:p w:rsidR="00C12837" w:rsidRPr="008723D6" w:rsidRDefault="00C12837" w:rsidP="00C12837">
      <w:r w:rsidRPr="008723D6">
        <w:t xml:space="preserve">From the new core, NG-C and NG-U are terminated at Control Plane Signalling Entity and User Plane Entity, respectively. </w:t>
      </w:r>
    </w:p>
    <w:p w:rsidR="00920623" w:rsidRPr="008723D6" w:rsidRDefault="00E87004" w:rsidP="00920623">
      <w:pPr>
        <w:keepNext/>
        <w:jc w:val="center"/>
      </w:pPr>
      <w:r w:rsidRPr="008723D6">
        <w:rPr>
          <w:noProof/>
          <w:lang w:eastAsia="en-GB"/>
          <w14:cntxtAlts w14:val="0"/>
        </w:rPr>
        <w:drawing>
          <wp:inline distT="0" distB="0" distL="0" distR="0">
            <wp:extent cx="3337200" cy="3960000"/>
            <wp:effectExtent l="0" t="0" r="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U_mobility_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7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004" w:rsidRPr="008723D6" w:rsidRDefault="00920623" w:rsidP="00920623">
      <w:pPr>
        <w:pStyle w:val="Caption"/>
        <w:jc w:val="center"/>
      </w:pPr>
      <w:bookmarkStart w:id="5" w:name="_Ref485126736"/>
      <w:r w:rsidRPr="008723D6">
        <w:t xml:space="preserve">Figure </w:t>
      </w:r>
      <w:r w:rsidR="005B7E1E">
        <w:fldChar w:fldCharType="begin"/>
      </w:r>
      <w:r w:rsidR="005B7E1E">
        <w:instrText xml:space="preserve"> SEQ Figure \* ARABIC </w:instrText>
      </w:r>
      <w:r w:rsidR="005B7E1E">
        <w:fldChar w:fldCharType="separate"/>
      </w:r>
      <w:r w:rsidR="002D5070" w:rsidRPr="008723D6">
        <w:t>3</w:t>
      </w:r>
      <w:r w:rsidR="005B7E1E">
        <w:fldChar w:fldCharType="end"/>
      </w:r>
      <w:bookmarkEnd w:id="5"/>
      <w:r w:rsidRPr="008723D6">
        <w:t xml:space="preserve"> Inter DU Mobility of Scenario 1</w:t>
      </w:r>
    </w:p>
    <w:p w:rsidR="002E034C" w:rsidRPr="008723D6" w:rsidRDefault="002E034C" w:rsidP="00C12837">
      <w:r w:rsidRPr="008723D6">
        <w:t>The call flows of Scenario 1 are ill</w:t>
      </w:r>
      <w:r w:rsidR="00401A99" w:rsidRPr="008723D6">
        <w:t xml:space="preserve">ustrated in the following </w:t>
      </w:r>
      <w:r w:rsidR="00401A99" w:rsidRPr="008723D6">
        <w:fldChar w:fldCharType="begin"/>
      </w:r>
      <w:r w:rsidR="00401A99" w:rsidRPr="008723D6">
        <w:instrText xml:space="preserve"> REF _Ref485126782 \h </w:instrText>
      </w:r>
      <w:r w:rsidR="00401A99" w:rsidRPr="008723D6">
        <w:fldChar w:fldCharType="separate"/>
      </w:r>
      <w:r w:rsidR="002D5070" w:rsidRPr="008723D6">
        <w:t>Figure 4</w:t>
      </w:r>
      <w:r w:rsidR="00401A99" w:rsidRPr="008723D6">
        <w:fldChar w:fldCharType="end"/>
      </w:r>
      <w:r w:rsidRPr="008723D6">
        <w:t xml:space="preserve">. The Call flow between the DUs and CU resemble </w:t>
      </w:r>
      <w:r w:rsidR="007F52A2" w:rsidRPr="008723D6">
        <w:t xml:space="preserve">the </w:t>
      </w:r>
      <w:r w:rsidRPr="008723D6">
        <w:t>S1 handover call flows</w:t>
      </w:r>
      <w:r w:rsidR="00186D1B" w:rsidRPr="008723D6">
        <w:t xml:space="preserve"> </w:t>
      </w:r>
      <w:r w:rsidR="007F52A2" w:rsidRPr="008723D6">
        <w:t xml:space="preserve">in TS 23.401 clause 5.5.1.2 </w:t>
      </w:r>
      <w:r w:rsidR="00186D1B" w:rsidRPr="008723D6">
        <w:t>[2],</w:t>
      </w:r>
      <w:r w:rsidRPr="008723D6">
        <w:t xml:space="preserve"> where the handover is managed centrally by the CU. In this example the mobility is managed by the </w:t>
      </w:r>
      <w:r w:rsidR="00186D1B" w:rsidRPr="008723D6">
        <w:t xml:space="preserve">Control Plane Signalling Entity, which houses the RRC and PDCP-C functions. </w:t>
      </w:r>
    </w:p>
    <w:p w:rsidR="00DE3DFE" w:rsidRPr="008723D6" w:rsidRDefault="00DE3DFE" w:rsidP="00C12837"/>
    <w:p w:rsidR="00B44ABA" w:rsidRPr="008723D6" w:rsidRDefault="008723D6" w:rsidP="00B44ABA">
      <w:pPr>
        <w:keepNext/>
      </w:pPr>
      <w:r>
        <w:rPr>
          <w:noProof/>
          <w:lang w:eastAsia="en-GB"/>
          <w14:cntxtAlts w14:val="0"/>
        </w:rPr>
        <w:lastRenderedPageBreak/>
        <w:drawing>
          <wp:inline distT="0" distB="0" distL="0" distR="0">
            <wp:extent cx="5731510" cy="661225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U_Call_flow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61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3DFE" w:rsidRPr="008723D6" w:rsidRDefault="00B44ABA" w:rsidP="00B44ABA">
      <w:pPr>
        <w:pStyle w:val="Caption"/>
      </w:pPr>
      <w:bookmarkStart w:id="6" w:name="_Ref485126782"/>
      <w:r w:rsidRPr="008723D6">
        <w:t xml:space="preserve">Figure </w:t>
      </w:r>
      <w:r w:rsidR="005B7E1E">
        <w:fldChar w:fldCharType="begin"/>
      </w:r>
      <w:r w:rsidR="005B7E1E">
        <w:instrText xml:space="preserve"> SEQ Figure \* ARABIC </w:instrText>
      </w:r>
      <w:r w:rsidR="005B7E1E">
        <w:fldChar w:fldCharType="separate"/>
      </w:r>
      <w:r w:rsidR="002D5070" w:rsidRPr="008723D6">
        <w:t>4</w:t>
      </w:r>
      <w:r w:rsidR="005B7E1E">
        <w:fldChar w:fldCharType="end"/>
      </w:r>
      <w:bookmarkEnd w:id="6"/>
      <w:r w:rsidRPr="008723D6">
        <w:t xml:space="preserve"> Call Flows of Scenario 1</w:t>
      </w:r>
    </w:p>
    <w:p w:rsidR="00DE3DFE" w:rsidRPr="008723D6" w:rsidRDefault="00DE3DFE" w:rsidP="00C12837"/>
    <w:p w:rsidR="007F52A2" w:rsidRPr="008723D6" w:rsidRDefault="007F52A2" w:rsidP="00C12837">
      <w:pPr>
        <w:rPr>
          <w:b/>
        </w:rPr>
      </w:pPr>
      <w:r w:rsidRPr="008723D6">
        <w:rPr>
          <w:b/>
        </w:rPr>
        <w:t xml:space="preserve">Observation 1: whether or not security keys change at inter-DU handover should be discussed and confirmed with SA 3 and RAN 2. </w:t>
      </w:r>
    </w:p>
    <w:p w:rsidR="00DE3DFE" w:rsidRPr="008723D6" w:rsidRDefault="007F52A2" w:rsidP="00C12837">
      <w:pPr>
        <w:rPr>
          <w:b/>
        </w:rPr>
      </w:pPr>
      <w:r w:rsidRPr="008723D6">
        <w:rPr>
          <w:b/>
        </w:rPr>
        <w:t xml:space="preserve">Observation 2: Whether or not the non-delivered PDCP packets can be delivered in the new DU using the security keys for the old DU should be checked with SA3 and RAN 2. </w:t>
      </w:r>
    </w:p>
    <w:p w:rsidR="00DE3DFE" w:rsidRPr="008723D6" w:rsidRDefault="00DE3DFE" w:rsidP="00C12837"/>
    <w:p w:rsidR="00286911" w:rsidRPr="008723D6" w:rsidRDefault="00286911" w:rsidP="00286911">
      <w:pPr>
        <w:pStyle w:val="Heading2"/>
      </w:pPr>
      <w:r w:rsidRPr="008723D6">
        <w:lastRenderedPageBreak/>
        <w:t xml:space="preserve">Deployment Scenario 2 </w:t>
      </w:r>
    </w:p>
    <w:p w:rsidR="00920623" w:rsidRPr="008723D6" w:rsidRDefault="00920623" w:rsidP="00920623">
      <w:r w:rsidRPr="008723D6">
        <w:t xml:space="preserve">The mobility between DUs </w:t>
      </w:r>
      <w:r w:rsidR="007F52A2" w:rsidRPr="008723D6">
        <w:t xml:space="preserve">with collocated Control Plane entities </w:t>
      </w:r>
      <w:r w:rsidRPr="008723D6">
        <w:t>2 is illustrated in the following</w:t>
      </w:r>
      <w:r w:rsidR="00401A99" w:rsidRPr="008723D6">
        <w:t xml:space="preserve"> </w:t>
      </w:r>
      <w:r w:rsidR="00401A99" w:rsidRPr="008723D6">
        <w:fldChar w:fldCharType="begin"/>
      </w:r>
      <w:r w:rsidR="00401A99" w:rsidRPr="008723D6">
        <w:instrText xml:space="preserve"> REF _Ref485126858 \h </w:instrText>
      </w:r>
      <w:r w:rsidR="00401A99" w:rsidRPr="008723D6">
        <w:fldChar w:fldCharType="separate"/>
      </w:r>
      <w:r w:rsidR="002D5070" w:rsidRPr="008723D6">
        <w:t>Figure 5</w:t>
      </w:r>
      <w:r w:rsidR="00401A99" w:rsidRPr="008723D6">
        <w:fldChar w:fldCharType="end"/>
      </w:r>
      <w:r w:rsidRPr="008723D6">
        <w:t>:</w:t>
      </w:r>
    </w:p>
    <w:p w:rsidR="00920623" w:rsidRPr="008723D6" w:rsidRDefault="00920623" w:rsidP="00920623">
      <w:r w:rsidRPr="008723D6">
        <w:t>In this type of deployment, the Control Plane Signalling Entity, housing RRC and PDCP-C functions, are located in the DUs, therefore all the F1-C interfaces are internal to the DUs. All DUs connect to the User Plane Entity over the F1-U interface. A signalling interface, E1, between the DUs and PDCP-U provide</w:t>
      </w:r>
      <w:r w:rsidR="007F52A2" w:rsidRPr="008723D6">
        <w:t>s the</w:t>
      </w:r>
      <w:r w:rsidRPr="008723D6">
        <w:t xml:space="preserve"> signalling </w:t>
      </w:r>
      <w:r w:rsidR="007F52A2" w:rsidRPr="008723D6">
        <w:t>capability</w:t>
      </w:r>
      <w:r w:rsidRPr="008723D6">
        <w:t xml:space="preserve"> for Control and User Plane functionality. </w:t>
      </w:r>
    </w:p>
    <w:p w:rsidR="002E034C" w:rsidRPr="008723D6" w:rsidRDefault="002E034C" w:rsidP="002E034C">
      <w:r w:rsidRPr="008723D6">
        <w:t xml:space="preserve">From the new core, NG-U is terminated at User Plane Entity and NG-Cs from the Core are terminated at the </w:t>
      </w:r>
      <w:r w:rsidR="007F52A2" w:rsidRPr="008723D6">
        <w:t>Control Plane signalling entities co-located with</w:t>
      </w:r>
      <w:r w:rsidRPr="008723D6">
        <w:t xml:space="preserve"> the DUs.</w:t>
      </w:r>
    </w:p>
    <w:p w:rsidR="002E034C" w:rsidRPr="008723D6" w:rsidRDefault="002E034C" w:rsidP="002E034C">
      <w:pPr>
        <w:jc w:val="center"/>
      </w:pPr>
      <w:r w:rsidRPr="008723D6">
        <w:t xml:space="preserve"> </w:t>
      </w:r>
      <w:r w:rsidRPr="008723D6">
        <w:rPr>
          <w:noProof/>
          <w:lang w:eastAsia="en-GB"/>
          <w14:cntxtAlts w14:val="0"/>
        </w:rPr>
        <w:drawing>
          <wp:inline distT="0" distB="0" distL="0" distR="0">
            <wp:extent cx="4190400" cy="3960000"/>
            <wp:effectExtent l="0" t="0" r="635" b="254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U_mobility_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04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623" w:rsidRPr="008723D6" w:rsidRDefault="002E034C" w:rsidP="002E034C">
      <w:pPr>
        <w:pStyle w:val="Caption"/>
        <w:jc w:val="center"/>
      </w:pPr>
      <w:bookmarkStart w:id="7" w:name="_Ref485126858"/>
      <w:r w:rsidRPr="008723D6">
        <w:t xml:space="preserve">Figure </w:t>
      </w:r>
      <w:r w:rsidR="005B7E1E">
        <w:fldChar w:fldCharType="begin"/>
      </w:r>
      <w:r w:rsidR="005B7E1E">
        <w:instrText xml:space="preserve"> SEQ Figure \* ARABIC </w:instrText>
      </w:r>
      <w:r w:rsidR="005B7E1E">
        <w:fldChar w:fldCharType="separate"/>
      </w:r>
      <w:r w:rsidR="002D5070" w:rsidRPr="008723D6">
        <w:t>5</w:t>
      </w:r>
      <w:r w:rsidR="005B7E1E">
        <w:fldChar w:fldCharType="end"/>
      </w:r>
      <w:bookmarkEnd w:id="7"/>
      <w:r w:rsidRPr="008723D6">
        <w:t xml:space="preserve"> Inter DU Mobility of Scenario 2</w:t>
      </w:r>
    </w:p>
    <w:p w:rsidR="003963D5" w:rsidRPr="008723D6" w:rsidRDefault="003963D5" w:rsidP="003963D5">
      <w:r w:rsidRPr="008723D6">
        <w:t>The call flows of the Scenario 2 are illu</w:t>
      </w:r>
      <w:r w:rsidR="00401A99" w:rsidRPr="008723D6">
        <w:t xml:space="preserve">strated in the following </w:t>
      </w:r>
      <w:r w:rsidR="00401A99" w:rsidRPr="008723D6">
        <w:fldChar w:fldCharType="begin"/>
      </w:r>
      <w:r w:rsidR="00401A99" w:rsidRPr="008723D6">
        <w:instrText xml:space="preserve"> REF _Ref485126876 \h </w:instrText>
      </w:r>
      <w:r w:rsidR="00401A99" w:rsidRPr="008723D6">
        <w:fldChar w:fldCharType="separate"/>
      </w:r>
      <w:r w:rsidR="002D5070" w:rsidRPr="008723D6">
        <w:t>Figure 6</w:t>
      </w:r>
      <w:r w:rsidR="00401A99" w:rsidRPr="008723D6">
        <w:fldChar w:fldCharType="end"/>
      </w:r>
      <w:r w:rsidR="00401A99" w:rsidRPr="008723D6">
        <w:t>.</w:t>
      </w:r>
      <w:r w:rsidRPr="008723D6">
        <w:t xml:space="preserve"> </w:t>
      </w:r>
      <w:r w:rsidR="007F52A2" w:rsidRPr="008723D6">
        <w:t xml:space="preserve">As this is a handover </w:t>
      </w:r>
      <w:r w:rsidR="008723D6" w:rsidRPr="008723D6">
        <w:t>between two</w:t>
      </w:r>
      <w:r w:rsidR="007F52A2" w:rsidRPr="008723D6">
        <w:t xml:space="preserve"> </w:t>
      </w:r>
      <w:r w:rsidRPr="008723D6">
        <w:t>Control Plane Signalling Entit</w:t>
      </w:r>
      <w:r w:rsidR="007F52A2" w:rsidRPr="008723D6">
        <w:t>ies</w:t>
      </w:r>
      <w:r w:rsidRPr="008723D6">
        <w:t xml:space="preserve"> a X2-C type interface </w:t>
      </w:r>
      <w:r w:rsidR="007F52A2" w:rsidRPr="008723D6">
        <w:t xml:space="preserve">is </w:t>
      </w:r>
      <w:r w:rsidRPr="008723D6">
        <w:t xml:space="preserve">required. The mobility call flows for Scenario 2 resemble a X2 type handover described in </w:t>
      </w:r>
      <w:r w:rsidR="007F52A2" w:rsidRPr="008723D6">
        <w:t xml:space="preserve">TS 23.401 clause 5.5.1.1 </w:t>
      </w:r>
      <w:r w:rsidRPr="008723D6">
        <w:t>[3].</w:t>
      </w:r>
    </w:p>
    <w:p w:rsidR="003963D5" w:rsidRPr="008723D6" w:rsidRDefault="003963D5" w:rsidP="003963D5"/>
    <w:p w:rsidR="003963D5" w:rsidRPr="008723D6" w:rsidRDefault="003963D5" w:rsidP="003963D5"/>
    <w:p w:rsidR="003963D5" w:rsidRPr="008723D6" w:rsidRDefault="003963D5" w:rsidP="003963D5"/>
    <w:p w:rsidR="00B44ABA" w:rsidRPr="008723D6" w:rsidRDefault="008723D6" w:rsidP="00B44ABA">
      <w:pPr>
        <w:keepNext/>
      </w:pPr>
      <w:r>
        <w:rPr>
          <w:noProof/>
          <w:lang w:eastAsia="en-GB"/>
          <w14:cntxtAlts w14:val="0"/>
        </w:rPr>
        <w:lastRenderedPageBreak/>
        <w:drawing>
          <wp:inline distT="0" distB="0" distL="0" distR="0">
            <wp:extent cx="5731510" cy="703834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U_Call_flow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03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3D5" w:rsidRPr="008723D6" w:rsidRDefault="00B44ABA" w:rsidP="00B44ABA">
      <w:pPr>
        <w:pStyle w:val="Caption"/>
      </w:pPr>
      <w:bookmarkStart w:id="8" w:name="_Ref485126876"/>
      <w:r w:rsidRPr="008723D6">
        <w:t xml:space="preserve">Figure </w:t>
      </w:r>
      <w:fldSimple w:instr=" SEQ Figure \* ARABIC ">
        <w:r w:rsidR="002D5070" w:rsidRPr="008723D6">
          <w:t>6</w:t>
        </w:r>
      </w:fldSimple>
      <w:bookmarkEnd w:id="8"/>
      <w:r w:rsidRPr="008723D6">
        <w:t xml:space="preserve"> Call Flow s of Scenario 2</w:t>
      </w:r>
    </w:p>
    <w:p w:rsidR="003963D5" w:rsidRPr="008723D6" w:rsidRDefault="003963D5" w:rsidP="003963D5"/>
    <w:p w:rsidR="007F52A2" w:rsidRPr="008723D6" w:rsidRDefault="007F52A2" w:rsidP="003963D5">
      <w:pPr>
        <w:rPr>
          <w:b/>
        </w:rPr>
      </w:pPr>
      <w:r w:rsidRPr="008723D6">
        <w:rPr>
          <w:b/>
        </w:rPr>
        <w:t xml:space="preserve">Observation 3: </w:t>
      </w:r>
      <w:proofErr w:type="spellStart"/>
      <w:r w:rsidRPr="008723D6">
        <w:rPr>
          <w:b/>
        </w:rPr>
        <w:t>intER</w:t>
      </w:r>
      <w:proofErr w:type="spellEnd"/>
      <w:r w:rsidRPr="008723D6">
        <w:rPr>
          <w:b/>
        </w:rPr>
        <w:t xml:space="preserve"> Control Plane Entity, </w:t>
      </w:r>
      <w:proofErr w:type="spellStart"/>
      <w:r w:rsidRPr="008723D6">
        <w:rPr>
          <w:b/>
        </w:rPr>
        <w:t>intRA</w:t>
      </w:r>
      <w:proofErr w:type="spellEnd"/>
      <w:r w:rsidRPr="008723D6">
        <w:rPr>
          <w:b/>
        </w:rPr>
        <w:t xml:space="preserve"> CU-User Plane entity mobility, can trigger unnecessary signalling within the core network. This should be discussed with SA2.</w:t>
      </w:r>
    </w:p>
    <w:p w:rsidR="003963D5" w:rsidRPr="008723D6" w:rsidRDefault="003963D5" w:rsidP="003963D5"/>
    <w:p w:rsidR="00B63A69" w:rsidRPr="008723D6" w:rsidRDefault="00B63A69" w:rsidP="006E5DE0"/>
    <w:p w:rsidR="00CE0C21" w:rsidRPr="008723D6" w:rsidRDefault="00CE0C21" w:rsidP="00CE0C21"/>
    <w:p w:rsidR="00B63A69" w:rsidRPr="008723D6" w:rsidRDefault="00B63A69" w:rsidP="00B63A69">
      <w:pPr>
        <w:pStyle w:val="Heading1"/>
      </w:pPr>
      <w:r w:rsidRPr="008723D6">
        <w:t>Conclusions</w:t>
      </w:r>
    </w:p>
    <w:p w:rsidR="008723D6" w:rsidRDefault="008723D6" w:rsidP="008723D6">
      <w:r>
        <w:t xml:space="preserve">Based on the technical discussion presented in this contribution we can make the following observations: </w:t>
      </w:r>
    </w:p>
    <w:p w:rsidR="008723D6" w:rsidRPr="008723D6" w:rsidRDefault="008723D6" w:rsidP="008723D6">
      <w:pPr>
        <w:ind w:left="720"/>
        <w:rPr>
          <w:b/>
        </w:rPr>
      </w:pPr>
      <w:r w:rsidRPr="008723D6">
        <w:rPr>
          <w:b/>
        </w:rPr>
        <w:t xml:space="preserve">Observation 1: whether or not security keys change at inter-DU handover should be discussed and confirmed with SA 3 and RAN 2. </w:t>
      </w:r>
    </w:p>
    <w:p w:rsidR="008723D6" w:rsidRPr="008723D6" w:rsidRDefault="008723D6" w:rsidP="008723D6">
      <w:pPr>
        <w:ind w:left="720"/>
        <w:rPr>
          <w:b/>
        </w:rPr>
      </w:pPr>
      <w:r w:rsidRPr="008723D6">
        <w:rPr>
          <w:b/>
        </w:rPr>
        <w:t xml:space="preserve">Observation 2: Whether or not the non-delivered PDCP packets can be delivered in the new DU using the security keys for the old DU should be checked with SA3 and RAN 2. </w:t>
      </w:r>
    </w:p>
    <w:p w:rsidR="008723D6" w:rsidRPr="008723D6" w:rsidRDefault="008723D6" w:rsidP="008723D6">
      <w:pPr>
        <w:ind w:left="720"/>
        <w:rPr>
          <w:b/>
        </w:rPr>
      </w:pPr>
      <w:r w:rsidRPr="008723D6">
        <w:rPr>
          <w:b/>
        </w:rPr>
        <w:t xml:space="preserve">Observation 3: </w:t>
      </w:r>
      <w:proofErr w:type="spellStart"/>
      <w:r w:rsidRPr="008723D6">
        <w:rPr>
          <w:b/>
        </w:rPr>
        <w:t>intER</w:t>
      </w:r>
      <w:proofErr w:type="spellEnd"/>
      <w:r w:rsidRPr="008723D6">
        <w:rPr>
          <w:b/>
        </w:rPr>
        <w:t xml:space="preserve"> Control Plane Entity, </w:t>
      </w:r>
      <w:proofErr w:type="spellStart"/>
      <w:r w:rsidRPr="008723D6">
        <w:rPr>
          <w:b/>
        </w:rPr>
        <w:t>intRA</w:t>
      </w:r>
      <w:proofErr w:type="spellEnd"/>
      <w:r w:rsidRPr="008723D6">
        <w:rPr>
          <w:b/>
        </w:rPr>
        <w:t xml:space="preserve"> CU-User Plane entity mobility, can trigger unnecessary signalling within the core network. This should be discussed with SA2.</w:t>
      </w:r>
    </w:p>
    <w:p w:rsidR="007F52A2" w:rsidRPr="008723D6" w:rsidRDefault="008723D6" w:rsidP="005317BB">
      <w:r>
        <w:t xml:space="preserve">RAN3 is kindly ask to take the following proposal into account: </w:t>
      </w:r>
    </w:p>
    <w:p w:rsidR="007F52A2" w:rsidRPr="008723D6" w:rsidRDefault="007F52A2" w:rsidP="008723D6">
      <w:pPr>
        <w:ind w:left="720"/>
        <w:rPr>
          <w:b/>
        </w:rPr>
      </w:pPr>
      <w:r w:rsidRPr="008723D6">
        <w:rPr>
          <w:b/>
        </w:rPr>
        <w:t>Proposal 1: an LS should be drafted to SA3 and RAN2 on the handling of cipher keys and data flows at DU change.</w:t>
      </w:r>
    </w:p>
    <w:p w:rsidR="007F52A2" w:rsidRPr="008723D6" w:rsidRDefault="007F52A2" w:rsidP="008723D6">
      <w:pPr>
        <w:ind w:left="720"/>
        <w:rPr>
          <w:b/>
        </w:rPr>
      </w:pPr>
      <w:r w:rsidRPr="008723D6">
        <w:rPr>
          <w:b/>
        </w:rPr>
        <w:t>Proposal 2: an LS should be drafted to SA2 to discuss the handling of inter-control plane entity, intra user plane entity handover.</w:t>
      </w:r>
    </w:p>
    <w:p w:rsidR="007F52A2" w:rsidRPr="008723D6" w:rsidRDefault="007F52A2" w:rsidP="005317BB"/>
    <w:p w:rsidR="00B63A69" w:rsidRPr="008723D6" w:rsidRDefault="00B63A69" w:rsidP="00B63A69">
      <w:pPr>
        <w:pStyle w:val="Heading1"/>
      </w:pPr>
      <w:r w:rsidRPr="008723D6">
        <w:t>References</w:t>
      </w:r>
    </w:p>
    <w:p w:rsidR="005317BB" w:rsidRPr="008723D6" w:rsidRDefault="005317BB" w:rsidP="005317BB">
      <w:r w:rsidRPr="008723D6">
        <w:t>[1] R3-171693</w:t>
      </w:r>
    </w:p>
    <w:p w:rsidR="005317BB" w:rsidRPr="008723D6" w:rsidRDefault="005317BB" w:rsidP="005317BB">
      <w:r w:rsidRPr="008723D6">
        <w:t xml:space="preserve">[2] 3GPP TS 23.401 </w:t>
      </w:r>
      <w:r w:rsidR="007F52A2" w:rsidRPr="008723D6">
        <w:t>clause 5.5.1.2</w:t>
      </w:r>
      <w:r w:rsidRPr="008723D6">
        <w:t>, S1-based handover</w:t>
      </w:r>
    </w:p>
    <w:p w:rsidR="00807520" w:rsidRPr="008723D6" w:rsidRDefault="00186D1B" w:rsidP="00762EA3">
      <w:r w:rsidRPr="008723D6">
        <w:t xml:space="preserve">[3] 3GPP TS 23.401 </w:t>
      </w:r>
      <w:r w:rsidR="007F52A2" w:rsidRPr="008723D6">
        <w:t>clause 5.5.1.1</w:t>
      </w:r>
      <w:r w:rsidRPr="008723D6">
        <w:t xml:space="preserve"> X2 based handover</w:t>
      </w:r>
    </w:p>
    <w:p w:rsidR="00807520" w:rsidRPr="008723D6" w:rsidRDefault="00807520" w:rsidP="00B46E5B">
      <w:pPr>
        <w:tabs>
          <w:tab w:val="left" w:pos="4176"/>
        </w:tabs>
      </w:pPr>
    </w:p>
    <w:p w:rsidR="00807520" w:rsidRPr="008723D6" w:rsidRDefault="00807520" w:rsidP="00B46E5B">
      <w:pPr>
        <w:tabs>
          <w:tab w:val="left" w:pos="4176"/>
        </w:tabs>
      </w:pPr>
    </w:p>
    <w:p w:rsidR="00807520" w:rsidRPr="008723D6" w:rsidRDefault="00807520" w:rsidP="00B46E5B">
      <w:pPr>
        <w:tabs>
          <w:tab w:val="left" w:pos="4176"/>
        </w:tabs>
      </w:pPr>
    </w:p>
    <w:p w:rsidR="00807520" w:rsidRPr="008723D6" w:rsidRDefault="00807520" w:rsidP="00B46E5B">
      <w:pPr>
        <w:tabs>
          <w:tab w:val="left" w:pos="4176"/>
        </w:tabs>
      </w:pPr>
    </w:p>
    <w:p w:rsidR="00807520" w:rsidRPr="008723D6" w:rsidRDefault="00807520" w:rsidP="00B46E5B">
      <w:pPr>
        <w:tabs>
          <w:tab w:val="left" w:pos="4176"/>
        </w:tabs>
      </w:pPr>
    </w:p>
    <w:p w:rsidR="00807520" w:rsidRPr="008723D6" w:rsidRDefault="00807520" w:rsidP="00B46E5B">
      <w:pPr>
        <w:tabs>
          <w:tab w:val="left" w:pos="4176"/>
        </w:tabs>
      </w:pPr>
    </w:p>
    <w:sectPr w:rsidR="00807520" w:rsidRPr="008723D6" w:rsidSect="00807520">
      <w:footerReference w:type="default" r:id="rId14"/>
      <w:headerReference w:type="first" r:id="rId15"/>
      <w:footerReference w:type="first" r:id="rId16"/>
      <w:pgSz w:w="11906" w:h="16838"/>
      <w:pgMar w:top="1440" w:right="1440" w:bottom="1440" w:left="144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B7E1E" w:rsidRDefault="005B7E1E" w:rsidP="00E2249A">
      <w:pPr>
        <w:spacing w:after="0" w:line="240" w:lineRule="auto"/>
      </w:pPr>
      <w:r>
        <w:separator/>
      </w:r>
    </w:p>
  </w:endnote>
  <w:endnote w:type="continuationSeparator" w:id="0">
    <w:p w:rsidR="005B7E1E" w:rsidRDefault="005B7E1E" w:rsidP="00E224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odafone Rg">
    <w:panose1 w:val="020B0606080202020204"/>
    <w:charset w:val="00"/>
    <w:family w:val="swiss"/>
    <w:pitch w:val="variable"/>
    <w:sig w:usb0="800002AF" w:usb1="4000204B" w:usb2="00000000" w:usb3="00000000" w:csb0="0000009F" w:csb1="00000000"/>
    <w:embedRegular r:id="rId1" w:fontKey="{1F8A9318-D9BC-4F87-94F7-04B6A89EFB92}"/>
    <w:embedBold r:id="rId2" w:fontKey="{513BE9A8-F5FF-4A44-AC12-E6D2DB60AFA4}"/>
    <w:embedItalic r:id="rId3" w:fontKey="{7E068823-BBB2-4905-AAF6-CD417315069B}"/>
  </w:font>
  <w:font w:name="Vodafone Lt">
    <w:panose1 w:val="020B0606040202020204"/>
    <w:charset w:val="00"/>
    <w:family w:val="swiss"/>
    <w:pitch w:val="variable"/>
    <w:sig w:usb0="800002AF" w:usb1="4000204B" w:usb2="00000000" w:usb3="00000000" w:csb0="0000009F" w:csb1="00000000"/>
    <w:embedRegular r:id="rId4" w:fontKey="{48C2F4CC-CC40-47B0-B55A-4C289804814D}"/>
    <w:embedBold r:id="rId5" w:fontKey="{95EE2D62-3860-421A-898C-632FB3C96EA4}"/>
    <w:embedItalic r:id="rId6" w:fontKey="{DE41FC2D-DD7A-48AD-BD46-B2D27C60DD5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5C3A1C47-8EBB-4BE9-AF6B-3A875B958D8B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8" w:fontKey="{D843F99B-CF58-42DB-8614-E95B7FE0EA62}"/>
    <w:embedItalic r:id="rId9" w:fontKey="{9D6A910C-43CA-46FC-9D99-8B0FCE8DFAC4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136C1" w:rsidRDefault="00807520" w:rsidP="00807520">
    <w:pPr>
      <w:pStyle w:val="Footer"/>
    </w:pPr>
    <w:r>
      <w:rPr>
        <w:color w:val="645C54" w:themeColor="text2"/>
      </w:rPr>
      <w:t>R3-17</w:t>
    </w:r>
    <w:r w:rsidR="00F26062">
      <w:rPr>
        <w:color w:val="645C54" w:themeColor="text2"/>
      </w:rPr>
      <w:t>2669</w:t>
    </w:r>
    <w:r w:rsidR="005136C1">
      <w:rPr>
        <w:color w:val="645C54" w:themeColor="text2"/>
      </w:rPr>
      <w:tab/>
    </w:r>
    <w:r>
      <w:rPr>
        <w:color w:val="645C54" w:themeColor="text2"/>
      </w:rPr>
      <w:tab/>
    </w:r>
    <w:r w:rsidR="005136C1" w:rsidRPr="001943CB">
      <w:rPr>
        <w:color w:val="645C54" w:themeColor="text2"/>
      </w:rPr>
      <w:t xml:space="preserve">Page </w:t>
    </w:r>
    <w:r w:rsidR="005136C1" w:rsidRPr="001943CB">
      <w:rPr>
        <w:color w:val="645C54" w:themeColor="text2"/>
      </w:rPr>
      <w:fldChar w:fldCharType="begin"/>
    </w:r>
    <w:r w:rsidR="005136C1" w:rsidRPr="001943CB">
      <w:rPr>
        <w:color w:val="645C54" w:themeColor="text2"/>
      </w:rPr>
      <w:instrText xml:space="preserve"> PAGE  \* Arabic  \* MERGEFORMAT </w:instrText>
    </w:r>
    <w:r w:rsidR="005136C1" w:rsidRPr="001943CB">
      <w:rPr>
        <w:color w:val="645C54" w:themeColor="text2"/>
      </w:rPr>
      <w:fldChar w:fldCharType="separate"/>
    </w:r>
    <w:r w:rsidR="00F26062">
      <w:rPr>
        <w:noProof/>
        <w:color w:val="645C54" w:themeColor="text2"/>
      </w:rPr>
      <w:t>7</w:t>
    </w:r>
    <w:r w:rsidR="005136C1" w:rsidRPr="001943CB">
      <w:rPr>
        <w:color w:val="645C54" w:themeColor="text2"/>
      </w:rPr>
      <w:fldChar w:fldCharType="end"/>
    </w:r>
    <w:r w:rsidR="005136C1" w:rsidRPr="001943CB">
      <w:rPr>
        <w:color w:val="645C54" w:themeColor="text2"/>
      </w:rPr>
      <w:t xml:space="preserve"> of </w:t>
    </w:r>
    <w:r w:rsidR="005136C1" w:rsidRPr="001943CB">
      <w:rPr>
        <w:color w:val="645C54" w:themeColor="text2"/>
      </w:rPr>
      <w:fldChar w:fldCharType="begin"/>
    </w:r>
    <w:r w:rsidR="005136C1" w:rsidRPr="001943CB">
      <w:rPr>
        <w:color w:val="645C54" w:themeColor="text2"/>
      </w:rPr>
      <w:instrText xml:space="preserve"> NUMPAGES  \* Arabic  \* MERGEFORMAT </w:instrText>
    </w:r>
    <w:r w:rsidR="005136C1" w:rsidRPr="001943CB">
      <w:rPr>
        <w:color w:val="645C54" w:themeColor="text2"/>
      </w:rPr>
      <w:fldChar w:fldCharType="separate"/>
    </w:r>
    <w:r w:rsidR="00F26062">
      <w:rPr>
        <w:noProof/>
        <w:color w:val="645C54" w:themeColor="text2"/>
      </w:rPr>
      <w:t>7</w:t>
    </w:r>
    <w:r w:rsidR="005136C1" w:rsidRPr="001943CB">
      <w:rPr>
        <w:color w:val="645C54" w:themeColor="text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943CB" w:rsidRDefault="001943CB">
    <w:pPr>
      <w:pStyle w:val="Footer"/>
    </w:pP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B7E1E" w:rsidRDefault="005B7E1E" w:rsidP="00E2249A">
      <w:pPr>
        <w:spacing w:after="0" w:line="240" w:lineRule="auto"/>
      </w:pPr>
      <w:r>
        <w:separator/>
      </w:r>
    </w:p>
  </w:footnote>
  <w:footnote w:type="continuationSeparator" w:id="0">
    <w:p w:rsidR="005B7E1E" w:rsidRDefault="005B7E1E" w:rsidP="00E224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2249A" w:rsidRPr="00E2249A" w:rsidRDefault="00E2249A" w:rsidP="001943CB">
    <w:pPr>
      <w:pStyle w:val="Title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9EE27FA"/>
    <w:multiLevelType w:val="multilevel"/>
    <w:tmpl w:val="E8AA4C96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3F6A7A3B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5EED6BC0"/>
    <w:multiLevelType w:val="hybridMultilevel"/>
    <w:tmpl w:val="F5C2C9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46D6A26"/>
    <w:multiLevelType w:val="multilevel"/>
    <w:tmpl w:val="ADC849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Heading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3"/>
  </w:num>
  <w:num w:numId="2">
    <w:abstractNumId w:val="1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removePersonalInformation/>
  <w:removeDateAndTime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6E5B"/>
    <w:rsid w:val="0003236E"/>
    <w:rsid w:val="00080213"/>
    <w:rsid w:val="000B1F42"/>
    <w:rsid w:val="000C7EAB"/>
    <w:rsid w:val="00102A12"/>
    <w:rsid w:val="00131617"/>
    <w:rsid w:val="00133320"/>
    <w:rsid w:val="00186D1B"/>
    <w:rsid w:val="001943CB"/>
    <w:rsid w:val="0028296F"/>
    <w:rsid w:val="00286911"/>
    <w:rsid w:val="002B36C6"/>
    <w:rsid w:val="002C27B3"/>
    <w:rsid w:val="002D5070"/>
    <w:rsid w:val="002E034C"/>
    <w:rsid w:val="002E42DD"/>
    <w:rsid w:val="002E55B3"/>
    <w:rsid w:val="00330636"/>
    <w:rsid w:val="00334D8B"/>
    <w:rsid w:val="003963D5"/>
    <w:rsid w:val="003A4B6C"/>
    <w:rsid w:val="003E3FD6"/>
    <w:rsid w:val="00401A99"/>
    <w:rsid w:val="00447BB4"/>
    <w:rsid w:val="004574F3"/>
    <w:rsid w:val="004C559C"/>
    <w:rsid w:val="004F4BE2"/>
    <w:rsid w:val="005136C1"/>
    <w:rsid w:val="005317BB"/>
    <w:rsid w:val="005B7E1E"/>
    <w:rsid w:val="0063553E"/>
    <w:rsid w:val="006966E3"/>
    <w:rsid w:val="006C27B3"/>
    <w:rsid w:val="006E5DE0"/>
    <w:rsid w:val="007070E1"/>
    <w:rsid w:val="00710AAE"/>
    <w:rsid w:val="00762EA3"/>
    <w:rsid w:val="007E2B99"/>
    <w:rsid w:val="007F322B"/>
    <w:rsid w:val="007F52A2"/>
    <w:rsid w:val="008048C5"/>
    <w:rsid w:val="00807520"/>
    <w:rsid w:val="0086546F"/>
    <w:rsid w:val="008723D6"/>
    <w:rsid w:val="0088063D"/>
    <w:rsid w:val="008C1F91"/>
    <w:rsid w:val="008F7993"/>
    <w:rsid w:val="0091508E"/>
    <w:rsid w:val="00920623"/>
    <w:rsid w:val="00931757"/>
    <w:rsid w:val="0096411B"/>
    <w:rsid w:val="009F3FCE"/>
    <w:rsid w:val="00A41E9D"/>
    <w:rsid w:val="00A503D6"/>
    <w:rsid w:val="00A74657"/>
    <w:rsid w:val="00B44ABA"/>
    <w:rsid w:val="00B46E5B"/>
    <w:rsid w:val="00B63A69"/>
    <w:rsid w:val="00BD72BD"/>
    <w:rsid w:val="00C073C5"/>
    <w:rsid w:val="00C1259C"/>
    <w:rsid w:val="00C12837"/>
    <w:rsid w:val="00C235ED"/>
    <w:rsid w:val="00C564B3"/>
    <w:rsid w:val="00CE0C21"/>
    <w:rsid w:val="00CF7BA3"/>
    <w:rsid w:val="00D20659"/>
    <w:rsid w:val="00D32696"/>
    <w:rsid w:val="00D57E7E"/>
    <w:rsid w:val="00D720E6"/>
    <w:rsid w:val="00D85226"/>
    <w:rsid w:val="00D9222E"/>
    <w:rsid w:val="00DE3DFE"/>
    <w:rsid w:val="00E2249A"/>
    <w:rsid w:val="00E30824"/>
    <w:rsid w:val="00E87004"/>
    <w:rsid w:val="00E91B6A"/>
    <w:rsid w:val="00EE43F4"/>
    <w:rsid w:val="00F2384B"/>
    <w:rsid w:val="00F26062"/>
    <w:rsid w:val="00F443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C21C7C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C27B3"/>
    <w:pPr>
      <w:jc w:val="both"/>
    </w:pPr>
    <w:rPr>
      <w:kern w:val="22"/>
      <w:sz w:val="24"/>
      <w14:cntxtAlts/>
    </w:rPr>
  </w:style>
  <w:style w:type="paragraph" w:styleId="Heading1">
    <w:name w:val="heading 1"/>
    <w:basedOn w:val="Normal"/>
    <w:next w:val="Normal"/>
    <w:link w:val="Heading1Char"/>
    <w:uiPriority w:val="9"/>
    <w:qFormat/>
    <w:rsid w:val="001943CB"/>
    <w:pPr>
      <w:keepNext/>
      <w:keepLines/>
      <w:numPr>
        <w:numId w:val="4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E60000" w:themeColor="accent1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943CB"/>
    <w:pPr>
      <w:keepNext/>
      <w:keepLines/>
      <w:numPr>
        <w:ilvl w:val="1"/>
        <w:numId w:val="4"/>
      </w:numPr>
      <w:spacing w:before="200" w:after="0"/>
      <w:outlineLvl w:val="1"/>
    </w:pPr>
    <w:rPr>
      <w:rFonts w:asciiTheme="majorHAnsi" w:eastAsiaTheme="majorEastAsia" w:hAnsiTheme="majorHAnsi" w:cstheme="majorBidi"/>
      <w:bCs/>
      <w:color w:val="E60000" w:themeColor="accent1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46E5B"/>
    <w:pPr>
      <w:keepNext/>
      <w:keepLines/>
      <w:numPr>
        <w:ilvl w:val="2"/>
        <w:numId w:val="4"/>
      </w:numPr>
      <w:spacing w:before="40" w:after="0"/>
      <w:outlineLvl w:val="2"/>
    </w:pPr>
    <w:rPr>
      <w:rFonts w:asciiTheme="majorHAnsi" w:eastAsiaTheme="majorEastAsia" w:hAnsiTheme="majorHAnsi" w:cstheme="majorBidi"/>
      <w:color w:val="720000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46E5B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AC0000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2249A"/>
  </w:style>
  <w:style w:type="paragraph" w:styleId="Footer">
    <w:name w:val="footer"/>
    <w:basedOn w:val="Normal"/>
    <w:link w:val="Foot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2249A"/>
  </w:style>
  <w:style w:type="paragraph" w:styleId="BalloonText">
    <w:name w:val="Balloon Text"/>
    <w:basedOn w:val="Normal"/>
    <w:link w:val="BalloonTextChar"/>
    <w:uiPriority w:val="99"/>
    <w:semiHidden/>
    <w:unhideWhenUsed/>
    <w:rsid w:val="00E224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249A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1943CB"/>
    <w:rPr>
      <w:rFonts w:asciiTheme="majorHAnsi" w:eastAsiaTheme="majorEastAsia" w:hAnsiTheme="majorHAnsi" w:cstheme="majorBidi"/>
      <w:b/>
      <w:bCs/>
      <w:color w:val="E60000" w:themeColor="accent1"/>
      <w:kern w:val="22"/>
      <w:sz w:val="40"/>
      <w:szCs w:val="28"/>
      <w14:cntxtAlts/>
    </w:rPr>
  </w:style>
  <w:style w:type="character" w:customStyle="1" w:styleId="Heading2Char">
    <w:name w:val="Heading 2 Char"/>
    <w:basedOn w:val="DefaultParagraphFont"/>
    <w:link w:val="Heading2"/>
    <w:uiPriority w:val="9"/>
    <w:rsid w:val="001943CB"/>
    <w:rPr>
      <w:rFonts w:asciiTheme="majorHAnsi" w:eastAsiaTheme="majorEastAsia" w:hAnsiTheme="majorHAnsi" w:cstheme="majorBidi"/>
      <w:bCs/>
      <w:color w:val="E60000" w:themeColor="accent1"/>
      <w:kern w:val="22"/>
      <w:sz w:val="36"/>
      <w:szCs w:val="26"/>
      <w14:cntxtAlts/>
    </w:rPr>
  </w:style>
  <w:style w:type="paragraph" w:styleId="Title">
    <w:name w:val="Title"/>
    <w:basedOn w:val="Normal"/>
    <w:next w:val="Normal"/>
    <w:link w:val="TitleChar"/>
    <w:uiPriority w:val="10"/>
    <w:qFormat/>
    <w:rsid w:val="00E30824"/>
    <w:pPr>
      <w:spacing w:after="300" w:line="240" w:lineRule="auto"/>
      <w:contextualSpacing/>
    </w:pPr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E30824"/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  <w14:cntxtAlts/>
    </w:rPr>
  </w:style>
  <w:style w:type="paragraph" w:styleId="Subtitle">
    <w:name w:val="Subtitle"/>
    <w:basedOn w:val="Normal"/>
    <w:next w:val="Normal"/>
    <w:link w:val="SubtitleChar"/>
    <w:uiPriority w:val="11"/>
    <w:qFormat/>
    <w:rsid w:val="001943CB"/>
    <w:pPr>
      <w:numPr>
        <w:ilvl w:val="1"/>
      </w:numPr>
    </w:pPr>
    <w:rPr>
      <w:rFonts w:asciiTheme="majorHAnsi" w:eastAsiaTheme="majorEastAsia" w:hAnsiTheme="majorHAnsi" w:cstheme="majorBidi"/>
      <w:b/>
      <w:iCs/>
      <w:color w:val="645C54" w:themeColor="text2"/>
      <w:spacing w:val="15"/>
      <w:sz w:val="28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1943CB"/>
    <w:rPr>
      <w:rFonts w:asciiTheme="majorHAnsi" w:eastAsiaTheme="majorEastAsia" w:hAnsiTheme="majorHAnsi" w:cstheme="majorBidi"/>
      <w:b/>
      <w:iCs/>
      <w:color w:val="645C54" w:themeColor="text2"/>
      <w:spacing w:val="15"/>
      <w:kern w:val="22"/>
      <w:sz w:val="28"/>
      <w:szCs w:val="24"/>
      <w14:cntxtAlts/>
    </w:rPr>
  </w:style>
  <w:style w:type="paragraph" w:styleId="ListParagraph">
    <w:name w:val="List Paragraph"/>
    <w:basedOn w:val="Normal"/>
    <w:uiPriority w:val="34"/>
    <w:qFormat/>
    <w:rsid w:val="00B46E5B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B46E5B"/>
    <w:rPr>
      <w:rFonts w:asciiTheme="majorHAnsi" w:eastAsiaTheme="majorEastAsia" w:hAnsiTheme="majorHAnsi" w:cstheme="majorBidi"/>
      <w:color w:val="720000" w:themeColor="accent1" w:themeShade="7F"/>
      <w:kern w:val="22"/>
      <w:sz w:val="24"/>
      <w:szCs w:val="24"/>
      <w14:cntxtAlts/>
    </w:rPr>
  </w:style>
  <w:style w:type="character" w:customStyle="1" w:styleId="Heading4Char">
    <w:name w:val="Heading 4 Char"/>
    <w:basedOn w:val="DefaultParagraphFont"/>
    <w:link w:val="Heading4"/>
    <w:uiPriority w:val="9"/>
    <w:rsid w:val="00B46E5B"/>
    <w:rPr>
      <w:rFonts w:asciiTheme="majorHAnsi" w:eastAsiaTheme="majorEastAsia" w:hAnsiTheme="majorHAnsi" w:cstheme="majorBidi"/>
      <w:i/>
      <w:iCs/>
      <w:color w:val="AC0000" w:themeColor="accent1" w:themeShade="BF"/>
      <w:kern w:val="22"/>
      <w:sz w:val="24"/>
      <w14:cntxtAlts/>
    </w:rPr>
  </w:style>
  <w:style w:type="paragraph" w:styleId="NoSpacing">
    <w:name w:val="No Spacing"/>
    <w:basedOn w:val="Normal"/>
    <w:uiPriority w:val="1"/>
    <w:qFormat/>
    <w:rsid w:val="00EE43F4"/>
    <w:pPr>
      <w:spacing w:before="120" w:after="0" w:line="240" w:lineRule="auto"/>
    </w:pPr>
    <w:rPr>
      <w:rFonts w:ascii="Calibri" w:eastAsia="Calibri" w:hAnsi="Calibri" w:cs="Times New Roman"/>
      <w:kern w:val="0"/>
      <w:sz w:val="22"/>
      <w:lang w:eastAsia="en-GB"/>
      <w14:cntxtAlts w14:val="0"/>
    </w:rPr>
  </w:style>
  <w:style w:type="paragraph" w:styleId="Caption">
    <w:name w:val="caption"/>
    <w:basedOn w:val="Normal"/>
    <w:next w:val="Normal"/>
    <w:uiPriority w:val="35"/>
    <w:unhideWhenUsed/>
    <w:qFormat/>
    <w:rsid w:val="00286911"/>
    <w:pPr>
      <w:spacing w:line="240" w:lineRule="auto"/>
    </w:pPr>
    <w:rPr>
      <w:i/>
      <w:iCs/>
      <w:color w:val="645C54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Vodafone">
      <a:dk1>
        <a:srgbClr val="000000"/>
      </a:dk1>
      <a:lt1>
        <a:srgbClr val="FFFFFF"/>
      </a:lt1>
      <a:dk2>
        <a:srgbClr val="645C54"/>
      </a:dk2>
      <a:lt2>
        <a:srgbClr val="E6E4E2"/>
      </a:lt2>
      <a:accent1>
        <a:srgbClr val="E60000"/>
      </a:accent1>
      <a:accent2>
        <a:srgbClr val="5E2750"/>
      </a:accent2>
      <a:accent3>
        <a:srgbClr val="00B0CA"/>
      </a:accent3>
      <a:accent4>
        <a:srgbClr val="A8B400"/>
      </a:accent4>
      <a:accent5>
        <a:srgbClr val="FECB00"/>
      </a:accent5>
      <a:accent6>
        <a:srgbClr val="EB9700"/>
      </a:accent6>
      <a:hlink>
        <a:srgbClr val="007C92"/>
      </a:hlink>
      <a:folHlink>
        <a:srgbClr val="9C2AA0"/>
      </a:folHlink>
    </a:clrScheme>
    <a:fontScheme name="Vodafone">
      <a:majorFont>
        <a:latin typeface="Vodafone Lt"/>
        <a:ea typeface=""/>
        <a:cs typeface=""/>
      </a:majorFont>
      <a:minorFont>
        <a:latin typeface="Vodafone Rg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78D355-2B0B-4785-8F87-31CE269496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824</Words>
  <Characters>4697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5510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2017-08-04T14:56:00Z</dcterms:created>
  <dcterms:modified xsi:type="dcterms:W3CDTF">2017-08-04T14:56:00Z</dcterms:modified>
</cp:coreProperties>
</file>