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923"/>
        </w:tabs>
        <w:ind w:right="-7"/>
        <w:rPr>
          <w:rFonts w:hint="default" w:cs="Arial" w:eastAsiaTheme="minorEastAsia"/>
          <w:bCs/>
          <w:i/>
          <w:sz w:val="32"/>
          <w:lang w:val="en-US"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w:t>
      </w:r>
      <w:r>
        <w:rPr>
          <w:rFonts w:hint="eastAsia" w:cs="Arial"/>
          <w:sz w:val="24"/>
          <w:szCs w:val="24"/>
          <w:lang w:val="en-US" w:eastAsia="zh-CN"/>
        </w:rPr>
        <w:t>8</w:t>
      </w:r>
      <w:r>
        <w:rPr>
          <w:rFonts w:cs="Arial"/>
          <w:bCs/>
          <w:sz w:val="24"/>
        </w:rPr>
        <w:tab/>
      </w:r>
      <w:r>
        <w:rPr>
          <w:rFonts w:hint="eastAsia" w:cs="Arial"/>
          <w:bCs/>
          <w:sz w:val="24"/>
        </w:rPr>
        <w:t>R3-25</w:t>
      </w:r>
      <w:r>
        <w:rPr>
          <w:rFonts w:hint="eastAsia" w:cs="Arial"/>
          <w:bCs/>
          <w:sz w:val="24"/>
          <w:lang w:val="en-US" w:eastAsia="zh-CN"/>
        </w:rPr>
        <w:t>3674</w:t>
      </w:r>
    </w:p>
    <w:bookmarkEnd w:id="0"/>
    <w:p>
      <w:pPr>
        <w:pStyle w:val="36"/>
        <w:rPr>
          <w:rFonts w:cs="Arial"/>
          <w:bCs/>
          <w:sz w:val="24"/>
          <w:lang w:eastAsia="ja-JP"/>
        </w:rPr>
      </w:pPr>
      <w:r>
        <w:rPr>
          <w:rFonts w:cs="Arial"/>
          <w:bCs/>
          <w:sz w:val="24"/>
          <w:lang w:eastAsia="ja-JP"/>
        </w:rPr>
        <w:t xml:space="preserve">St. Julien's, Malta, </w:t>
      </w:r>
      <w:r>
        <w:rPr>
          <w:rFonts w:hint="eastAsia" w:cs="Arial"/>
          <w:bCs/>
          <w:sz w:val="24"/>
          <w:lang w:eastAsia="ja-JP"/>
        </w:rPr>
        <w:t xml:space="preserve">19 </w:t>
      </w:r>
      <w:r>
        <w:rPr>
          <w:rFonts w:cs="Arial"/>
          <w:bCs/>
          <w:sz w:val="24"/>
          <w:lang w:eastAsia="ja-JP"/>
        </w:rPr>
        <w:t>-</w:t>
      </w:r>
      <w:r>
        <w:rPr>
          <w:rFonts w:hint="eastAsia" w:cs="Arial"/>
          <w:bCs/>
          <w:sz w:val="24"/>
          <w:lang w:eastAsia="ja-JP"/>
        </w:rPr>
        <w:t xml:space="preserve"> 23</w:t>
      </w:r>
      <w:r>
        <w:rPr>
          <w:rFonts w:cs="Arial"/>
          <w:bCs/>
          <w:sz w:val="24"/>
          <w:lang w:eastAsia="ja-JP"/>
        </w:rPr>
        <w:t xml:space="preserve"> </w:t>
      </w:r>
      <w:r>
        <w:rPr>
          <w:rFonts w:hint="eastAsia" w:cs="Arial"/>
          <w:bCs/>
          <w:sz w:val="24"/>
          <w:lang w:eastAsia="ja-JP"/>
        </w:rPr>
        <w:t>May,</w:t>
      </w:r>
      <w:r>
        <w:rPr>
          <w:rFonts w:cs="Arial"/>
          <w:bCs/>
          <w:sz w:val="24"/>
          <w:lang w:eastAsia="ja-JP"/>
        </w:rPr>
        <w:t xml:space="preserve"> 2025</w:t>
      </w:r>
    </w:p>
    <w:p>
      <w:pPr>
        <w:pStyle w:val="36"/>
        <w:rPr>
          <w:rFonts w:cs="Arial"/>
          <w:bCs/>
          <w:sz w:val="24"/>
          <w:lang w:eastAsia="ja-JP"/>
        </w:rPr>
      </w:pPr>
    </w:p>
    <w:p>
      <w:pPr>
        <w:pStyle w:val="36"/>
        <w:rPr>
          <w:rFonts w:cs="Arial"/>
          <w:bCs/>
          <w:sz w:val="24"/>
          <w:lang w:eastAsia="ja-JP"/>
        </w:rPr>
      </w:pPr>
    </w:p>
    <w:p>
      <w:pPr>
        <w:pStyle w:val="91"/>
        <w:ind w:left="1985" w:hanging="1985"/>
        <w:rPr>
          <w:lang w:eastAsia="ja-JP"/>
        </w:rPr>
      </w:pPr>
      <w:r>
        <w:t>Title:</w:t>
      </w:r>
      <w:r>
        <w:tab/>
      </w:r>
      <w:r>
        <w:rPr>
          <w:rFonts w:hint="eastAsia"/>
          <w:lang w:val="en-US" w:eastAsia="zh-CN"/>
        </w:rPr>
        <w:t>Discussion on</w:t>
      </w:r>
      <w:r>
        <w:t xml:space="preserve"> </w:t>
      </w:r>
      <w:r>
        <w:rPr>
          <w:rFonts w:hint="eastAsia" w:cs="Arial"/>
          <w:b/>
          <w:bCs/>
          <w:color w:val="000000"/>
          <w:sz w:val="24"/>
          <w:szCs w:val="24"/>
          <w:lang w:val="en-US" w:eastAsia="zh-CN"/>
        </w:rPr>
        <w:t xml:space="preserve">Command </w:t>
      </w:r>
      <w:r>
        <w:rPr>
          <w:rFonts w:hint="eastAsia" w:cs="Arial" w:eastAsiaTheme="minorEastAsia"/>
          <w:b/>
          <w:bCs/>
          <w:color w:val="000000"/>
          <w:sz w:val="24"/>
          <w:szCs w:val="24"/>
          <w:lang w:eastAsia="zh-CN"/>
        </w:rPr>
        <w:t>Procedure</w:t>
      </w:r>
      <w:r>
        <w:rPr>
          <w:rFonts w:cs="Arial"/>
          <w:b/>
          <w:bCs/>
          <w:color w:val="000000"/>
          <w:sz w:val="24"/>
          <w:szCs w:val="24"/>
        </w:rPr>
        <w:t xml:space="preserve"> </w:t>
      </w:r>
    </w:p>
    <w:p>
      <w:pPr>
        <w:pStyle w:val="91"/>
        <w:rPr>
          <w:lang w:eastAsia="ja-JP"/>
        </w:rPr>
      </w:pPr>
      <w:r>
        <w:t>Agenda Item:</w:t>
      </w:r>
      <w:r>
        <w:rPr>
          <w:rFonts w:hint="eastAsia" w:ascii="Arial" w:hAnsi="Arial" w:cs="Arial"/>
          <w:lang w:val="en-US" w:eastAsia="zh-CN"/>
        </w:rPr>
        <w:tab/>
      </w:r>
      <w:r>
        <w:rPr>
          <w:rFonts w:hint="eastAsia" w:ascii="Arial" w:hAnsi="Arial" w:cs="Arial"/>
          <w:lang w:val="en-US" w:eastAsia="zh-CN"/>
        </w:rPr>
        <w:t>16.2</w:t>
      </w:r>
    </w:p>
    <w:p>
      <w:pPr>
        <w:pStyle w:val="91"/>
        <w:rPr>
          <w:rFonts w:hint="default" w:eastAsiaTheme="minorEastAsia"/>
          <w:lang w:val="en-US" w:eastAsia="zh-CN"/>
        </w:rPr>
      </w:pPr>
      <w:r>
        <w:t>Source:</w:t>
      </w:r>
      <w:r>
        <w:tab/>
      </w:r>
      <w:r>
        <w:rPr>
          <w:rFonts w:hint="eastAsia"/>
          <w:lang w:val="en-US" w:eastAsia="zh-CN"/>
        </w:rPr>
        <w:t>China Unicom</w:t>
      </w:r>
    </w:p>
    <w:p>
      <w:pPr>
        <w:pStyle w:val="91"/>
        <w:rPr>
          <w:lang w:eastAsia="ja-JP"/>
        </w:rPr>
      </w:pPr>
      <w:r>
        <w:t>Document for:</w:t>
      </w:r>
      <w:r>
        <w:tab/>
      </w:r>
      <w:r>
        <w:rPr>
          <w:rFonts w:hint="eastAsia"/>
          <w:lang w:val="en-US" w:eastAsia="zh-CN"/>
        </w:rPr>
        <w:t>Discussion</w:t>
      </w:r>
    </w:p>
    <w:p>
      <w:pPr>
        <w:pStyle w:val="2"/>
        <w:numPr>
          <w:ilvl w:val="0"/>
          <w:numId w:val="2"/>
        </w:numPr>
      </w:pPr>
      <w:r>
        <w:t>Introduction</w:t>
      </w:r>
    </w:p>
    <w:p>
      <w:pPr>
        <w:rPr>
          <w:rFonts w:hint="eastAsia"/>
          <w:lang w:val="en-US" w:eastAsia="zh-CN"/>
        </w:rPr>
      </w:pPr>
      <w:r>
        <w:rPr>
          <w:lang w:eastAsia="zh-CN"/>
        </w:rPr>
        <w:t>During RAN</w:t>
      </w:r>
      <w:r>
        <w:rPr>
          <w:rFonts w:hint="eastAsia"/>
          <w:lang w:val="en-US" w:eastAsia="zh-CN"/>
        </w:rPr>
        <w:t>3</w:t>
      </w:r>
      <w:r>
        <w:rPr>
          <w:lang w:eastAsia="zh-CN"/>
        </w:rPr>
        <w:t>#1</w:t>
      </w:r>
      <w:r>
        <w:rPr>
          <w:rFonts w:hint="eastAsia"/>
          <w:lang w:val="en-US" w:eastAsia="zh-CN"/>
        </w:rPr>
        <w:t>27bis</w:t>
      </w:r>
      <w:r>
        <w:rPr>
          <w:lang w:eastAsia="zh-CN"/>
        </w:rPr>
        <w:t xml:space="preserve"> meeting, </w:t>
      </w:r>
      <w:r>
        <w:rPr>
          <w:rFonts w:hint="eastAsia"/>
          <w:lang w:val="en-US" w:eastAsia="zh-CN"/>
        </w:rPr>
        <w:t xml:space="preserve">the agreement about A-IoT Command procedure can be found as the following: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pStyle w:val="127"/>
              <w:autoSpaceDN/>
              <w:spacing w:before="0" w:beforeAutospacing="0" w:after="60"/>
              <w:ind w:left="0"/>
              <w:rPr>
                <w:rFonts w:ascii="Calibri" w:hAnsi="Calibri" w:cs="Calibri"/>
                <w:b/>
                <w:sz w:val="20"/>
                <w:szCs w:val="20"/>
              </w:rPr>
            </w:pPr>
            <w:r>
              <w:rPr>
                <w:rFonts w:ascii="Calibri" w:hAnsi="Calibri" w:cs="Calibri"/>
                <w:b/>
                <w:sz w:val="20"/>
                <w:szCs w:val="20"/>
              </w:rPr>
              <w:t xml:space="preserve">About </w:t>
            </w:r>
            <w:r>
              <w:rPr>
                <w:rFonts w:hint="eastAsia" w:ascii="Calibri" w:hAnsi="Calibri" w:cs="Calibri"/>
                <w:b/>
                <w:sz w:val="20"/>
                <w:szCs w:val="20"/>
                <w:lang w:val="en-US" w:eastAsia="zh-CN"/>
              </w:rPr>
              <w:t>Command</w:t>
            </w:r>
            <w:r>
              <w:rPr>
                <w:rFonts w:ascii="Calibri" w:hAnsi="Calibri" w:cs="Calibri"/>
                <w:b/>
                <w:sz w:val="20"/>
                <w:szCs w:val="20"/>
              </w:rPr>
              <w:t xml:space="preserve"> Procedures:</w:t>
            </w:r>
          </w:p>
          <w:p>
            <w:pPr>
              <w:pStyle w:val="128"/>
              <w:numPr>
                <w:ilvl w:val="0"/>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follow-on command indication in </w:t>
            </w:r>
            <w:r>
              <w:rPr>
                <w:rFonts w:ascii="Calibri" w:hAnsi="Calibri" w:cs="Calibri"/>
                <w:b/>
                <w:i/>
                <w:iCs/>
                <w:color w:val="008000"/>
                <w:sz w:val="18"/>
                <w:szCs w:val="20"/>
              </w:rPr>
              <w:t>Inventory Request Transfer</w:t>
            </w:r>
            <w:r>
              <w:rPr>
                <w:rFonts w:ascii="Calibri" w:hAnsi="Calibri" w:cs="Calibri"/>
                <w:b/>
                <w:color w:val="008000"/>
                <w:sz w:val="18"/>
                <w:szCs w:val="20"/>
              </w:rPr>
              <w:t xml:space="preserve"> IE, in case of Command after inventory.</w:t>
            </w:r>
          </w:p>
          <w:p>
            <w:pPr>
              <w:pStyle w:val="128"/>
              <w:numPr>
                <w:ilvl w:val="0"/>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For command related NGAP messages,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is the same one as in the related Inventory procedure.</w:t>
            </w:r>
          </w:p>
          <w:p>
            <w:pPr>
              <w:pStyle w:val="128"/>
              <w:numPr>
                <w:ilvl w:val="0"/>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WA: NGAP: Command Request procedure is a per single device procedure, and no need to have a Command Report procedure.</w:t>
            </w:r>
          </w:p>
          <w:p>
            <w:pPr>
              <w:pStyle w:val="128"/>
              <w:numPr>
                <w:ilvl w:val="0"/>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in both inside and outside of the Command related Transfer IEs in all the Command related messages.</w:t>
            </w:r>
          </w:p>
          <w:p>
            <w:pPr>
              <w:pStyle w:val="128"/>
              <w:numPr>
                <w:ilvl w:val="0"/>
                <w:numId w:val="3"/>
              </w:numPr>
              <w:overflowPunct/>
              <w:autoSpaceDE/>
              <w:autoSpaceDN/>
              <w:adjustRightInd/>
              <w:spacing w:after="0"/>
              <w:textAlignment w:val="auto"/>
              <w:rPr>
                <w:rFonts w:ascii="Calibri" w:hAnsi="Calibri" w:cs="Calibri"/>
                <w:b/>
                <w:color w:val="008000"/>
                <w:sz w:val="18"/>
                <w:szCs w:val="20"/>
              </w:rPr>
            </w:pPr>
            <w:r>
              <w:rPr>
                <w:rFonts w:ascii="Calibri" w:hAnsi="Calibri" w:eastAsia="等线"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Command related Transfer IEs in all the command related messages. </w:t>
            </w:r>
          </w:p>
          <w:p>
            <w:pPr>
              <w:pStyle w:val="128"/>
              <w:numPr>
                <w:ilvl w:val="0"/>
                <w:numId w:val="3"/>
              </w:numPr>
              <w:overflowPunct/>
              <w:autoSpaceDE/>
              <w:autoSpaceDN/>
              <w:adjustRightInd/>
              <w:spacing w:after="0"/>
              <w:textAlignment w:val="auto"/>
              <w:rPr>
                <w:rFonts w:ascii="Calibri" w:hAnsi="Calibri" w:eastAsia="等线" w:cs="Calibri"/>
                <w:b/>
                <w:color w:val="008000"/>
                <w:sz w:val="18"/>
                <w:szCs w:val="20"/>
              </w:rPr>
            </w:pPr>
            <w:r>
              <w:rPr>
                <w:rFonts w:ascii="Calibri" w:hAnsi="Calibri" w:eastAsia="等线" w:cs="Calibri"/>
                <w:b/>
                <w:color w:val="008000"/>
                <w:sz w:val="18"/>
                <w:szCs w:val="20"/>
              </w:rPr>
              <w:t xml:space="preserve">The </w:t>
            </w:r>
            <w:r>
              <w:rPr>
                <w:rFonts w:ascii="Calibri" w:hAnsi="Calibri" w:eastAsia="等线" w:cs="Calibri"/>
                <w:b/>
                <w:i/>
                <w:iCs/>
                <w:color w:val="008000"/>
                <w:sz w:val="18"/>
                <w:szCs w:val="20"/>
              </w:rPr>
              <w:t xml:space="preserve">Command Request Transfer </w:t>
            </w:r>
            <w:r>
              <w:rPr>
                <w:rFonts w:ascii="Calibri" w:hAnsi="Calibri" w:eastAsia="等线" w:cs="Calibri"/>
                <w:b/>
                <w:color w:val="008000"/>
                <w:sz w:val="18"/>
                <w:szCs w:val="20"/>
              </w:rPr>
              <w:t>IE, also includes the following:</w:t>
            </w:r>
          </w:p>
          <w:p>
            <w:pPr>
              <w:pStyle w:val="128"/>
              <w:numPr>
                <w:ilvl w:val="1"/>
                <w:numId w:val="3"/>
              </w:numPr>
              <w:overflowPunct/>
              <w:autoSpaceDE/>
              <w:autoSpaceDN/>
              <w:adjustRightInd/>
              <w:spacing w:after="0"/>
              <w:textAlignment w:val="auto"/>
              <w:rPr>
                <w:rFonts w:ascii="Calibri" w:hAnsi="Calibri" w:eastAsia="等线" w:cs="Calibri"/>
                <w:b/>
                <w:color w:val="008000"/>
                <w:sz w:val="18"/>
                <w:szCs w:val="20"/>
              </w:rPr>
            </w:pPr>
            <w:r>
              <w:rPr>
                <w:rFonts w:ascii="Calibri" w:hAnsi="Calibri" w:eastAsia="等线" w:cs="Calibri"/>
                <w:b/>
                <w:color w:val="008000"/>
                <w:sz w:val="18"/>
                <w:szCs w:val="20"/>
              </w:rPr>
              <w:t>An A-IoT NAS PDU</w:t>
            </w:r>
          </w:p>
          <w:p>
            <w:pPr>
              <w:pStyle w:val="128"/>
              <w:numPr>
                <w:ilvl w:val="1"/>
                <w:numId w:val="3"/>
              </w:numPr>
              <w:overflowPunct/>
              <w:autoSpaceDE/>
              <w:autoSpaceDN/>
              <w:adjustRightInd/>
              <w:spacing w:after="0"/>
              <w:textAlignment w:val="auto"/>
              <w:rPr>
                <w:rFonts w:ascii="Calibri" w:hAnsi="Calibri" w:eastAsia="等线" w:cs="Calibri"/>
                <w:b/>
                <w:color w:val="008000"/>
                <w:sz w:val="18"/>
                <w:szCs w:val="20"/>
              </w:rPr>
            </w:pPr>
            <w:r>
              <w:rPr>
                <w:rFonts w:ascii="Calibri" w:hAnsi="Calibri" w:eastAsia="等线" w:cs="Calibri"/>
                <w:b/>
                <w:color w:val="008000"/>
                <w:sz w:val="18"/>
                <w:szCs w:val="20"/>
              </w:rPr>
              <w:t>Command Assistance Information: (Estimate of Expected D2R Message Size)</w:t>
            </w:r>
          </w:p>
          <w:p>
            <w:pPr>
              <w:pStyle w:val="128"/>
              <w:numPr>
                <w:ilvl w:val="1"/>
                <w:numId w:val="3"/>
              </w:numPr>
              <w:overflowPunct/>
              <w:autoSpaceDE/>
              <w:autoSpaceDN/>
              <w:adjustRightInd/>
              <w:spacing w:after="0"/>
              <w:textAlignment w:val="auto"/>
              <w:rPr>
                <w:rFonts w:ascii="Calibri" w:hAnsi="Calibri" w:eastAsia="MS Mincho" w:cs="Calibri"/>
                <w:b/>
                <w:color w:val="0000FF"/>
                <w:sz w:val="18"/>
                <w:szCs w:val="20"/>
              </w:rPr>
            </w:pPr>
            <w:r>
              <w:rPr>
                <w:rFonts w:ascii="Calibri" w:hAnsi="Calibri" w:eastAsia="MS Mincho" w:cs="Calibri"/>
                <w:b/>
                <w:color w:val="0000FF"/>
                <w:sz w:val="18"/>
                <w:szCs w:val="20"/>
              </w:rPr>
              <w:t>It is FFS whether the Command Assistance Information includes the Command Type (read, write, disable…)</w:t>
            </w:r>
          </w:p>
          <w:p>
            <w:pPr>
              <w:pStyle w:val="128"/>
              <w:numPr>
                <w:numId w:val="0"/>
              </w:numPr>
              <w:overflowPunct/>
              <w:autoSpaceDE/>
              <w:autoSpaceDN/>
              <w:adjustRightInd/>
              <w:spacing w:after="0"/>
              <w:textAlignment w:val="auto"/>
              <w:rPr>
                <w:rFonts w:hint="eastAsia" w:ascii="Calibri" w:hAnsi="Calibri" w:cs="Calibri"/>
                <w:b/>
                <w:color w:val="auto"/>
                <w:sz w:val="20"/>
                <w:szCs w:val="20"/>
                <w:lang w:val="en-US" w:eastAsia="zh-CN"/>
              </w:rPr>
            </w:pPr>
            <w:r>
              <w:rPr>
                <w:rFonts w:hint="eastAsia" w:ascii="Calibri" w:hAnsi="Calibri" w:cs="Calibri"/>
                <w:b/>
                <w:color w:val="auto"/>
                <w:sz w:val="20"/>
                <w:szCs w:val="20"/>
                <w:lang w:val="en-US" w:eastAsia="zh-CN"/>
              </w:rPr>
              <w:t>......</w:t>
            </w:r>
          </w:p>
          <w:p>
            <w:pPr>
              <w:pStyle w:val="128"/>
              <w:ind w:left="360"/>
              <w:rPr>
                <w:rFonts w:hint="default" w:ascii="Calibri" w:hAnsi="Calibri" w:cs="Calibri"/>
                <w:b/>
                <w:color w:val="auto"/>
                <w:sz w:val="20"/>
                <w:szCs w:val="20"/>
                <w:lang w:val="en-US" w:eastAsia="zh-CN"/>
              </w:rPr>
            </w:pPr>
            <w:r>
              <w:rPr>
                <w:rFonts w:ascii="Calibri" w:hAnsi="Calibri" w:eastAsia="MS Mincho" w:cs="Calibri"/>
                <w:b/>
                <w:color w:val="0000FF"/>
                <w:sz w:val="18"/>
                <w:szCs w:val="20"/>
              </w:rPr>
              <w:t>It is FFS whether to introduce the Device Association or a transaction ID, outside of the Transfer IEs, to allow parallel Command Request procedures for different devices between gNB and AMF.</w:t>
            </w:r>
          </w:p>
        </w:tc>
      </w:tr>
    </w:tbl>
    <w:p>
      <w:pPr>
        <w:rPr>
          <w:rFonts w:hint="eastAsia"/>
          <w:lang w:val="en-US" w:eastAsia="zh-CN"/>
        </w:rPr>
      </w:pPr>
    </w:p>
    <w:p>
      <w:pPr>
        <w:widowControl w:val="0"/>
        <w:spacing w:before="60" w:after="60" w:line="360" w:lineRule="auto"/>
        <w:jc w:val="both"/>
        <w:rPr>
          <w:lang w:eastAsia="zh-CN"/>
        </w:rPr>
      </w:pPr>
      <w:r>
        <w:rPr>
          <w:lang w:eastAsia="zh-CN"/>
        </w:rPr>
        <w:t>In this contribution, we discuss</w:t>
      </w:r>
      <w:r>
        <w:rPr>
          <w:rFonts w:hint="eastAsia"/>
          <w:lang w:val="en-US" w:eastAsia="zh-CN"/>
        </w:rPr>
        <w:t xml:space="preserve"> open issues of A-IoT</w:t>
      </w:r>
      <w:r>
        <w:rPr>
          <w:rFonts w:hint="eastAsia" w:ascii="Times New Roman" w:hAnsi="Times New Roman" w:eastAsia="宋体"/>
          <w:bCs/>
          <w:color w:val="000000"/>
          <w:lang w:val="en-US" w:eastAsia="zh-CN"/>
        </w:rPr>
        <w:t xml:space="preserve"> </w:t>
      </w:r>
      <w:r>
        <w:rPr>
          <w:rFonts w:hint="eastAsia" w:eastAsia="宋体"/>
          <w:bCs/>
          <w:color w:val="000000"/>
          <w:lang w:val="en-US" w:eastAsia="zh-CN"/>
        </w:rPr>
        <w:t>command</w:t>
      </w:r>
      <w:r>
        <w:rPr>
          <w:rFonts w:hint="eastAsia" w:ascii="Times New Roman" w:hAnsi="Times New Roman" w:eastAsia="宋体"/>
          <w:bCs/>
          <w:color w:val="000000"/>
          <w:lang w:val="en-US" w:eastAsia="zh-CN"/>
        </w:rPr>
        <w:t xml:space="preserve"> operation</w:t>
      </w:r>
      <w:r>
        <w:rPr>
          <w:rFonts w:hint="eastAsia" w:eastAsia="宋体"/>
          <w:bCs/>
          <w:color w:val="000000"/>
          <w:lang w:val="en-US" w:eastAsia="zh-CN"/>
        </w:rPr>
        <w:t>.</w:t>
      </w:r>
    </w:p>
    <w:p>
      <w:pPr>
        <w:pStyle w:val="2"/>
        <w:numPr>
          <w:ilvl w:val="0"/>
          <w:numId w:val="2"/>
        </w:numPr>
        <w:rPr>
          <w:rFonts w:hint="eastAsia"/>
          <w:i w:val="0"/>
          <w:iCs w:val="0"/>
          <w:highlight w:val="none"/>
          <w:lang w:val="en-US" w:eastAsia="zh-CN"/>
        </w:rPr>
      </w:pPr>
      <w:r>
        <w:t>Discussion</w:t>
      </w:r>
    </w:p>
    <w:p>
      <w:pPr>
        <w:ind w:left="0" w:leftChars="0"/>
        <w:jc w:val="both"/>
        <w:rPr>
          <w:rFonts w:hint="eastAsia"/>
          <w:i w:val="0"/>
          <w:iCs w:val="0"/>
          <w:highlight w:val="none"/>
          <w:lang w:val="en-US" w:eastAsia="zh-CN"/>
        </w:rPr>
      </w:pPr>
      <w:r>
        <w:rPr>
          <w:rFonts w:hint="eastAsia"/>
          <w:i w:val="0"/>
          <w:iCs w:val="0"/>
          <w:highlight w:val="none"/>
          <w:lang w:val="en-US" w:eastAsia="zh-CN"/>
        </w:rPr>
        <w:t xml:space="preserve">The Command Type (e.g., Read/Write/Disable) information is useful for uplink (UL) resource scheduling. </w:t>
      </w:r>
    </w:p>
    <w:p>
      <w:pPr>
        <w:numPr>
          <w:ilvl w:val="0"/>
          <w:numId w:val="4"/>
        </w:numPr>
        <w:ind w:left="420" w:leftChars="0" w:hanging="420" w:firstLineChars="0"/>
        <w:jc w:val="both"/>
        <w:rPr>
          <w:rFonts w:hint="default"/>
          <w:i w:val="0"/>
          <w:iCs w:val="0"/>
          <w:highlight w:val="none"/>
          <w:lang w:val="en-US" w:eastAsia="zh-CN"/>
        </w:rPr>
      </w:pPr>
      <w:r>
        <w:rPr>
          <w:rFonts w:hint="eastAsia"/>
          <w:b/>
          <w:bCs/>
          <w:i w:val="0"/>
          <w:iCs w:val="0"/>
          <w:highlight w:val="none"/>
          <w:lang w:val="en-US" w:eastAsia="zh-CN"/>
        </w:rPr>
        <w:t>Read:</w:t>
      </w:r>
      <w:r>
        <w:rPr>
          <w:rFonts w:hint="eastAsia"/>
          <w:i w:val="0"/>
          <w:iCs w:val="0"/>
          <w:highlight w:val="none"/>
          <w:lang w:val="en-US" w:eastAsia="zh-CN"/>
        </w:rPr>
        <w:t xml:space="preserve"> requires substantial UL resources to accommodate data retrieval from devices.</w:t>
      </w:r>
    </w:p>
    <w:p>
      <w:pPr>
        <w:numPr>
          <w:ilvl w:val="0"/>
          <w:numId w:val="4"/>
        </w:numPr>
        <w:ind w:left="420" w:leftChars="0" w:hanging="420" w:firstLineChars="0"/>
        <w:jc w:val="both"/>
        <w:rPr>
          <w:rFonts w:hint="eastAsia"/>
          <w:i w:val="0"/>
          <w:iCs w:val="0"/>
          <w:highlight w:val="none"/>
          <w:lang w:val="en-US" w:eastAsia="zh-CN"/>
        </w:rPr>
      </w:pPr>
      <w:r>
        <w:rPr>
          <w:rFonts w:hint="eastAsia"/>
          <w:b/>
          <w:bCs/>
          <w:i w:val="0"/>
          <w:iCs w:val="0"/>
          <w:highlight w:val="none"/>
          <w:lang w:val="en-US" w:eastAsia="zh-CN"/>
        </w:rPr>
        <w:t xml:space="preserve">Write/Disable: </w:t>
      </w:r>
      <w:r>
        <w:rPr>
          <w:rFonts w:hint="eastAsia"/>
          <w:i w:val="0"/>
          <w:iCs w:val="0"/>
          <w:highlight w:val="none"/>
          <w:lang w:val="en-US" w:eastAsia="zh-CN"/>
        </w:rPr>
        <w:t>only need minimal resources for acknowledgment (ACK/NACK).</w:t>
      </w:r>
    </w:p>
    <w:p>
      <w:pPr>
        <w:ind w:left="0" w:leftChars="0"/>
        <w:jc w:val="both"/>
        <w:rPr>
          <w:rFonts w:hint="eastAsia"/>
          <w:i w:val="0"/>
          <w:iCs w:val="0"/>
          <w:highlight w:val="none"/>
          <w:lang w:val="en-US" w:eastAsia="zh-CN"/>
        </w:rPr>
      </w:pPr>
      <w:r>
        <w:rPr>
          <w:rFonts w:hint="eastAsia"/>
          <w:i w:val="0"/>
          <w:iCs w:val="0"/>
          <w:highlight w:val="none"/>
          <w:lang w:val="en-US" w:eastAsia="zh-CN"/>
        </w:rPr>
        <w:t>By including the Command Type in the Command Assistance Information, the gNB can dynamically allocate resources based on the specific operation type. This avoids over-provisioning or under-provisioning resources, thereby improving spectral efficiency and reducing latency. Without explicit Command Type indication, the gNB would need to adopt a conservative inefficient approach, leading to inefficient resource utilization.</w:t>
      </w:r>
    </w:p>
    <w:p>
      <w:pPr>
        <w:ind w:left="0" w:leftChars="0"/>
        <w:jc w:val="both"/>
        <w:rPr>
          <w:rFonts w:hint="eastAsia"/>
          <w:i w:val="0"/>
          <w:iCs w:val="0"/>
          <w:highlight w:val="none"/>
          <w:lang w:val="en-US" w:eastAsia="zh-CN"/>
        </w:rPr>
      </w:pPr>
      <w:r>
        <w:rPr>
          <w:rFonts w:hint="eastAsia"/>
          <w:i w:val="0"/>
          <w:iCs w:val="0"/>
          <w:highlight w:val="none"/>
          <w:lang w:val="en-US" w:eastAsia="zh-CN"/>
        </w:rPr>
        <w:t>The inclusion of Command Type can be made optional, allowing the AIOTF to provide it only when the AF explicitly specifies the operation type. If omitted, the gNB can default to legacy scheduling mechanisms, ensuring backward compatibility.</w:t>
      </w:r>
    </w:p>
    <w:p>
      <w:pPr>
        <w:pStyle w:val="31"/>
        <w:spacing w:line="360" w:lineRule="auto"/>
        <w:jc w:val="both"/>
        <w:rPr>
          <w:rFonts w:hint="default" w:ascii="Times New Roman" w:hAnsi="Times New Roman" w:eastAsia="宋体"/>
          <w:b/>
          <w:bCs/>
          <w:color w:val="000000" w:themeColor="text1"/>
          <w:sz w:val="20"/>
          <w:szCs w:val="20"/>
          <w:lang w:val="en-US" w:eastAsia="zh-CN"/>
          <w14:textFill>
            <w14:solidFill>
              <w14:schemeClr w14:val="tx1"/>
            </w14:solidFill>
          </w14:textFill>
        </w:rPr>
      </w:pPr>
      <w:r>
        <w:rPr>
          <w:rFonts w:hint="eastAsia" w:ascii="Times New Roman" w:hAnsi="Times New Roman" w:eastAsia="宋体"/>
          <w:b/>
          <w:bCs/>
          <w:color w:val="000000" w:themeColor="text1"/>
          <w:sz w:val="20"/>
          <w:szCs w:val="20"/>
          <w:lang w:eastAsia="zh-CN"/>
          <w14:textFill>
            <w14:solidFill>
              <w14:schemeClr w14:val="tx1"/>
            </w14:solidFill>
          </w14:textFill>
        </w:rPr>
        <w:t xml:space="preserve">Proposal 1: </w:t>
      </w:r>
      <w:r>
        <w:rPr>
          <w:rFonts w:hint="eastAsia" w:ascii="Times New Roman" w:hAnsi="Times New Roman" w:eastAsia="宋体"/>
          <w:b/>
          <w:bCs/>
          <w:color w:val="000000" w:themeColor="text1"/>
          <w:sz w:val="20"/>
          <w:szCs w:val="20"/>
          <w:lang w:val="en-US" w:eastAsia="zh-CN"/>
          <w14:textFill>
            <w14:solidFill>
              <w14:schemeClr w14:val="tx1"/>
            </w14:solidFill>
          </w14:textFill>
        </w:rPr>
        <w:t>T</w:t>
      </w:r>
      <w:r>
        <w:rPr>
          <w:rFonts w:hint="eastAsia" w:ascii="Times New Roman" w:hAnsi="Times New Roman" w:eastAsia="宋体"/>
          <w:b/>
          <w:bCs/>
          <w:color w:val="000000" w:themeColor="text1"/>
          <w:sz w:val="20"/>
          <w:szCs w:val="20"/>
          <w:lang w:eastAsia="zh-CN"/>
          <w14:textFill>
            <w14:solidFill>
              <w14:schemeClr w14:val="tx1"/>
            </w14:solidFill>
          </w14:textFill>
        </w:rPr>
        <w:t>he Command Assistance Information includes the Command Type (read, write, disable)</w:t>
      </w:r>
      <w:r>
        <w:rPr>
          <w:rFonts w:hint="eastAsia" w:ascii="Times New Roman" w:hAnsi="Times New Roman" w:eastAsia="宋体"/>
          <w:b/>
          <w:bCs/>
          <w:color w:val="000000" w:themeColor="text1"/>
          <w:sz w:val="20"/>
          <w:szCs w:val="20"/>
          <w:lang w:val="en-US" w:eastAsia="zh-CN"/>
          <w14:textFill>
            <w14:solidFill>
              <w14:schemeClr w14:val="tx1"/>
            </w14:solidFill>
          </w14:textFill>
        </w:rPr>
        <w:t>.</w:t>
      </w:r>
    </w:p>
    <w:p>
      <w:pPr>
        <w:ind w:left="0" w:leftChars="0"/>
        <w:jc w:val="both"/>
        <w:rPr>
          <w:rFonts w:hint="eastAsia"/>
          <w:i w:val="0"/>
          <w:iCs w:val="0"/>
          <w:highlight w:val="none"/>
          <w:lang w:val="en-US" w:eastAsia="zh-CN"/>
        </w:rPr>
      </w:pPr>
      <w:r>
        <w:rPr>
          <w:rFonts w:hint="eastAsia"/>
          <w:i w:val="0"/>
          <w:iCs w:val="0"/>
          <w:highlight w:val="none"/>
          <w:lang w:val="en-US" w:eastAsia="zh-CN"/>
        </w:rPr>
        <w:t xml:space="preserve">Ambient IoT scenario often involve managing hundreds of devices simultaneously. In case of multiple devices (group of devices or all devices) operation (inventory and commond), it should be supported that parallel transactions between the gNB and AIOTF for the command transmissions for different devices. </w:t>
      </w:r>
    </w:p>
    <w:p>
      <w:pPr>
        <w:ind w:left="0" w:leftChars="0"/>
        <w:jc w:val="both"/>
        <w:rPr>
          <w:rFonts w:hint="eastAsia"/>
          <w:i w:val="0"/>
          <w:iCs w:val="0"/>
          <w:highlight w:val="none"/>
          <w:lang w:val="en-US" w:eastAsia="zh-CN"/>
        </w:rPr>
      </w:pPr>
      <w:r>
        <w:rPr>
          <w:rFonts w:hint="eastAsia"/>
          <w:i w:val="0"/>
          <w:iCs w:val="0"/>
          <w:highlight w:val="none"/>
          <w:lang w:val="en-US" w:eastAsia="zh-CN"/>
        </w:rPr>
        <w:t>Without a mechanism to distinguish transactions for different devices, the gNB cannot efficiently handle parallel Command Requests. For example, if multiple devices are targeted with "Read" commands, the gNB must uniquely associate responses with their respective requests to avoid misdelivery.</w:t>
      </w:r>
    </w:p>
    <w:p>
      <w:pPr>
        <w:ind w:left="0" w:leftChars="0"/>
        <w:jc w:val="both"/>
        <w:rPr>
          <w:rFonts w:hint="default"/>
          <w:i w:val="0"/>
          <w:iCs w:val="0"/>
          <w:highlight w:val="none"/>
          <w:lang w:val="en-US" w:eastAsia="zh-CN"/>
        </w:rPr>
      </w:pPr>
      <w:r>
        <w:rPr>
          <w:rFonts w:hint="eastAsia" w:ascii="Times New Roman" w:hAnsi="Times New Roman" w:eastAsia="宋体"/>
          <w:b/>
          <w:bCs/>
          <w:color w:val="000000" w:themeColor="text1"/>
          <w:sz w:val="20"/>
          <w:szCs w:val="20"/>
          <w:lang w:eastAsia="zh-CN"/>
          <w14:textFill>
            <w14:solidFill>
              <w14:schemeClr w14:val="tx1"/>
            </w14:solidFill>
          </w14:textFill>
        </w:rPr>
        <w:t xml:space="preserve">Proposal </w:t>
      </w:r>
      <w:r>
        <w:rPr>
          <w:rFonts w:hint="eastAsia" w:ascii="Times New Roman" w:hAnsi="Times New Roman" w:eastAsia="宋体"/>
          <w:b/>
          <w:bCs/>
          <w:color w:val="000000" w:themeColor="text1"/>
          <w:sz w:val="20"/>
          <w:szCs w:val="20"/>
          <w:lang w:val="en-US" w:eastAsia="zh-CN"/>
          <w14:textFill>
            <w14:solidFill>
              <w14:schemeClr w14:val="tx1"/>
            </w14:solidFill>
          </w14:textFill>
        </w:rPr>
        <w:t>2</w:t>
      </w:r>
      <w:r>
        <w:rPr>
          <w:rFonts w:hint="eastAsia" w:ascii="Times New Roman" w:hAnsi="Times New Roman" w:eastAsia="宋体"/>
          <w:b/>
          <w:bCs/>
          <w:color w:val="000000" w:themeColor="text1"/>
          <w:sz w:val="20"/>
          <w:szCs w:val="20"/>
          <w:lang w:eastAsia="zh-CN"/>
          <w14:textFill>
            <w14:solidFill>
              <w14:schemeClr w14:val="tx1"/>
            </w14:solidFill>
          </w14:textFill>
        </w:rPr>
        <w:t xml:space="preserve">: </w:t>
      </w:r>
      <w:r>
        <w:rPr>
          <w:rFonts w:hint="eastAsia" w:eastAsia="宋体"/>
          <w:b/>
          <w:bCs/>
          <w:color w:val="000000" w:themeColor="text1"/>
          <w:sz w:val="20"/>
          <w:szCs w:val="20"/>
          <w:lang w:val="en-US" w:eastAsia="zh-CN"/>
          <w14:textFill>
            <w14:solidFill>
              <w14:schemeClr w14:val="tx1"/>
            </w14:solidFill>
          </w14:textFill>
        </w:rPr>
        <w:t>I</w:t>
      </w:r>
      <w:r>
        <w:rPr>
          <w:rFonts w:hint="eastAsia" w:ascii="Times New Roman" w:hAnsi="Times New Roman" w:eastAsia="宋体"/>
          <w:b/>
          <w:bCs/>
          <w:color w:val="000000" w:themeColor="text1"/>
          <w:sz w:val="20"/>
          <w:szCs w:val="20"/>
          <w:lang w:eastAsia="zh-CN"/>
          <w14:textFill>
            <w14:solidFill>
              <w14:schemeClr w14:val="tx1"/>
            </w14:solidFill>
          </w14:textFill>
        </w:rPr>
        <w:t>ntroduce the Device Association or a transaction ID, outside of the Transfer IEs, to allow parallel Command Request procedures for different devices between gNB and AMF.</w:t>
      </w:r>
    </w:p>
    <w:p>
      <w:pPr>
        <w:ind w:left="0" w:leftChars="0"/>
        <w:jc w:val="both"/>
        <w:rPr>
          <w:rFonts w:hint="default"/>
          <w:i w:val="0"/>
          <w:iCs w:val="0"/>
          <w:highlight w:val="none"/>
          <w:lang w:val="en-US" w:eastAsia="zh-CN"/>
        </w:rPr>
      </w:pPr>
      <w:r>
        <w:rPr>
          <w:rFonts w:hint="eastAsia"/>
          <w:i w:val="0"/>
          <w:iCs w:val="0"/>
          <w:highlight w:val="none"/>
          <w:lang w:val="en-US" w:eastAsia="zh-CN"/>
        </w:rPr>
        <w:t>For introducing Device Association or a transaction ID, both options are feasible.</w:t>
      </w:r>
    </w:p>
    <w:p>
      <w:pPr>
        <w:numPr>
          <w:ilvl w:val="0"/>
          <w:numId w:val="4"/>
        </w:numPr>
        <w:ind w:left="420" w:leftChars="0" w:hanging="420" w:firstLineChars="0"/>
        <w:jc w:val="both"/>
        <w:rPr>
          <w:rFonts w:hint="eastAsia"/>
          <w:b w:val="0"/>
          <w:bCs w:val="0"/>
          <w:i w:val="0"/>
          <w:iCs w:val="0"/>
          <w:highlight w:val="none"/>
          <w:lang w:val="en-US" w:eastAsia="zh-CN"/>
        </w:rPr>
      </w:pPr>
      <w:r>
        <w:rPr>
          <w:rFonts w:hint="eastAsia"/>
          <w:b/>
          <w:bCs/>
          <w:i w:val="0"/>
          <w:iCs w:val="0"/>
          <w:highlight w:val="none"/>
          <w:lang w:val="en-US" w:eastAsia="zh-CN"/>
        </w:rPr>
        <w:t xml:space="preserve">Device Association: </w:t>
      </w:r>
      <w:r>
        <w:rPr>
          <w:rFonts w:hint="eastAsia"/>
          <w:b w:val="0"/>
          <w:bCs w:val="0"/>
          <w:i w:val="0"/>
          <w:iCs w:val="0"/>
          <w:highlight w:val="none"/>
          <w:lang w:val="en-US" w:eastAsia="zh-CN"/>
        </w:rPr>
        <w:t>Leverages e</w:t>
      </w:r>
      <w:bookmarkStart w:id="3" w:name="_GoBack"/>
      <w:bookmarkEnd w:id="3"/>
      <w:r>
        <w:rPr>
          <w:rFonts w:hint="eastAsia"/>
          <w:b w:val="0"/>
          <w:bCs w:val="0"/>
          <w:i w:val="0"/>
          <w:iCs w:val="0"/>
          <w:highlight w:val="none"/>
          <w:lang w:val="en-US" w:eastAsia="zh-CN"/>
        </w:rPr>
        <w:t>xisting mechanisms (e.g., RAN Device NGAP ID), it requires minimal additional standardization impact.</w:t>
      </w:r>
    </w:p>
    <w:p>
      <w:pPr>
        <w:numPr>
          <w:ilvl w:val="0"/>
          <w:numId w:val="4"/>
        </w:numPr>
        <w:ind w:left="420" w:leftChars="0" w:hanging="420" w:firstLineChars="0"/>
        <w:jc w:val="both"/>
        <w:rPr>
          <w:rFonts w:hint="eastAsia"/>
          <w:b w:val="0"/>
          <w:bCs w:val="0"/>
          <w:i w:val="0"/>
          <w:iCs w:val="0"/>
          <w:highlight w:val="none"/>
          <w:lang w:val="en-US" w:eastAsia="zh-CN"/>
        </w:rPr>
      </w:pPr>
      <w:r>
        <w:rPr>
          <w:rFonts w:hint="eastAsia"/>
          <w:b/>
          <w:bCs/>
          <w:i w:val="0"/>
          <w:iCs w:val="0"/>
          <w:highlight w:val="none"/>
          <w:lang w:val="en-US" w:eastAsia="zh-CN"/>
        </w:rPr>
        <w:t xml:space="preserve">Transaction ID: </w:t>
      </w:r>
      <w:r>
        <w:rPr>
          <w:rFonts w:hint="eastAsia"/>
          <w:b w:val="0"/>
          <w:bCs w:val="0"/>
          <w:i w:val="0"/>
          <w:iCs w:val="0"/>
          <w:highlight w:val="none"/>
          <w:lang w:val="en-US" w:eastAsia="zh-CN"/>
        </w:rPr>
        <w:t>A lightweight integer field added to Command Request/Response messages, it requires negligible signaling overhead.</w:t>
      </w:r>
    </w:p>
    <w:p>
      <w:pPr>
        <w:pStyle w:val="2"/>
        <w:numPr>
          <w:ilvl w:val="0"/>
          <w:numId w:val="2"/>
        </w:numPr>
      </w:pPr>
      <w:r>
        <w:t>Conclusion</w:t>
      </w:r>
    </w:p>
    <w:p>
      <w:pPr>
        <w:pStyle w:val="22"/>
        <w:ind w:left="0" w:firstLine="0"/>
        <w:rPr>
          <w:b w:val="0"/>
          <w:bCs/>
          <w:lang w:eastAsia="zh-CN"/>
        </w:rPr>
      </w:pPr>
      <w:r>
        <w:rPr>
          <w:rFonts w:hint="eastAsia"/>
          <w:b w:val="0"/>
          <w:bCs/>
          <w:lang w:eastAsia="zh-CN"/>
        </w:rPr>
        <w:t>I</w:t>
      </w:r>
      <w:r>
        <w:rPr>
          <w:b w:val="0"/>
          <w:bCs/>
          <w:lang w:eastAsia="zh-CN"/>
        </w:rPr>
        <w:t>n this paper,</w:t>
      </w:r>
      <w:r>
        <w:rPr>
          <w:rFonts w:hint="eastAsia"/>
          <w:b w:val="0"/>
          <w:bCs/>
          <w:lang w:val="en-US" w:eastAsia="zh-CN"/>
        </w:rPr>
        <w:t xml:space="preserve"> </w:t>
      </w:r>
      <w:r>
        <w:rPr>
          <w:b w:val="0"/>
          <w:bCs/>
          <w:lang w:eastAsia="zh-CN"/>
        </w:rPr>
        <w:t>the following proposals are made:</w:t>
      </w:r>
    </w:p>
    <w:p>
      <w:pPr>
        <w:pStyle w:val="31"/>
        <w:spacing w:line="360" w:lineRule="auto"/>
        <w:jc w:val="both"/>
        <w:rPr>
          <w:rFonts w:hint="default" w:ascii="Times New Roman" w:hAnsi="Times New Roman" w:eastAsia="宋体"/>
          <w:b/>
          <w:bCs/>
          <w:color w:val="000000" w:themeColor="text1"/>
          <w:sz w:val="20"/>
          <w:szCs w:val="20"/>
          <w:lang w:val="en-US" w:eastAsia="zh-CN"/>
          <w14:textFill>
            <w14:solidFill>
              <w14:schemeClr w14:val="tx1"/>
            </w14:solidFill>
          </w14:textFill>
        </w:rPr>
      </w:pPr>
      <w:r>
        <w:rPr>
          <w:rFonts w:hint="eastAsia" w:ascii="Times New Roman" w:hAnsi="Times New Roman" w:eastAsia="宋体"/>
          <w:b/>
          <w:bCs/>
          <w:color w:val="000000" w:themeColor="text1"/>
          <w:sz w:val="20"/>
          <w:szCs w:val="20"/>
          <w:lang w:eastAsia="zh-CN"/>
          <w14:textFill>
            <w14:solidFill>
              <w14:schemeClr w14:val="tx1"/>
            </w14:solidFill>
          </w14:textFill>
        </w:rPr>
        <w:t xml:space="preserve">Proposal 1: </w:t>
      </w:r>
      <w:r>
        <w:rPr>
          <w:rFonts w:hint="eastAsia" w:ascii="Times New Roman" w:hAnsi="Times New Roman" w:eastAsia="宋体"/>
          <w:b/>
          <w:bCs/>
          <w:color w:val="000000" w:themeColor="text1"/>
          <w:sz w:val="20"/>
          <w:szCs w:val="20"/>
          <w:lang w:val="en-US" w:eastAsia="zh-CN"/>
          <w14:textFill>
            <w14:solidFill>
              <w14:schemeClr w14:val="tx1"/>
            </w14:solidFill>
          </w14:textFill>
        </w:rPr>
        <w:t>T</w:t>
      </w:r>
      <w:r>
        <w:rPr>
          <w:rFonts w:hint="eastAsia" w:ascii="Times New Roman" w:hAnsi="Times New Roman" w:eastAsia="宋体"/>
          <w:b/>
          <w:bCs/>
          <w:color w:val="000000" w:themeColor="text1"/>
          <w:sz w:val="20"/>
          <w:szCs w:val="20"/>
          <w:lang w:eastAsia="zh-CN"/>
          <w14:textFill>
            <w14:solidFill>
              <w14:schemeClr w14:val="tx1"/>
            </w14:solidFill>
          </w14:textFill>
        </w:rPr>
        <w:t>he Command Assistance Information includes the Command Type (read, write, disable)</w:t>
      </w:r>
      <w:r>
        <w:rPr>
          <w:rFonts w:hint="eastAsia" w:ascii="Times New Roman" w:hAnsi="Times New Roman" w:eastAsia="宋体"/>
          <w:b/>
          <w:bCs/>
          <w:color w:val="000000" w:themeColor="text1"/>
          <w:sz w:val="20"/>
          <w:szCs w:val="20"/>
          <w:lang w:val="en-US" w:eastAsia="zh-CN"/>
          <w14:textFill>
            <w14:solidFill>
              <w14:schemeClr w14:val="tx1"/>
            </w14:solidFill>
          </w14:textFill>
        </w:rPr>
        <w:t>.</w:t>
      </w:r>
    </w:p>
    <w:p>
      <w:pPr>
        <w:ind w:left="0" w:leftChars="0"/>
        <w:jc w:val="both"/>
        <w:rPr>
          <w:rFonts w:hint="default"/>
          <w:i w:val="0"/>
          <w:iCs w:val="0"/>
          <w:highlight w:val="none"/>
          <w:lang w:val="en-US" w:eastAsia="zh-CN"/>
        </w:rPr>
      </w:pPr>
      <w:r>
        <w:rPr>
          <w:rFonts w:hint="eastAsia" w:ascii="Times New Roman" w:hAnsi="Times New Roman" w:eastAsia="宋体"/>
          <w:b/>
          <w:bCs/>
          <w:color w:val="000000" w:themeColor="text1"/>
          <w:sz w:val="20"/>
          <w:szCs w:val="20"/>
          <w:lang w:eastAsia="zh-CN"/>
          <w14:textFill>
            <w14:solidFill>
              <w14:schemeClr w14:val="tx1"/>
            </w14:solidFill>
          </w14:textFill>
        </w:rPr>
        <w:t xml:space="preserve">Proposal </w:t>
      </w:r>
      <w:r>
        <w:rPr>
          <w:rFonts w:hint="eastAsia" w:ascii="Times New Roman" w:hAnsi="Times New Roman" w:eastAsia="宋体"/>
          <w:b/>
          <w:bCs/>
          <w:color w:val="000000" w:themeColor="text1"/>
          <w:sz w:val="20"/>
          <w:szCs w:val="20"/>
          <w:lang w:val="en-US" w:eastAsia="zh-CN"/>
          <w14:textFill>
            <w14:solidFill>
              <w14:schemeClr w14:val="tx1"/>
            </w14:solidFill>
          </w14:textFill>
        </w:rPr>
        <w:t>2</w:t>
      </w:r>
      <w:r>
        <w:rPr>
          <w:rFonts w:hint="eastAsia" w:ascii="Times New Roman" w:hAnsi="Times New Roman" w:eastAsia="宋体"/>
          <w:b/>
          <w:bCs/>
          <w:color w:val="000000" w:themeColor="text1"/>
          <w:sz w:val="20"/>
          <w:szCs w:val="20"/>
          <w:lang w:eastAsia="zh-CN"/>
          <w14:textFill>
            <w14:solidFill>
              <w14:schemeClr w14:val="tx1"/>
            </w14:solidFill>
          </w14:textFill>
        </w:rPr>
        <w:t xml:space="preserve">: </w:t>
      </w:r>
      <w:r>
        <w:rPr>
          <w:rFonts w:hint="eastAsia" w:eastAsia="宋体"/>
          <w:b/>
          <w:bCs/>
          <w:color w:val="000000" w:themeColor="text1"/>
          <w:sz w:val="20"/>
          <w:szCs w:val="20"/>
          <w:lang w:val="en-US" w:eastAsia="zh-CN"/>
          <w14:textFill>
            <w14:solidFill>
              <w14:schemeClr w14:val="tx1"/>
            </w14:solidFill>
          </w14:textFill>
        </w:rPr>
        <w:t>I</w:t>
      </w:r>
      <w:r>
        <w:rPr>
          <w:rFonts w:hint="eastAsia" w:ascii="Times New Roman" w:hAnsi="Times New Roman" w:eastAsia="宋体"/>
          <w:b/>
          <w:bCs/>
          <w:color w:val="000000" w:themeColor="text1"/>
          <w:sz w:val="20"/>
          <w:szCs w:val="20"/>
          <w:lang w:eastAsia="zh-CN"/>
          <w14:textFill>
            <w14:solidFill>
              <w14:schemeClr w14:val="tx1"/>
            </w14:solidFill>
          </w14:textFill>
        </w:rPr>
        <w:t>ntroduce the Device Association or a transaction ID, outside of the Transfer IEs, to allow parallel Command Request procedures for different devices between gNB and AMF.</w:t>
      </w:r>
    </w:p>
    <w:p>
      <w:pPr>
        <w:pStyle w:val="2"/>
        <w:numPr>
          <w:ilvl w:val="0"/>
          <w:numId w:val="2"/>
        </w:numPr>
      </w:pPr>
      <w:r>
        <w:t>Reference</w:t>
      </w:r>
    </w:p>
    <w:p>
      <w:pPr>
        <w:rPr>
          <w:rFonts w:hint="default"/>
          <w:lang w:val="en-US" w:eastAsia="zh-CN"/>
        </w:rPr>
      </w:pPr>
      <w:bookmarkStart w:id="2" w:name="_Hlk188466232"/>
      <w:r>
        <w:rPr>
          <w:rFonts w:hint="eastAsia"/>
          <w:lang w:eastAsia="zh-CN"/>
        </w:rPr>
        <w:t>[1]</w:t>
      </w:r>
      <w:bookmarkEnd w:id="2"/>
      <w:r>
        <w:rPr>
          <w:rFonts w:hint="eastAsia"/>
          <w:lang w:eastAsia="zh-CN"/>
        </w:rPr>
        <w:t xml:space="preserve"> RAN3 #127-bis Meeting Report</w:t>
      </w:r>
      <w:r>
        <w:rPr>
          <w:rFonts w:hint="eastAsia"/>
          <w:lang w:val="en-US" w:eastAsia="zh-CN"/>
        </w:rPr>
        <w:t xml:space="preserve">, </w:t>
      </w:r>
      <w:r>
        <w:rPr>
          <w:rFonts w:hint="eastAsia"/>
          <w:lang w:eastAsia="zh-CN"/>
        </w:rPr>
        <w:t>Wuhan</w:t>
      </w:r>
      <w:r>
        <w:rPr>
          <w:rFonts w:hint="eastAsia"/>
          <w:lang w:val="en-US" w:eastAsia="zh-CN"/>
        </w:rPr>
        <w:t>, China</w:t>
      </w:r>
    </w:p>
    <w:p>
      <w:pPr>
        <w:rPr>
          <w:b/>
          <w:bCs/>
          <w:i/>
          <w:iCs/>
          <w:color w:val="0070C0"/>
          <w:sz w:val="24"/>
          <w:szCs w:val="24"/>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6CD48"/>
    <w:multiLevelType w:val="singleLevel"/>
    <w:tmpl w:val="9C46CD48"/>
    <w:lvl w:ilvl="0" w:tentative="0">
      <w:start w:val="1"/>
      <w:numFmt w:val="bullet"/>
      <w:lvlText w:val=""/>
      <w:lvlJc w:val="left"/>
      <w:pPr>
        <w:ind w:left="420" w:hanging="420"/>
      </w:pPr>
      <w:rPr>
        <w:rFonts w:hint="default" w:ascii="Wingdings" w:hAnsi="Wingdings"/>
      </w:rPr>
    </w:lvl>
  </w:abstractNum>
  <w:abstractNum w:abstractNumId="1">
    <w:nsid w:val="36A34518"/>
    <w:multiLevelType w:val="multilevel"/>
    <w:tmpl w:val="36A34518"/>
    <w:lvl w:ilvl="0" w:tentative="0">
      <w:start w:val="1"/>
      <w:numFmt w:val="decimal"/>
      <w:pStyle w:val="121"/>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6E814EE"/>
    <w:multiLevelType w:val="multilevel"/>
    <w:tmpl w:val="66E814EE"/>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DA23887"/>
    <w:multiLevelType w:val="multilevel"/>
    <w:tmpl w:val="6DA23887"/>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B1E3F"/>
    <w:rsid w:val="000C038A"/>
    <w:rsid w:val="000C4B32"/>
    <w:rsid w:val="000C5B85"/>
    <w:rsid w:val="000C6598"/>
    <w:rsid w:val="000D6382"/>
    <w:rsid w:val="000E1199"/>
    <w:rsid w:val="000F23FA"/>
    <w:rsid w:val="000F3BE4"/>
    <w:rsid w:val="00112C4C"/>
    <w:rsid w:val="00145D43"/>
    <w:rsid w:val="001562B4"/>
    <w:rsid w:val="0016286B"/>
    <w:rsid w:val="001670C1"/>
    <w:rsid w:val="001763A1"/>
    <w:rsid w:val="00191183"/>
    <w:rsid w:val="00192C46"/>
    <w:rsid w:val="001A2DEA"/>
    <w:rsid w:val="001A5989"/>
    <w:rsid w:val="001A7B60"/>
    <w:rsid w:val="001B6CDC"/>
    <w:rsid w:val="001B7A65"/>
    <w:rsid w:val="001D2CB8"/>
    <w:rsid w:val="001E41F3"/>
    <w:rsid w:val="001E48D4"/>
    <w:rsid w:val="001F6DCE"/>
    <w:rsid w:val="002137ED"/>
    <w:rsid w:val="002218D6"/>
    <w:rsid w:val="0024413D"/>
    <w:rsid w:val="002442D4"/>
    <w:rsid w:val="002515A5"/>
    <w:rsid w:val="00255E1D"/>
    <w:rsid w:val="0026004D"/>
    <w:rsid w:val="00262C39"/>
    <w:rsid w:val="002636A7"/>
    <w:rsid w:val="00274611"/>
    <w:rsid w:val="0027588B"/>
    <w:rsid w:val="00275D12"/>
    <w:rsid w:val="002769EB"/>
    <w:rsid w:val="00276F6C"/>
    <w:rsid w:val="002860C4"/>
    <w:rsid w:val="00290BBD"/>
    <w:rsid w:val="0029196F"/>
    <w:rsid w:val="002A37C8"/>
    <w:rsid w:val="002A47EF"/>
    <w:rsid w:val="002B23F9"/>
    <w:rsid w:val="002B24C6"/>
    <w:rsid w:val="002B5741"/>
    <w:rsid w:val="002B5B7A"/>
    <w:rsid w:val="002C216D"/>
    <w:rsid w:val="002C238A"/>
    <w:rsid w:val="002E595A"/>
    <w:rsid w:val="0030369B"/>
    <w:rsid w:val="00305409"/>
    <w:rsid w:val="00311A57"/>
    <w:rsid w:val="00317130"/>
    <w:rsid w:val="00317204"/>
    <w:rsid w:val="00341ABE"/>
    <w:rsid w:val="0035319E"/>
    <w:rsid w:val="00353346"/>
    <w:rsid w:val="003739ED"/>
    <w:rsid w:val="00376EE0"/>
    <w:rsid w:val="00384AE4"/>
    <w:rsid w:val="00386D07"/>
    <w:rsid w:val="00390818"/>
    <w:rsid w:val="00392B19"/>
    <w:rsid w:val="00396631"/>
    <w:rsid w:val="003A4E1D"/>
    <w:rsid w:val="003A5266"/>
    <w:rsid w:val="003B4754"/>
    <w:rsid w:val="003B5313"/>
    <w:rsid w:val="003B597F"/>
    <w:rsid w:val="003B7609"/>
    <w:rsid w:val="003C12C0"/>
    <w:rsid w:val="003D15E8"/>
    <w:rsid w:val="003E1A36"/>
    <w:rsid w:val="003E4FDD"/>
    <w:rsid w:val="003E7DB4"/>
    <w:rsid w:val="003F54CE"/>
    <w:rsid w:val="00401CFB"/>
    <w:rsid w:val="0040623E"/>
    <w:rsid w:val="004165D0"/>
    <w:rsid w:val="004242F1"/>
    <w:rsid w:val="00434FCB"/>
    <w:rsid w:val="00447131"/>
    <w:rsid w:val="00467657"/>
    <w:rsid w:val="00477480"/>
    <w:rsid w:val="00477891"/>
    <w:rsid w:val="004821D9"/>
    <w:rsid w:val="004839DB"/>
    <w:rsid w:val="004865D4"/>
    <w:rsid w:val="004A1950"/>
    <w:rsid w:val="004A20E3"/>
    <w:rsid w:val="004B2248"/>
    <w:rsid w:val="004B697B"/>
    <w:rsid w:val="004B75B7"/>
    <w:rsid w:val="004F242B"/>
    <w:rsid w:val="00501900"/>
    <w:rsid w:val="00504C45"/>
    <w:rsid w:val="005124D6"/>
    <w:rsid w:val="00512992"/>
    <w:rsid w:val="0051580D"/>
    <w:rsid w:val="00517BA1"/>
    <w:rsid w:val="00520062"/>
    <w:rsid w:val="00533072"/>
    <w:rsid w:val="00540E46"/>
    <w:rsid w:val="00546D8E"/>
    <w:rsid w:val="00564BDC"/>
    <w:rsid w:val="00564E95"/>
    <w:rsid w:val="00581960"/>
    <w:rsid w:val="005908FA"/>
    <w:rsid w:val="00592D74"/>
    <w:rsid w:val="00592FB9"/>
    <w:rsid w:val="005A69EE"/>
    <w:rsid w:val="005B487A"/>
    <w:rsid w:val="005C0A63"/>
    <w:rsid w:val="005C3130"/>
    <w:rsid w:val="005C4D70"/>
    <w:rsid w:val="005D1375"/>
    <w:rsid w:val="005D79D0"/>
    <w:rsid w:val="005E2C44"/>
    <w:rsid w:val="005E3D2A"/>
    <w:rsid w:val="005E4D8A"/>
    <w:rsid w:val="005F2108"/>
    <w:rsid w:val="005F436C"/>
    <w:rsid w:val="00601A27"/>
    <w:rsid w:val="0060567A"/>
    <w:rsid w:val="006137D5"/>
    <w:rsid w:val="00621188"/>
    <w:rsid w:val="0062207D"/>
    <w:rsid w:val="00625052"/>
    <w:rsid w:val="006257ED"/>
    <w:rsid w:val="0062763C"/>
    <w:rsid w:val="006310E9"/>
    <w:rsid w:val="006370F5"/>
    <w:rsid w:val="00646C7D"/>
    <w:rsid w:val="0066445F"/>
    <w:rsid w:val="006647F1"/>
    <w:rsid w:val="006760A7"/>
    <w:rsid w:val="00676A99"/>
    <w:rsid w:val="006804C7"/>
    <w:rsid w:val="00680F1E"/>
    <w:rsid w:val="006848B8"/>
    <w:rsid w:val="00690C44"/>
    <w:rsid w:val="00695808"/>
    <w:rsid w:val="006A5614"/>
    <w:rsid w:val="006B46FB"/>
    <w:rsid w:val="006D56BC"/>
    <w:rsid w:val="006E21FB"/>
    <w:rsid w:val="006E74F4"/>
    <w:rsid w:val="006F5D71"/>
    <w:rsid w:val="0071052A"/>
    <w:rsid w:val="00711130"/>
    <w:rsid w:val="0071763D"/>
    <w:rsid w:val="0072613B"/>
    <w:rsid w:val="007342B2"/>
    <w:rsid w:val="00742578"/>
    <w:rsid w:val="00762BC0"/>
    <w:rsid w:val="00765952"/>
    <w:rsid w:val="00766C72"/>
    <w:rsid w:val="007675A1"/>
    <w:rsid w:val="00773339"/>
    <w:rsid w:val="00775CD6"/>
    <w:rsid w:val="007767A3"/>
    <w:rsid w:val="00783656"/>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B1F20"/>
    <w:rsid w:val="008C4751"/>
    <w:rsid w:val="008D1EDE"/>
    <w:rsid w:val="008F3C83"/>
    <w:rsid w:val="008F686C"/>
    <w:rsid w:val="009017EE"/>
    <w:rsid w:val="00913222"/>
    <w:rsid w:val="00913548"/>
    <w:rsid w:val="00916443"/>
    <w:rsid w:val="00917C9F"/>
    <w:rsid w:val="00931273"/>
    <w:rsid w:val="00935E75"/>
    <w:rsid w:val="00936638"/>
    <w:rsid w:val="00955FBC"/>
    <w:rsid w:val="00957FD2"/>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2005"/>
    <w:rsid w:val="00A134E6"/>
    <w:rsid w:val="00A17864"/>
    <w:rsid w:val="00A20AB3"/>
    <w:rsid w:val="00A20E59"/>
    <w:rsid w:val="00A21256"/>
    <w:rsid w:val="00A246B6"/>
    <w:rsid w:val="00A3732B"/>
    <w:rsid w:val="00A47E70"/>
    <w:rsid w:val="00A53AEF"/>
    <w:rsid w:val="00A71BFF"/>
    <w:rsid w:val="00A7671C"/>
    <w:rsid w:val="00A768D7"/>
    <w:rsid w:val="00A957CD"/>
    <w:rsid w:val="00AB00C3"/>
    <w:rsid w:val="00AB1244"/>
    <w:rsid w:val="00AB2D0E"/>
    <w:rsid w:val="00AB533B"/>
    <w:rsid w:val="00AB5661"/>
    <w:rsid w:val="00AD1CD8"/>
    <w:rsid w:val="00AD2492"/>
    <w:rsid w:val="00AE5A38"/>
    <w:rsid w:val="00AE6E2C"/>
    <w:rsid w:val="00AF43A8"/>
    <w:rsid w:val="00AF4D82"/>
    <w:rsid w:val="00B02FCC"/>
    <w:rsid w:val="00B0416F"/>
    <w:rsid w:val="00B0502B"/>
    <w:rsid w:val="00B24807"/>
    <w:rsid w:val="00B258BB"/>
    <w:rsid w:val="00B437CA"/>
    <w:rsid w:val="00B50379"/>
    <w:rsid w:val="00B560B5"/>
    <w:rsid w:val="00B57961"/>
    <w:rsid w:val="00B66125"/>
    <w:rsid w:val="00B67B97"/>
    <w:rsid w:val="00B70BDD"/>
    <w:rsid w:val="00B76C75"/>
    <w:rsid w:val="00B968C8"/>
    <w:rsid w:val="00BA3EC5"/>
    <w:rsid w:val="00BB5DFC"/>
    <w:rsid w:val="00BD279D"/>
    <w:rsid w:val="00BD3DAC"/>
    <w:rsid w:val="00BD6BB8"/>
    <w:rsid w:val="00BE3B42"/>
    <w:rsid w:val="00BF423B"/>
    <w:rsid w:val="00C01F0B"/>
    <w:rsid w:val="00C12DBC"/>
    <w:rsid w:val="00C31B69"/>
    <w:rsid w:val="00C51E6C"/>
    <w:rsid w:val="00C5481B"/>
    <w:rsid w:val="00C573F0"/>
    <w:rsid w:val="00C6695C"/>
    <w:rsid w:val="00C74ED2"/>
    <w:rsid w:val="00C76DDA"/>
    <w:rsid w:val="00C945DB"/>
    <w:rsid w:val="00C95985"/>
    <w:rsid w:val="00C95B80"/>
    <w:rsid w:val="00CA6304"/>
    <w:rsid w:val="00CB0218"/>
    <w:rsid w:val="00CB3632"/>
    <w:rsid w:val="00CB512D"/>
    <w:rsid w:val="00CC5026"/>
    <w:rsid w:val="00CE52B2"/>
    <w:rsid w:val="00CE5C0E"/>
    <w:rsid w:val="00D03F9A"/>
    <w:rsid w:val="00D07574"/>
    <w:rsid w:val="00D104E0"/>
    <w:rsid w:val="00D105DC"/>
    <w:rsid w:val="00D11798"/>
    <w:rsid w:val="00D157AF"/>
    <w:rsid w:val="00D202FA"/>
    <w:rsid w:val="00D22483"/>
    <w:rsid w:val="00D30059"/>
    <w:rsid w:val="00D338B8"/>
    <w:rsid w:val="00D35F6F"/>
    <w:rsid w:val="00D608C3"/>
    <w:rsid w:val="00D61EF1"/>
    <w:rsid w:val="00D61FA8"/>
    <w:rsid w:val="00D63018"/>
    <w:rsid w:val="00D95B9C"/>
    <w:rsid w:val="00D96016"/>
    <w:rsid w:val="00DB66FE"/>
    <w:rsid w:val="00DD5724"/>
    <w:rsid w:val="00DE34CF"/>
    <w:rsid w:val="00DE6E1D"/>
    <w:rsid w:val="00E02866"/>
    <w:rsid w:val="00E15BA1"/>
    <w:rsid w:val="00E27E18"/>
    <w:rsid w:val="00E64117"/>
    <w:rsid w:val="00E70EE9"/>
    <w:rsid w:val="00E7392D"/>
    <w:rsid w:val="00E87E10"/>
    <w:rsid w:val="00E9743C"/>
    <w:rsid w:val="00EA32CF"/>
    <w:rsid w:val="00EB2397"/>
    <w:rsid w:val="00EB3F46"/>
    <w:rsid w:val="00EE057E"/>
    <w:rsid w:val="00EE0733"/>
    <w:rsid w:val="00EE2C7A"/>
    <w:rsid w:val="00EE7D7C"/>
    <w:rsid w:val="00EF376B"/>
    <w:rsid w:val="00EF3A19"/>
    <w:rsid w:val="00F03AED"/>
    <w:rsid w:val="00F03C76"/>
    <w:rsid w:val="00F10B0F"/>
    <w:rsid w:val="00F11694"/>
    <w:rsid w:val="00F2517E"/>
    <w:rsid w:val="00F25D98"/>
    <w:rsid w:val="00F300FB"/>
    <w:rsid w:val="00F3190B"/>
    <w:rsid w:val="00F3378A"/>
    <w:rsid w:val="00F33E2E"/>
    <w:rsid w:val="00F572FB"/>
    <w:rsid w:val="00F61596"/>
    <w:rsid w:val="00F67955"/>
    <w:rsid w:val="00F75006"/>
    <w:rsid w:val="00F77D84"/>
    <w:rsid w:val="00F9031B"/>
    <w:rsid w:val="00FA55A0"/>
    <w:rsid w:val="00FA6FED"/>
    <w:rsid w:val="00FB6386"/>
    <w:rsid w:val="00FB7DE3"/>
    <w:rsid w:val="00FC3D3D"/>
    <w:rsid w:val="00FE006E"/>
    <w:rsid w:val="00FE57B3"/>
    <w:rsid w:val="01F323F7"/>
    <w:rsid w:val="071A149F"/>
    <w:rsid w:val="152145D8"/>
    <w:rsid w:val="18B03A11"/>
    <w:rsid w:val="1EF90AFD"/>
    <w:rsid w:val="20E826AC"/>
    <w:rsid w:val="23AC5C96"/>
    <w:rsid w:val="2CE8063C"/>
    <w:rsid w:val="2F6F6D61"/>
    <w:rsid w:val="392B63C1"/>
    <w:rsid w:val="3CA1529C"/>
    <w:rsid w:val="48F8683C"/>
    <w:rsid w:val="7D140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left" w:pos="1560"/>
        <w:tab w:val="right" w:leader="dot" w:pos="9639"/>
      </w:tabs>
      <w:ind w:left="2268" w:hanging="2268"/>
    </w:pPr>
  </w:style>
  <w:style w:type="paragraph" w:styleId="16">
    <w:name w:val="toc 6"/>
    <w:basedOn w:val="17"/>
    <w:next w:val="1"/>
    <w:qFormat/>
    <w:uiPriority w:val="0"/>
    <w:pPr>
      <w:tabs>
        <w:tab w:val="left" w:pos="1560"/>
        <w:tab w:val="right" w:leader="dot" w:pos="9639"/>
      </w:tabs>
      <w:ind w:left="1985" w:hanging="1985"/>
    </w:pPr>
  </w:style>
  <w:style w:type="paragraph" w:styleId="17">
    <w:name w:val="toc 5"/>
    <w:basedOn w:val="18"/>
    <w:next w:val="1"/>
    <w:qFormat/>
    <w:uiPriority w:val="0"/>
    <w:pPr>
      <w:tabs>
        <w:tab w:val="left" w:pos="1560"/>
        <w:tab w:val="right" w:leader="dot" w:pos="9639"/>
      </w:tabs>
      <w:ind w:left="1701" w:hanging="1701"/>
    </w:pPr>
  </w:style>
  <w:style w:type="paragraph" w:styleId="18">
    <w:name w:val="toc 4"/>
    <w:basedOn w:val="19"/>
    <w:next w:val="1"/>
    <w:qFormat/>
    <w:uiPriority w:val="0"/>
    <w:pPr>
      <w:tabs>
        <w:tab w:val="left" w:pos="1560"/>
        <w:tab w:val="right" w:leader="dot" w:pos="9639"/>
      </w:tabs>
      <w:ind w:left="1418" w:hanging="1418"/>
    </w:pPr>
  </w:style>
  <w:style w:type="paragraph" w:styleId="19">
    <w:name w:val="toc 3"/>
    <w:basedOn w:val="20"/>
    <w:next w:val="1"/>
    <w:qFormat/>
    <w:uiPriority w:val="0"/>
    <w:pPr>
      <w:tabs>
        <w:tab w:val="left" w:pos="1560"/>
        <w:tab w:val="right" w:leader="dot" w:pos="9639"/>
      </w:tabs>
      <w:ind w:left="1134" w:hanging="1134"/>
    </w:pPr>
  </w:style>
  <w:style w:type="paragraph" w:styleId="20">
    <w:name w:val="toc 2"/>
    <w:basedOn w:val="21"/>
    <w:next w:val="1"/>
    <w:qFormat/>
    <w:uiPriority w:val="0"/>
    <w:pPr>
      <w:keepNext w:val="0"/>
      <w:tabs>
        <w:tab w:val="left" w:pos="1560"/>
        <w:tab w:val="right" w:leader="dot" w:pos="9639"/>
      </w:tabs>
      <w:spacing w:before="0" w:after="0"/>
      <w:ind w:left="851" w:hanging="851"/>
    </w:pPr>
    <w:rPr>
      <w:b w:val="0"/>
      <w:sz w:val="20"/>
    </w:rPr>
  </w:style>
  <w:style w:type="paragraph" w:styleId="21">
    <w:name w:val="toc 1"/>
    <w:basedOn w:val="22"/>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2">
    <w:name w:val="Proposal list"/>
    <w:basedOn w:val="1"/>
    <w:link w:val="123"/>
    <w:qFormat/>
    <w:uiPriority w:val="0"/>
    <w:pPr>
      <w:tabs>
        <w:tab w:val="left" w:pos="1560"/>
      </w:tabs>
      <w:ind w:left="1560" w:hanging="1134"/>
    </w:pPr>
    <w:rPr>
      <w:b/>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Document Map"/>
    <w:basedOn w:val="1"/>
    <w:link w:val="117"/>
    <w:qFormat/>
    <w:uiPriority w:val="0"/>
    <w:pPr>
      <w:shd w:val="clear" w:color="auto" w:fill="000080"/>
    </w:pPr>
    <w:rPr>
      <w:rFonts w:ascii="Tahoma" w:hAnsi="Tahoma" w:cs="Tahoma"/>
    </w:rPr>
  </w:style>
  <w:style w:type="paragraph" w:styleId="30">
    <w:name w:val="annotation text"/>
    <w:basedOn w:val="1"/>
    <w:link w:val="115"/>
    <w:qFormat/>
    <w:uiPriority w:val="0"/>
  </w:style>
  <w:style w:type="paragraph" w:styleId="31">
    <w:name w:val="Plain Text"/>
    <w:basedOn w:val="1"/>
    <w:unhideWhenUsed/>
    <w:qFormat/>
    <w:uiPriority w:val="99"/>
    <w:pPr>
      <w:overflowPunct/>
      <w:autoSpaceDE/>
      <w:autoSpaceDN/>
      <w:adjustRightInd/>
      <w:spacing w:after="0"/>
      <w:textAlignment w:val="auto"/>
    </w:pPr>
    <w:rPr>
      <w:rFonts w:ascii="Calibri" w:hAnsi="Calibri" w:eastAsia="Calibri"/>
      <w:sz w:val="22"/>
      <w:szCs w:val="21"/>
    </w:rPr>
  </w:style>
  <w:style w:type="paragraph" w:styleId="32">
    <w:name w:val="List Bullet 5"/>
    <w:basedOn w:val="25"/>
    <w:qFormat/>
    <w:uiPriority w:val="0"/>
    <w:pPr>
      <w:ind w:left="1702"/>
    </w:pPr>
  </w:style>
  <w:style w:type="paragraph" w:styleId="33">
    <w:name w:val="toc 8"/>
    <w:basedOn w:val="21"/>
    <w:next w:val="1"/>
    <w:qFormat/>
    <w:uiPriority w:val="0"/>
    <w:pPr>
      <w:tabs>
        <w:tab w:val="clear" w:pos="1560"/>
      </w:tabs>
      <w:spacing w:before="180" w:after="0"/>
      <w:ind w:left="2693" w:hanging="2693"/>
    </w:pPr>
  </w:style>
  <w:style w:type="paragraph" w:styleId="34">
    <w:name w:val="Balloon Text"/>
    <w:basedOn w:val="1"/>
    <w:link w:val="97"/>
    <w:qFormat/>
    <w:uiPriority w:val="0"/>
    <w:rPr>
      <w:rFonts w:ascii="Tahoma" w:hAnsi="Tahoma" w:cs="Tahoma"/>
      <w:sz w:val="16"/>
      <w:szCs w:val="16"/>
    </w:rPr>
  </w:style>
  <w:style w:type="paragraph" w:styleId="35">
    <w:name w:val="footer"/>
    <w:basedOn w:val="36"/>
    <w:link w:val="100"/>
    <w:qFormat/>
    <w:uiPriority w:val="0"/>
    <w:pPr>
      <w:jc w:val="center"/>
    </w:pPr>
    <w:rPr>
      <w:i/>
    </w:rPr>
  </w:style>
  <w:style w:type="paragraph" w:styleId="36">
    <w:name w:val="header"/>
    <w:link w:val="90"/>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114"/>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6"/>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5"/>
    <w:uiPriority w:val="0"/>
    <w:rPr>
      <w:b/>
    </w:rPr>
  </w:style>
  <w:style w:type="paragraph" w:customStyle="1" w:styleId="58">
    <w:name w:val="TAC"/>
    <w:basedOn w:val="59"/>
    <w:link w:val="94"/>
    <w:uiPriority w:val="0"/>
    <w:pPr>
      <w:jc w:val="center"/>
    </w:pPr>
  </w:style>
  <w:style w:type="paragraph" w:customStyle="1" w:styleId="59">
    <w:name w:val="TAL"/>
    <w:basedOn w:val="1"/>
    <w:link w:val="93"/>
    <w:qFormat/>
    <w:uiPriority w:val="0"/>
    <w:pPr>
      <w:keepNext/>
      <w:keepLines/>
      <w:spacing w:after="0"/>
    </w:pPr>
    <w:rPr>
      <w:rFonts w:ascii="Arial" w:hAnsi="Arial"/>
      <w:sz w:val="18"/>
    </w:rPr>
  </w:style>
  <w:style w:type="paragraph" w:customStyle="1" w:styleId="60">
    <w:name w:val="TF"/>
    <w:basedOn w:val="61"/>
    <w:link w:val="107"/>
    <w:qFormat/>
    <w:uiPriority w:val="0"/>
    <w:pPr>
      <w:keepNext w:val="0"/>
      <w:spacing w:before="0" w:after="240"/>
    </w:pPr>
  </w:style>
  <w:style w:type="paragraph" w:customStyle="1" w:styleId="61">
    <w:name w:val="TH"/>
    <w:basedOn w:val="1"/>
    <w:link w:val="106"/>
    <w:qFormat/>
    <w:uiPriority w:val="0"/>
    <w:pPr>
      <w:keepNext/>
      <w:keepLines/>
      <w:spacing w:before="60"/>
      <w:jc w:val="center"/>
    </w:pPr>
    <w:rPr>
      <w:rFonts w:ascii="Arial" w:hAnsi="Arial"/>
      <w:b/>
    </w:rPr>
  </w:style>
  <w:style w:type="paragraph" w:customStyle="1" w:styleId="62">
    <w:name w:val="NO"/>
    <w:basedOn w:val="1"/>
    <w:link w:val="101"/>
    <w:qFormat/>
    <w:uiPriority w:val="0"/>
    <w:pPr>
      <w:keepLines/>
      <w:ind w:left="1135" w:hanging="851"/>
    </w:pPr>
  </w:style>
  <w:style w:type="paragraph" w:customStyle="1" w:styleId="63">
    <w:name w:val="EX"/>
    <w:basedOn w:val="1"/>
    <w:link w:val="103"/>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0"/>
    <w:pPr>
      <w:jc w:val="right"/>
    </w:pPr>
  </w:style>
  <w:style w:type="paragraph" w:customStyle="1" w:styleId="72">
    <w:name w:val="TAN"/>
    <w:basedOn w:val="59"/>
    <w:uiPriority w:val="0"/>
    <w:pPr>
      <w:ind w:left="851" w:hanging="851"/>
    </w:pPr>
  </w:style>
  <w:style w:type="paragraph" w:customStyle="1" w:styleId="73">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5"/>
    <w:qFormat/>
    <w:uiPriority w:val="0"/>
    <w:rPr>
      <w:color w:val="FF0000"/>
    </w:rPr>
  </w:style>
  <w:style w:type="paragraph" w:customStyle="1" w:styleId="81">
    <w:name w:val="B1"/>
    <w:basedOn w:val="14"/>
    <w:link w:val="104"/>
    <w:qFormat/>
    <w:uiPriority w:val="0"/>
  </w:style>
  <w:style w:type="paragraph" w:customStyle="1" w:styleId="82">
    <w:name w:val="B2"/>
    <w:basedOn w:val="13"/>
    <w:link w:val="108"/>
    <w:qFormat/>
    <w:uiPriority w:val="0"/>
  </w:style>
  <w:style w:type="paragraph" w:customStyle="1" w:styleId="83">
    <w:name w:val="B3"/>
    <w:basedOn w:val="12"/>
    <w:link w:val="109"/>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0"/>
    <w:rPr>
      <w:rFonts w:ascii="Arial" w:hAnsi="Arial" w:cs="Times New Roman" w:eastAsiaTheme="minorEastAsia"/>
      <w:sz w:val="24"/>
      <w:lang w:val="en-GB" w:eastAsia="en-US" w:bidi="ar-SA"/>
    </w:rPr>
  </w:style>
  <w:style w:type="paragraph" w:customStyle="1" w:styleId="89">
    <w:name w:val="First Change"/>
    <w:basedOn w:val="1"/>
    <w:qFormat/>
    <w:uiPriority w:val="0"/>
    <w:pPr>
      <w:jc w:val="center"/>
    </w:pPr>
    <w:rPr>
      <w:color w:val="FF0000"/>
    </w:rPr>
  </w:style>
  <w:style w:type="character" w:customStyle="1" w:styleId="90">
    <w:name w:val="Header Char"/>
    <w:link w:val="36"/>
    <w:qFormat/>
    <w:uiPriority w:val="0"/>
    <w:rPr>
      <w:rFonts w:ascii="Arial" w:hAnsi="Arial"/>
      <w:b/>
      <w:sz w:val="18"/>
      <w:lang w:eastAsia="en-US"/>
    </w:rPr>
  </w:style>
  <w:style w:type="paragraph" w:customStyle="1" w:styleId="91">
    <w:name w:val="a"/>
    <w:basedOn w:val="87"/>
    <w:qFormat/>
    <w:uiPriority w:val="0"/>
    <w:pPr>
      <w:tabs>
        <w:tab w:val="left" w:pos="1985"/>
      </w:tabs>
    </w:pPr>
    <w:rPr>
      <w:rFonts w:cs="Arial"/>
      <w:b/>
      <w:bCs/>
      <w:color w:val="000000"/>
      <w:sz w:val="24"/>
      <w:szCs w:val="24"/>
      <w:lang w:val="en-US"/>
    </w:rPr>
  </w:style>
  <w:style w:type="paragraph" w:customStyle="1" w:styleId="92">
    <w:name w:val="Discussion"/>
    <w:basedOn w:val="1"/>
    <w:qFormat/>
    <w:uiPriority w:val="0"/>
    <w:rPr>
      <w:rFonts w:ascii="Arial" w:hAnsi="Arial" w:cs="Arial"/>
    </w:rPr>
  </w:style>
  <w:style w:type="character" w:customStyle="1" w:styleId="93">
    <w:name w:val="TAL Char"/>
    <w:link w:val="59"/>
    <w:qFormat/>
    <w:uiPriority w:val="0"/>
    <w:rPr>
      <w:rFonts w:ascii="Arial" w:hAnsi="Arial"/>
      <w:sz w:val="18"/>
      <w:lang w:val="en-GB"/>
    </w:rPr>
  </w:style>
  <w:style w:type="character" w:customStyle="1" w:styleId="94">
    <w:name w:val="TAC Char"/>
    <w:link w:val="58"/>
    <w:qFormat/>
    <w:uiPriority w:val="0"/>
    <w:rPr>
      <w:rFonts w:ascii="Arial" w:hAnsi="Arial"/>
      <w:sz w:val="18"/>
      <w:lang w:val="en-GB"/>
    </w:rPr>
  </w:style>
  <w:style w:type="character" w:customStyle="1" w:styleId="95">
    <w:name w:val="TAH Char"/>
    <w:link w:val="57"/>
    <w:qFormat/>
    <w:uiPriority w:val="0"/>
    <w:rPr>
      <w:rFonts w:ascii="Arial" w:hAnsi="Arial"/>
      <w:b/>
      <w:sz w:val="18"/>
      <w:lang w:val="en-GB"/>
    </w:rPr>
  </w:style>
  <w:style w:type="character" w:customStyle="1" w:styleId="96">
    <w:name w:val="Heading 4 Char"/>
    <w:link w:val="5"/>
    <w:qFormat/>
    <w:uiPriority w:val="0"/>
    <w:rPr>
      <w:rFonts w:ascii="Arial" w:hAnsi="Arial"/>
      <w:sz w:val="24"/>
      <w:lang w:val="en-GB"/>
    </w:rPr>
  </w:style>
  <w:style w:type="character" w:customStyle="1" w:styleId="97">
    <w:name w:val="Balloon Text Char"/>
    <w:link w:val="34"/>
    <w:qFormat/>
    <w:uiPriority w:val="0"/>
    <w:rPr>
      <w:rFonts w:ascii="Tahoma" w:hAnsi="Tahoma" w:cs="Tahoma"/>
      <w:sz w:val="16"/>
      <w:szCs w:val="16"/>
      <w:lang w:val="en-GB"/>
    </w:rPr>
  </w:style>
  <w:style w:type="character" w:customStyle="1" w:styleId="98">
    <w:name w:val="Heading 3 Char"/>
    <w:link w:val="4"/>
    <w:qFormat/>
    <w:uiPriority w:val="0"/>
    <w:rPr>
      <w:rFonts w:ascii="Arial" w:hAnsi="Arial"/>
      <w:sz w:val="28"/>
      <w:lang w:val="en-GB"/>
    </w:rPr>
  </w:style>
  <w:style w:type="character" w:customStyle="1" w:styleId="99">
    <w:name w:val="Heading 6 Char"/>
    <w:link w:val="7"/>
    <w:qFormat/>
    <w:uiPriority w:val="0"/>
    <w:rPr>
      <w:rFonts w:ascii="Arial" w:hAnsi="Arial"/>
      <w:lang w:val="en-GB"/>
    </w:rPr>
  </w:style>
  <w:style w:type="character" w:customStyle="1" w:styleId="100">
    <w:name w:val="Footer Char"/>
    <w:link w:val="35"/>
    <w:qFormat/>
    <w:uiPriority w:val="0"/>
    <w:rPr>
      <w:rFonts w:ascii="Arial" w:hAnsi="Arial"/>
      <w:b/>
      <w:i/>
      <w:sz w:val="18"/>
      <w:lang w:val="en-GB"/>
    </w:rPr>
  </w:style>
  <w:style w:type="character" w:customStyle="1" w:styleId="101">
    <w:name w:val="NO Char"/>
    <w:link w:val="62"/>
    <w:qFormat/>
    <w:uiPriority w:val="0"/>
    <w:rPr>
      <w:rFonts w:ascii="Times New Roman" w:hAnsi="Times New Roman"/>
      <w:lang w:val="en-GB"/>
    </w:rPr>
  </w:style>
  <w:style w:type="character" w:customStyle="1" w:styleId="102">
    <w:name w:val="PL Char"/>
    <w:link w:val="70"/>
    <w:qFormat/>
    <w:uiPriority w:val="0"/>
    <w:rPr>
      <w:rFonts w:ascii="Courier New" w:hAnsi="Courier New"/>
      <w:sz w:val="16"/>
      <w:lang w:val="en-GB"/>
    </w:rPr>
  </w:style>
  <w:style w:type="character" w:customStyle="1" w:styleId="103">
    <w:name w:val="EX Char"/>
    <w:link w:val="63"/>
    <w:qFormat/>
    <w:locked/>
    <w:uiPriority w:val="0"/>
    <w:rPr>
      <w:rFonts w:ascii="Times New Roman" w:hAnsi="Times New Roman"/>
      <w:lang w:val="en-GB"/>
    </w:rPr>
  </w:style>
  <w:style w:type="character" w:customStyle="1" w:styleId="104">
    <w:name w:val="B1 Char"/>
    <w:link w:val="81"/>
    <w:qFormat/>
    <w:uiPriority w:val="0"/>
    <w:rPr>
      <w:rFonts w:ascii="Times New Roman" w:hAnsi="Times New Roman"/>
      <w:lang w:val="en-GB"/>
    </w:rPr>
  </w:style>
  <w:style w:type="character" w:customStyle="1" w:styleId="105">
    <w:name w:val="Editor's Note Char"/>
    <w:link w:val="80"/>
    <w:qFormat/>
    <w:uiPriority w:val="0"/>
    <w:rPr>
      <w:rFonts w:ascii="Times New Roman" w:hAnsi="Times New Roman"/>
      <w:color w:val="FF0000"/>
      <w:lang w:val="en-GB"/>
    </w:rPr>
  </w:style>
  <w:style w:type="character" w:customStyle="1" w:styleId="106">
    <w:name w:val="TH Char"/>
    <w:link w:val="61"/>
    <w:qFormat/>
    <w:uiPriority w:val="0"/>
    <w:rPr>
      <w:rFonts w:ascii="Arial" w:hAnsi="Arial"/>
      <w:b/>
      <w:lang w:val="en-GB"/>
    </w:rPr>
  </w:style>
  <w:style w:type="character" w:customStyle="1" w:styleId="107">
    <w:name w:val="TF Char"/>
    <w:link w:val="60"/>
    <w:qFormat/>
    <w:uiPriority w:val="0"/>
    <w:rPr>
      <w:rFonts w:ascii="Arial" w:hAnsi="Arial"/>
      <w:b/>
      <w:lang w:val="en-GB"/>
    </w:rPr>
  </w:style>
  <w:style w:type="character" w:customStyle="1" w:styleId="108">
    <w:name w:val="B2 Char"/>
    <w:link w:val="82"/>
    <w:qFormat/>
    <w:uiPriority w:val="0"/>
    <w:rPr>
      <w:rFonts w:ascii="Times New Roman" w:hAnsi="Times New Roman"/>
      <w:lang w:val="en-GB"/>
    </w:rPr>
  </w:style>
  <w:style w:type="character" w:customStyle="1" w:styleId="109">
    <w:name w:val="B3 Char"/>
    <w:link w:val="83"/>
    <w:qFormat/>
    <w:uiPriority w:val="0"/>
    <w:rPr>
      <w:rFonts w:ascii="Times New Roman" w:hAnsi="Times New Roman"/>
      <w:lang w:val="en-GB"/>
    </w:rPr>
  </w:style>
  <w:style w:type="paragraph" w:customStyle="1" w:styleId="110">
    <w:name w:val="TAJ"/>
    <w:basedOn w:val="61"/>
    <w:qFormat/>
    <w:uiPriority w:val="0"/>
    <w:pPr>
      <w:overflowPunct w:val="0"/>
      <w:autoSpaceDE w:val="0"/>
      <w:autoSpaceDN w:val="0"/>
      <w:adjustRightInd w:val="0"/>
      <w:textAlignment w:val="baseline"/>
    </w:pPr>
  </w:style>
  <w:style w:type="paragraph" w:customStyle="1" w:styleId="111">
    <w:name w:val="Guidance"/>
    <w:basedOn w:val="1"/>
    <w:qFormat/>
    <w:uiPriority w:val="0"/>
    <w:pPr>
      <w:overflowPunct w:val="0"/>
      <w:autoSpaceDE w:val="0"/>
      <w:autoSpaceDN w:val="0"/>
      <w:adjustRightInd w:val="0"/>
      <w:textAlignment w:val="baseline"/>
    </w:pPr>
    <w:rPr>
      <w:i/>
      <w:color w:val="0000FF"/>
    </w:rPr>
  </w:style>
  <w:style w:type="paragraph" w:customStyle="1" w:styleId="112">
    <w:name w:val="Revision"/>
    <w:hidden/>
    <w:semiHidden/>
    <w:qFormat/>
    <w:uiPriority w:val="99"/>
    <w:rPr>
      <w:rFonts w:ascii="Times New Roman" w:hAnsi="Times New Roman" w:cs="Times New Roman" w:eastAsiaTheme="minorEastAsia"/>
      <w:lang w:val="en-GB" w:eastAsia="en-US" w:bidi="ar-SA"/>
    </w:rPr>
  </w:style>
  <w:style w:type="character" w:customStyle="1" w:styleId="113">
    <w:name w:val="Mention"/>
    <w:semiHidden/>
    <w:unhideWhenUsed/>
    <w:qFormat/>
    <w:uiPriority w:val="99"/>
    <w:rPr>
      <w:color w:val="2B579A"/>
      <w:shd w:val="clear" w:color="auto" w:fill="E6E6E6"/>
    </w:rPr>
  </w:style>
  <w:style w:type="character" w:customStyle="1" w:styleId="114">
    <w:name w:val="Footnote Text Char"/>
    <w:link w:val="37"/>
    <w:qFormat/>
    <w:uiPriority w:val="0"/>
    <w:rPr>
      <w:rFonts w:ascii="Times New Roman" w:hAnsi="Times New Roman"/>
      <w:sz w:val="16"/>
      <w:lang w:val="en-GB"/>
    </w:rPr>
  </w:style>
  <w:style w:type="character" w:customStyle="1" w:styleId="115">
    <w:name w:val="Comment Text Char"/>
    <w:link w:val="30"/>
    <w:qFormat/>
    <w:uiPriority w:val="0"/>
    <w:rPr>
      <w:rFonts w:ascii="Times New Roman" w:hAnsi="Times New Roman"/>
      <w:lang w:val="en-GB"/>
    </w:rPr>
  </w:style>
  <w:style w:type="character" w:customStyle="1" w:styleId="116">
    <w:name w:val="Comment Subject Char"/>
    <w:link w:val="44"/>
    <w:qFormat/>
    <w:uiPriority w:val="0"/>
    <w:rPr>
      <w:rFonts w:ascii="Times New Roman" w:hAnsi="Times New Roman"/>
      <w:b/>
      <w:bCs/>
      <w:lang w:val="en-GB"/>
    </w:rPr>
  </w:style>
  <w:style w:type="character" w:customStyle="1" w:styleId="117">
    <w:name w:val="Document Map Char"/>
    <w:link w:val="29"/>
    <w:qFormat/>
    <w:uiPriority w:val="0"/>
    <w:rPr>
      <w:rFonts w:ascii="Tahoma" w:hAnsi="Tahoma" w:cs="Tahoma"/>
      <w:shd w:val="clear" w:color="auto" w:fill="000080"/>
      <w:lang w:val="en-GB"/>
    </w:rPr>
  </w:style>
  <w:style w:type="paragraph" w:customStyle="1" w:styleId="118">
    <w:name w:val="Discusson B1"/>
    <w:basedOn w:val="92"/>
    <w:qFormat/>
    <w:uiPriority w:val="0"/>
    <w:pPr>
      <w:ind w:left="567" w:hanging="283"/>
    </w:pPr>
  </w:style>
  <w:style w:type="paragraph" w:customStyle="1" w:styleId="119">
    <w:name w:val="Discussion B2"/>
    <w:basedOn w:val="118"/>
    <w:qFormat/>
    <w:uiPriority w:val="0"/>
    <w:pPr>
      <w:ind w:left="851"/>
    </w:pPr>
  </w:style>
  <w:style w:type="character" w:customStyle="1" w:styleId="120">
    <w:name w:val="Unresolved Mention"/>
    <w:basedOn w:val="47"/>
    <w:semiHidden/>
    <w:unhideWhenUsed/>
    <w:qFormat/>
    <w:uiPriority w:val="99"/>
    <w:rPr>
      <w:color w:val="605E5C"/>
      <w:shd w:val="clear" w:color="auto" w:fill="E1DFDD"/>
    </w:rPr>
  </w:style>
  <w:style w:type="paragraph" w:customStyle="1" w:styleId="121">
    <w:name w:val="Proposal"/>
    <w:basedOn w:val="1"/>
    <w:link w:val="122"/>
    <w:qFormat/>
    <w:uiPriority w:val="0"/>
    <w:pPr>
      <w:numPr>
        <w:ilvl w:val="0"/>
        <w:numId w:val="1"/>
      </w:numPr>
      <w:tabs>
        <w:tab w:val="left" w:pos="1560"/>
      </w:tabs>
      <w:ind w:left="1560" w:hanging="1200"/>
    </w:pPr>
    <w:rPr>
      <w:b/>
    </w:rPr>
  </w:style>
  <w:style w:type="character" w:customStyle="1" w:styleId="122">
    <w:name w:val="Proposal Char"/>
    <w:link w:val="121"/>
    <w:qFormat/>
    <w:uiPriority w:val="0"/>
    <w:rPr>
      <w:rFonts w:ascii="Times New Roman" w:hAnsi="Times New Roman"/>
      <w:b/>
      <w:lang w:eastAsia="en-US"/>
    </w:rPr>
  </w:style>
  <w:style w:type="character" w:customStyle="1" w:styleId="123">
    <w:name w:val="Proposal list Char"/>
    <w:basedOn w:val="47"/>
    <w:link w:val="22"/>
    <w:qFormat/>
    <w:uiPriority w:val="0"/>
    <w:rPr>
      <w:rFonts w:ascii="Times New Roman" w:hAnsi="Times New Roman"/>
      <w:b/>
      <w:lang w:eastAsia="en-US"/>
    </w:rPr>
  </w:style>
  <w:style w:type="paragraph" w:styleId="124">
    <w:name w:val="List Paragraph"/>
    <w:basedOn w:val="1"/>
    <w:qFormat/>
    <w:uiPriority w:val="34"/>
    <w:pPr>
      <w:ind w:firstLine="420" w:firstLineChars="200"/>
    </w:pPr>
  </w:style>
  <w:style w:type="character" w:customStyle="1" w:styleId="125">
    <w:name w:val="NO Zchn"/>
    <w:qFormat/>
    <w:locked/>
    <w:uiPriority w:val="0"/>
    <w:rPr>
      <w:rFonts w:ascii="Times New Roman" w:hAnsi="Times New Roman" w:eastAsia="Times New Roman"/>
      <w:lang w:eastAsia="zh-CN"/>
    </w:rPr>
  </w:style>
  <w:style w:type="character" w:customStyle="1" w:styleId="126">
    <w:name w:val="B1 Zchn"/>
    <w:qFormat/>
    <w:locked/>
    <w:uiPriority w:val="0"/>
    <w:rPr>
      <w:rFonts w:ascii="Times New Roman" w:hAnsi="Times New Roman" w:eastAsia="Times New Roman"/>
      <w:lang w:eastAsia="zh-CN"/>
    </w:rPr>
  </w:style>
  <w:style w:type="paragraph" w:customStyle="1" w:styleId="127">
    <w:name w:val="List Paragraph4"/>
    <w:basedOn w:val="1"/>
    <w:qFormat/>
    <w:uiPriority w:val="0"/>
    <w:pPr>
      <w:spacing w:before="100" w:beforeAutospacing="1" w:after="180"/>
      <w:ind w:left="720"/>
      <w:contextualSpacing/>
    </w:pPr>
    <w:rPr>
      <w:rFonts w:ascii="Times New Roman" w:hAnsi="Times New Roman" w:eastAsia="宋体"/>
      <w:sz w:val="24"/>
      <w:szCs w:val="24"/>
      <w:lang w:val="en-US" w:eastAsia="zh-CN"/>
    </w:rPr>
  </w:style>
  <w:style w:type="paragraph" w:customStyle="1" w:styleId="128">
    <w:name w:val="List Paragraph5"/>
    <w:basedOn w:val="1"/>
    <w:qFormat/>
    <w:uiPriority w:val="0"/>
    <w:pPr>
      <w:spacing w:before="100" w:beforeAutospacing="1"/>
      <w:ind w:left="720"/>
      <w:contextualSpacing/>
    </w:pPr>
    <w:rPr>
      <w:rFonts w:eastAsia="宋体"/>
      <w:sz w:val="24"/>
      <w:szCs w:val="24"/>
      <w:lang w:val="en-US" w:eastAsia="zh-CN"/>
    </w:rPr>
  </w:style>
  <w:style w:type="paragraph" w:customStyle="1" w:styleId="129">
    <w:name w:val="Proposal-HW"/>
    <w:basedOn w:val="1"/>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2024</Words>
  <Characters>11538</Characters>
  <Lines>96</Lines>
  <Paragraphs>27</Paragraphs>
  <TotalTime>0</TotalTime>
  <ScaleCrop>false</ScaleCrop>
  <LinksUpToDate>false</LinksUpToDate>
  <CharactersWithSpaces>13535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unicom</cp:lastModifiedBy>
  <cp:lastPrinted>2411-12-31T23:00:00Z</cp:lastPrinted>
  <dcterms:modified xsi:type="dcterms:W3CDTF">2025-05-09T08:11:24Z</dcterms:modified>
  <dc:title>Template for Text Proposal - RAN3 Meeting no XXX</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y fmtid="{D5CDD505-2E9C-101B-9397-08002B2CF9AE}" pid="10" name="KSOProductBuildVer">
    <vt:lpwstr>2052-11.8.2.12085</vt:lpwstr>
  </property>
  <property fmtid="{D5CDD505-2E9C-101B-9397-08002B2CF9AE}" pid="11" name="ICV">
    <vt:lpwstr>F8A99271D1474EE68B35954316239013</vt:lpwstr>
  </property>
</Properties>
</file>