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R3-253008</w:t>
      </w:r>
    </w:p>
    <w:p>
      <w:pPr>
        <w:pStyle w:val="LSHeader"/>
      </w:pPr>
      <w:r>
        <w:t>Malta, MT, 19 - 23 May, 2025</w:t>
      </w:r>
      <w:r>
        <w:br/>
      </w:r>
    </w:p>
    <w:p w14:paraId="487B5505" w14:textId="07DCAD08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9B5903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65D0E" w:rsidRPr="00765D0E">
        <w:rPr>
          <w:rFonts w:ascii="Arial" w:hAnsi="Arial" w:cs="Arial"/>
          <w:b/>
          <w:bCs/>
          <w:sz w:val="24"/>
          <w:szCs w:val="24"/>
        </w:rPr>
        <w:t>R1-250307</w:t>
      </w:r>
      <w:r w:rsidR="00865F53">
        <w:rPr>
          <w:rFonts w:ascii="Arial" w:hAnsi="Arial" w:cs="Arial" w:hint="eastAsia"/>
          <w:b/>
          <w:bCs/>
          <w:sz w:val="24"/>
          <w:szCs w:val="24"/>
          <w:lang w:eastAsia="ja-JP"/>
        </w:rPr>
        <w:t>9</w:t>
      </w:r>
    </w:p>
    <w:p w14:paraId="2ACDD20B" w14:textId="4E665E02" w:rsidR="00463675" w:rsidRPr="00EA392A" w:rsidRDefault="00EA392A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Wuhan, China, </w:t>
      </w:r>
      <w:r w:rsidRPr="00857CA4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April 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Pr="00857CA4">
        <w:rPr>
          <w:rFonts w:ascii="Arial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 xml:space="preserve"> – 11</w:t>
      </w:r>
      <w:r w:rsidRPr="00857CA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57CA4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736047C5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the support of semi-persistent CSI-RS </w:t>
      </w:r>
      <w:r w:rsidR="002F3E5B">
        <w:rPr>
          <w:rFonts w:eastAsiaTheme="minorEastAsia"/>
          <w:b w:val="0"/>
          <w:bCs w:val="0"/>
          <w:lang w:val="en-US" w:eastAsia="ja-JP"/>
        </w:rPr>
        <w:t>resource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for LTM 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CSI </w:t>
      </w:r>
      <w:r w:rsidR="00EC7E50">
        <w:rPr>
          <w:rFonts w:eastAsiaTheme="minorEastAsia"/>
          <w:b w:val="0"/>
          <w:bCs w:val="0"/>
          <w:lang w:val="en-US" w:eastAsia="ja-JP"/>
        </w:rPr>
        <w:t>acquisition</w:t>
      </w:r>
      <w:r w:rsidR="00EC7E50">
        <w:rPr>
          <w:rFonts w:eastAsiaTheme="minorEastAsia" w:hint="eastAsia"/>
          <w:b w:val="0"/>
          <w:bCs w:val="0"/>
          <w:lang w:val="en-US" w:eastAsia="ja-JP"/>
        </w:rPr>
        <w:t xml:space="preserve"> for </w:t>
      </w:r>
      <w:r w:rsidR="002F3E5B">
        <w:rPr>
          <w:rFonts w:eastAsiaTheme="minorEastAsia" w:hint="eastAsia"/>
          <w:b w:val="0"/>
          <w:bCs w:val="0"/>
          <w:lang w:val="en-US" w:eastAsia="ja-JP"/>
        </w:rPr>
        <w:t>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35AF718F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65F53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74BD696B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  <w:r w:rsidR="00C3466B">
        <w:rPr>
          <w:rFonts w:hint="eastAsia"/>
          <w:b w:val="0"/>
          <w:bCs/>
          <w:lang w:eastAsia="ja-JP"/>
        </w:rPr>
        <w:t>, RAN3</w:t>
      </w:r>
    </w:p>
    <w:p w14:paraId="56FE5ADA" w14:textId="22514DE8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66337FD" w:rsidR="00386EE6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Similarly to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supported </w:t>
      </w:r>
      <w:r w:rsidR="009E1866" w:rsidRPr="009E1866">
        <w:rPr>
          <w:rFonts w:ascii="Arial" w:hAnsi="Arial" w:cs="Arial"/>
          <w:bCs/>
          <w:lang w:val="en-US" w:eastAsia="ja-JP"/>
        </w:rPr>
        <w:t xml:space="preserve">for candidate cell L1-RSRP measurement for </w:t>
      </w:r>
      <w:proofErr w:type="spellStart"/>
      <w:r w:rsidR="009E1866" w:rsidRPr="009E1866">
        <w:rPr>
          <w:rFonts w:ascii="Arial" w:hAnsi="Arial" w:cs="Arial"/>
          <w:bCs/>
          <w:lang w:val="en-US" w:eastAsia="ja-JP"/>
        </w:rPr>
        <w:t>gNB</w:t>
      </w:r>
      <w:proofErr w:type="spellEnd"/>
      <w:r w:rsidR="009E1866" w:rsidRPr="009E1866">
        <w:rPr>
          <w:rFonts w:ascii="Arial" w:hAnsi="Arial" w:cs="Arial"/>
          <w:bCs/>
          <w:lang w:val="en-US" w:eastAsia="ja-JP"/>
        </w:rPr>
        <w:t xml:space="preserve"> scheduled reporting</w:t>
      </w:r>
      <w:r>
        <w:rPr>
          <w:rFonts w:ascii="Arial" w:hAnsi="Arial" w:cs="Arial" w:hint="eastAsia"/>
          <w:bCs/>
          <w:lang w:val="en-US" w:eastAsia="ja-JP"/>
        </w:rPr>
        <w:t xml:space="preserve">, RAN1 has also agreed to introduce </w:t>
      </w:r>
      <w:r>
        <w:rPr>
          <w:rFonts w:ascii="Arial" w:hAnsi="Arial" w:cs="Arial"/>
          <w:bCs/>
          <w:lang w:val="en-US" w:eastAsia="ja-JP"/>
        </w:rPr>
        <w:t>semi-persistent CSI-RS</w:t>
      </w:r>
      <w:r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>
        <w:rPr>
          <w:rFonts w:ascii="Arial" w:eastAsiaTheme="minorEastAsia" w:hAnsi="Arial" w:cs="Arial" w:hint="eastAsia"/>
          <w:bCs/>
          <w:lang w:val="en-US" w:eastAsia="ja-JP"/>
        </w:rPr>
        <w:t xml:space="preserve"> for the purpose of CSI acquisition</w:t>
      </w:r>
      <w:r w:rsidR="00145E3F">
        <w:rPr>
          <w:rFonts w:ascii="Arial" w:eastAsiaTheme="minorEastAsia" w:hAnsi="Arial" w:cs="Arial" w:hint="eastAsia"/>
          <w:bCs/>
          <w:lang w:val="en-US" w:eastAsia="ja-JP"/>
        </w:rPr>
        <w:t xml:space="preserve">. </w:t>
      </w:r>
    </w:p>
    <w:p w14:paraId="2A1EAF14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32E93C3" w14:textId="6A5CFEE6" w:rsidR="00AD587B" w:rsidRPr="0015685D" w:rsidRDefault="00AD587B" w:rsidP="00AD587B">
      <w:pPr>
        <w:pStyle w:val="a5"/>
        <w:ind w:leftChars="200" w:left="400"/>
        <w:rPr>
          <w:rFonts w:ascii="Arial" w:eastAsiaTheme="minorEastAsia" w:hAnsi="Arial" w:cs="Arial"/>
          <w:b/>
          <w:lang w:val="en-US" w:eastAsia="ja-JP"/>
        </w:rPr>
      </w:pPr>
      <w:r w:rsidRPr="0015685D">
        <w:rPr>
          <w:rFonts w:ascii="Arial" w:eastAsiaTheme="minorEastAsia" w:hAnsi="Arial" w:cs="Arial" w:hint="eastAsia"/>
          <w:b/>
          <w:highlight w:val="green"/>
          <w:lang w:val="en-US" w:eastAsia="ja-JP"/>
        </w:rPr>
        <w:t>Agreement</w:t>
      </w:r>
    </w:p>
    <w:p w14:paraId="0D11CD4A" w14:textId="77777777" w:rsidR="00AD587B" w:rsidRPr="00AD587B" w:rsidRDefault="00AD587B" w:rsidP="00AD587B">
      <w:pPr>
        <w:pStyle w:val="a5"/>
        <w:ind w:leftChars="200" w:left="40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For candidate cell CSI acquisition</w:t>
      </w:r>
    </w:p>
    <w:p w14:paraId="7EFD4B43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 xml:space="preserve">In addition to periodic CSI-RS resource, semi-persistent CSI-RS resource is supported </w:t>
      </w:r>
    </w:p>
    <w:p w14:paraId="563D3473" w14:textId="77777777" w:rsidR="00AD587B" w:rsidRPr="00AD587B" w:rsidRDefault="00AD587B" w:rsidP="00AD587B">
      <w:pPr>
        <w:pStyle w:val="a5"/>
        <w:numPr>
          <w:ilvl w:val="1"/>
          <w:numId w:val="35"/>
        </w:numPr>
        <w:ind w:leftChars="740" w:left="184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Support of semi-persistent CSI-RS resource is subject to separate UE capability.</w:t>
      </w:r>
    </w:p>
    <w:p w14:paraId="0511FF9D" w14:textId="77777777" w:rsidR="00AD587B" w:rsidRPr="00AD587B" w:rsidRDefault="00AD587B" w:rsidP="00AD587B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AD587B">
        <w:rPr>
          <w:rFonts w:ascii="Arial" w:eastAsiaTheme="minorEastAsia" w:hAnsi="Arial" w:cs="Arial"/>
          <w:bCs/>
          <w:lang w:eastAsia="ja-JP"/>
        </w:rPr>
        <w:t>MAC CE is used to activate/deactivate the semi-persistent CSI-RS resource similarly to the legacy mechanism for a serving cell which will be specified in RAN2</w:t>
      </w:r>
    </w:p>
    <w:p w14:paraId="2FC01B2A" w14:textId="77777777" w:rsidR="0037654C" w:rsidRDefault="0037654C" w:rsidP="00386EE6">
      <w:pPr>
        <w:pStyle w:val="a5"/>
        <w:rPr>
          <w:rFonts w:ascii="Arial" w:eastAsiaTheme="minorEastAsia" w:hAnsi="Arial" w:cs="Arial"/>
          <w:bCs/>
          <w:lang w:eastAsia="ja-JP"/>
        </w:rPr>
      </w:pPr>
    </w:p>
    <w:p w14:paraId="35A8A2BD" w14:textId="157CD579" w:rsidR="00287807" w:rsidRPr="00AD587B" w:rsidRDefault="008341CB" w:rsidP="00386EE6">
      <w:pPr>
        <w:pStyle w:val="a5"/>
        <w:rPr>
          <w:rFonts w:ascii="Arial" w:eastAsiaTheme="minorEastAsia" w:hAnsi="Arial" w:cs="Arial"/>
          <w:bCs/>
          <w:lang w:eastAsia="ja-JP"/>
        </w:rPr>
      </w:pPr>
      <w:r>
        <w:rPr>
          <w:rFonts w:ascii="Arial" w:hAnsi="Arial" w:cs="Arial" w:hint="eastAsia"/>
          <w:lang w:eastAsia="ja-JP"/>
        </w:rPr>
        <w:t xml:space="preserve">As captured in the agreement, </w:t>
      </w:r>
      <w:r w:rsidR="00DB3325">
        <w:rPr>
          <w:rFonts w:ascii="Arial" w:hAnsi="Arial" w:cs="Arial" w:hint="eastAsia"/>
          <w:lang w:eastAsia="ja-JP"/>
        </w:rPr>
        <w:t xml:space="preserve">RAN1 </w:t>
      </w:r>
      <w:r w:rsidR="00092966">
        <w:rPr>
          <w:rFonts w:ascii="Arial" w:hAnsi="Arial" w:cs="Arial" w:hint="eastAsia"/>
          <w:lang w:eastAsia="ja-JP"/>
        </w:rPr>
        <w:t>see</w:t>
      </w:r>
      <w:r w:rsidR="002C5924">
        <w:rPr>
          <w:rFonts w:ascii="Arial" w:hAnsi="Arial" w:cs="Arial" w:hint="eastAsia"/>
          <w:lang w:eastAsia="ja-JP"/>
        </w:rPr>
        <w:t>s</w:t>
      </w:r>
      <w:r w:rsidR="00092966">
        <w:rPr>
          <w:rFonts w:ascii="Arial" w:hAnsi="Arial" w:cs="Arial" w:hint="eastAsia"/>
          <w:lang w:eastAsia="ja-JP"/>
        </w:rPr>
        <w:t xml:space="preserve"> the spec impact in RAN2 to define the MAC CE. </w:t>
      </w:r>
      <w:r w:rsidR="00E1644F">
        <w:rPr>
          <w:rFonts w:ascii="Arial" w:hAnsi="Arial" w:cs="Arial" w:hint="eastAsia"/>
          <w:lang w:eastAsia="ja-JP"/>
        </w:rPr>
        <w:t xml:space="preserve">Also, </w:t>
      </w:r>
      <w:r w:rsidR="00287807">
        <w:rPr>
          <w:rFonts w:ascii="Arial" w:hAnsi="Arial" w:cs="Arial" w:hint="eastAsia"/>
          <w:lang w:val="en-US" w:eastAsia="ja-JP"/>
        </w:rPr>
        <w:t>RAN1 foresees the RAN3 spec impact to enable this functionality for inter-DU/inter-CU case</w:t>
      </w:r>
      <w:r w:rsidR="00E1644F">
        <w:rPr>
          <w:rFonts w:ascii="Arial" w:hAnsi="Arial" w:cs="Arial" w:hint="eastAsia"/>
          <w:lang w:val="en-US" w:eastAsia="ja-JP"/>
        </w:rPr>
        <w:t xml:space="preserve">. </w:t>
      </w:r>
    </w:p>
    <w:p w14:paraId="105F4702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71A1C7C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 w:rsidR="0022532E">
        <w:rPr>
          <w:rFonts w:ascii="Arial" w:hAnsi="Arial" w:cs="Arial" w:hint="eastAsia"/>
          <w:b/>
          <w:lang w:eastAsia="ja-JP"/>
        </w:rPr>
        <w:t xml:space="preserve"> and 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</w:t>
      </w:r>
      <w:r w:rsidR="0022532E">
        <w:rPr>
          <w:rFonts w:ascii="Arial" w:hAnsi="Arial" w:cs="Arial" w:hint="eastAsia"/>
          <w:b/>
          <w:lang w:eastAsia="ja-JP"/>
        </w:rPr>
        <w:t>s</w:t>
      </w:r>
      <w:r w:rsidRPr="0090686F">
        <w:rPr>
          <w:rFonts w:ascii="Arial" w:hAnsi="Arial" w:cs="Arial"/>
          <w:b/>
        </w:rPr>
        <w:t>.</w:t>
      </w:r>
    </w:p>
    <w:p w14:paraId="37D7EC24" w14:textId="2D0ECDF3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 xml:space="preserve">RAN2 and </w:t>
      </w:r>
      <w:r w:rsidRPr="004E016D">
        <w:rPr>
          <w:rFonts w:ascii="Arial" w:hAnsi="Arial" w:cs="Arial"/>
          <w:lang w:val="en-US" w:eastAsia="ja-JP"/>
        </w:rPr>
        <w:t>RAN</w:t>
      </w:r>
      <w:r w:rsidR="002F3E5B">
        <w:rPr>
          <w:rFonts w:ascii="Arial" w:hAnsi="Arial" w:cs="Arial" w:hint="eastAsia"/>
          <w:lang w:val="en-US" w:eastAsia="ja-JP"/>
        </w:rPr>
        <w:t>3</w:t>
      </w:r>
      <w:r w:rsidRPr="004E016D">
        <w:rPr>
          <w:rFonts w:ascii="Arial" w:hAnsi="Arial" w:cs="Arial"/>
          <w:lang w:val="en-US" w:eastAsia="ja-JP"/>
        </w:rPr>
        <w:t xml:space="preserve"> 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0CDA0FDC" w14:textId="77777777" w:rsid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Malta, MT</w:t>
      </w:r>
    </w:p>
    <w:p w14:paraId="5A569E05" w14:textId="1E6A3FDF" w:rsidR="00DB712A" w:rsidRPr="003133F5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sectPr w:rsidR="00DB712A" w:rsidRPr="003133F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10296" w14:textId="77777777" w:rsidR="00070EC6" w:rsidRDefault="00070EC6">
      <w:r>
        <w:separator/>
      </w:r>
    </w:p>
  </w:endnote>
  <w:endnote w:type="continuationSeparator" w:id="0">
    <w:p w14:paraId="6DD2F648" w14:textId="77777777" w:rsidR="00070EC6" w:rsidRDefault="00070EC6">
      <w:r>
        <w:continuationSeparator/>
      </w:r>
    </w:p>
  </w:endnote>
  <w:endnote w:type="continuationNotice" w:id="1">
    <w:p w14:paraId="7E49EB2F" w14:textId="77777777" w:rsidR="00070EC6" w:rsidRDefault="00070E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72E5" w14:textId="77777777" w:rsidR="00070EC6" w:rsidRDefault="00070EC6">
      <w:r>
        <w:separator/>
      </w:r>
    </w:p>
  </w:footnote>
  <w:footnote w:type="continuationSeparator" w:id="0">
    <w:p w14:paraId="5B7FDC10" w14:textId="77777777" w:rsidR="00070EC6" w:rsidRDefault="00070EC6">
      <w:r>
        <w:continuationSeparator/>
      </w:r>
    </w:p>
  </w:footnote>
  <w:footnote w:type="continuationNotice" w:id="1">
    <w:p w14:paraId="16C4D5B8" w14:textId="77777777" w:rsidR="00070EC6" w:rsidRDefault="00070E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E55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4746C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60B0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D7D92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0EBF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5D0E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5F53"/>
    <w:rsid w:val="008671A2"/>
    <w:rsid w:val="00875080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5903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2F98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53D29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3466B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BFD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5C08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133F5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237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86</cp:revision>
  <cp:lastPrinted>2002-04-24T08:10:00Z</cp:lastPrinted>
  <dcterms:created xsi:type="dcterms:W3CDTF">2024-10-17T07:46:00Z</dcterms:created>
  <dcterms:modified xsi:type="dcterms:W3CDTF">2025-04-09T10:18:00Z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