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55F4" w14:textId="77777777" w:rsidR="00127334" w:rsidRPr="005B728C" w:rsidRDefault="00C301EC">
      <w:pPr>
        <w:pStyle w:val="3GPPHeader"/>
        <w:spacing w:after="120"/>
        <w:rPr>
          <w:lang w:val="de-DE"/>
          <w:rPrChange w:id="0" w:author="QCOM" w:date="2021-11-03T09:46:00Z">
            <w:rPr/>
          </w:rPrChange>
        </w:rPr>
      </w:pPr>
      <w:r w:rsidRPr="005B728C">
        <w:rPr>
          <w:lang w:val="de-DE"/>
          <w:rPrChange w:id="1" w:author="QCOM" w:date="2021-11-03T09:46:00Z">
            <w:rPr/>
          </w:rPrChange>
        </w:rPr>
        <w:t>3GPP TSG-RAN WG3 #114e</w:t>
      </w:r>
      <w:r w:rsidRPr="005B728C">
        <w:rPr>
          <w:lang w:val="de-DE"/>
          <w:rPrChange w:id="2" w:author="QCOM" w:date="2021-11-03T09:46:00Z">
            <w:rPr/>
          </w:rPrChange>
        </w:rPr>
        <w:tab/>
      </w:r>
      <w:r w:rsidRPr="005B728C">
        <w:rPr>
          <w:sz w:val="32"/>
          <w:szCs w:val="32"/>
          <w:lang w:val="de-DE"/>
          <w:rPrChange w:id="3" w:author="QCOM" w:date="2021-11-03T09:46:00Z">
            <w:rPr>
              <w:sz w:val="32"/>
              <w:szCs w:val="32"/>
            </w:rPr>
          </w:rPrChang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Heading1"/>
      </w:pPr>
      <w:r>
        <w:t>Introduction</w:t>
      </w:r>
    </w:p>
    <w:p w14:paraId="12A6C691" w14:textId="77777777" w:rsidR="00127334" w:rsidRDefault="00C301EC">
      <w:pPr>
        <w:spacing w:beforeLines="50" w:before="120"/>
        <w:jc w:val="both"/>
        <w:rPr>
          <w:szCs w:val="22"/>
          <w:lang w:eastAsia="zh-CN"/>
        </w:rPr>
      </w:pPr>
      <w:r>
        <w:rPr>
          <w:szCs w:val="22"/>
          <w:lang w:eastAsia="zh-CN"/>
        </w:rPr>
        <w:t xml:space="preserve">This paper </w:t>
      </w:r>
      <w:r>
        <w:rPr>
          <w:szCs w:val="22"/>
          <w:lang w:eastAsia="zh-CN"/>
        </w:rPr>
        <w:t>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It is suggested to work on top of the Was captured at RAN3-113e and to finalise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WA: the presence of</w:t>
            </w:r>
            <w:r>
              <w:rPr>
                <w:b/>
                <w:bCs/>
                <w:color w:val="FF00FF"/>
                <w:sz w:val="18"/>
                <w:szCs w:val="18"/>
              </w:rPr>
              <w:t xml:space="preserve"> Child Node Identifier IE is Mandatory, the value of the maxnoofIABCongInd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Can TPs be agreed as pr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SimSun" w:hAnsi="SimSun"/>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hyperlink r:id="rId12" w:history="1">
              <w:r>
                <w:rPr>
                  <w:rStyle w:val="Hyperlink"/>
                  <w:sz w:val="18"/>
                  <w:szCs w:val="18"/>
                </w:rPr>
                <w:t>R3-215903</w:t>
              </w:r>
            </w:hyperlink>
          </w:p>
        </w:tc>
      </w:tr>
    </w:tbl>
    <w:p w14:paraId="72595665" w14:textId="77777777" w:rsidR="00127334" w:rsidRDefault="00127334">
      <w:pPr>
        <w:rPr>
          <w:rFonts w:eastAsia="SimSun"/>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42698F50" w14:textId="77777777" w:rsidR="00127334" w:rsidRDefault="00C301EC">
      <w:pPr>
        <w:pStyle w:val="Heading1"/>
      </w:pPr>
      <w:r>
        <w:t xml:space="preserve">For the </w:t>
      </w:r>
      <w:r>
        <w:t>Chairman’s Notes</w:t>
      </w:r>
    </w:p>
    <w:p w14:paraId="66ABC481" w14:textId="77777777" w:rsidR="00127334" w:rsidRDefault="00127334">
      <w:pPr>
        <w:rPr>
          <w:rFonts w:eastAsiaTheme="minorEastAsia"/>
          <w:b/>
          <w:bCs/>
          <w:color w:val="00B050"/>
          <w:lang w:eastAsia="zh-CN"/>
        </w:rPr>
      </w:pPr>
    </w:p>
    <w:p w14:paraId="669E7DE6" w14:textId="77777777" w:rsidR="00127334" w:rsidRDefault="00127334">
      <w:pPr>
        <w:rPr>
          <w:rFonts w:eastAsiaTheme="minorEastAsia"/>
          <w:b/>
          <w:bCs/>
          <w:color w:val="00B050"/>
          <w:lang w:eastAsia="zh-CN"/>
        </w:rPr>
      </w:pPr>
    </w:p>
    <w:p w14:paraId="6950D61D" w14:textId="77777777" w:rsidR="00127334" w:rsidRDefault="00C301EC">
      <w:pPr>
        <w:pStyle w:val="Heading1"/>
      </w:pPr>
      <w:r>
        <w:t>Discussion – 1</w:t>
      </w:r>
      <w:r>
        <w:rPr>
          <w:vertAlign w:val="superscript"/>
        </w:rPr>
        <w:t>st</w:t>
      </w:r>
      <w:r>
        <w:t xml:space="preserve"> Round</w:t>
      </w:r>
    </w:p>
    <w:p w14:paraId="5D331683" w14:textId="77777777" w:rsidR="00127334" w:rsidRDefault="00C301EC">
      <w:pPr>
        <w:pStyle w:val="Heading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w:t>
            </w:r>
            <w:r>
              <w:rPr>
                <w:iCs/>
                <w:color w:val="00B050"/>
                <w:sz w:val="20"/>
                <w:szCs w:val="20"/>
              </w:rPr>
              <w:t>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lastRenderedPageBreak/>
        <w:t xml:space="preserve">Based on the contribution [2], it is proposed to support the per BAP routing ID level congestion indication. And the proponent thinks that reporting per BAP routing ID can directly indicate the routes which </w:t>
      </w:r>
      <w:r>
        <w:rPr>
          <w:szCs w:val="22"/>
          <w:lang w:eastAsia="zh-CN"/>
        </w:rPr>
        <w:t>need to be adjusted and per BAP routing ID level congestion indication has been allowed for HbH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w:t>
      </w:r>
      <w:r>
        <w:rPr>
          <w:szCs w:val="22"/>
          <w:lang w:eastAsia="zh-CN"/>
        </w:rPr>
        <w:t xml:space="preserve"> think it will cost too much overhead for per-BAP routing ID congestion indication. In addition, it is sufficient for CU-CP to determine the location of congestion based on the agreed per child link and per BH RLC CH congestion feedback, and CU-CP can infe</w:t>
      </w:r>
      <w:r>
        <w:rPr>
          <w:szCs w:val="22"/>
          <w:lang w:eastAsia="zh-CN"/>
        </w:rPr>
        <w:t>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whether to support per BAP</w:t>
      </w:r>
      <w:r>
        <w:rPr>
          <w:b/>
          <w:bCs/>
          <w:i/>
          <w:iCs/>
          <w:szCs w:val="22"/>
        </w:rPr>
        <w:t xml:space="preserve">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SimSun"/>
                <w:lang w:eastAsia="zh-CN"/>
              </w:rPr>
            </w:pPr>
            <w:r>
              <w:rPr>
                <w:rFonts w:eastAsia="SimSun"/>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We do not see a reason for Option 1. This F1AP message is sent to CU, so CU can know the affected Routing IDs. There is no need to send each Routing ID. There is no scenario that one Routing ID is congested but other Routing ID sharing the same BH</w:t>
            </w:r>
            <w:r>
              <w:t xml:space="preserve"> RLC CH is not congested.</w:t>
            </w:r>
          </w:p>
        </w:tc>
      </w:tr>
      <w:tr w:rsidR="00127334" w14:paraId="48F0CB44" w14:textId="77777777">
        <w:tc>
          <w:tcPr>
            <w:tcW w:w="1555" w:type="dxa"/>
          </w:tcPr>
          <w:p w14:paraId="494C6857" w14:textId="77777777" w:rsidR="00127334" w:rsidRDefault="00C301EC">
            <w:pPr>
              <w:rPr>
                <w:b/>
                <w:bCs/>
              </w:rPr>
            </w:pPr>
            <w:ins w:id="4" w:author="Ericsson User" w:date="2021-11-02T20:56:00Z">
              <w:r>
                <w:rPr>
                  <w:b/>
                  <w:bCs/>
                </w:rPr>
                <w:t>Ericsson</w:t>
              </w:r>
            </w:ins>
          </w:p>
        </w:tc>
        <w:tc>
          <w:tcPr>
            <w:tcW w:w="1420" w:type="dxa"/>
          </w:tcPr>
          <w:p w14:paraId="134BA1EF" w14:textId="77777777" w:rsidR="00127334" w:rsidRDefault="00C301EC">
            <w:ins w:id="5" w:author="Ericsson User" w:date="2021-11-02T20:56:00Z">
              <w:r>
                <w:t>Option 2</w:t>
              </w:r>
            </w:ins>
          </w:p>
        </w:tc>
        <w:tc>
          <w:tcPr>
            <w:tcW w:w="6230" w:type="dxa"/>
          </w:tcPr>
          <w:p w14:paraId="578FF682" w14:textId="77777777" w:rsidR="00127334" w:rsidRDefault="00C301EC">
            <w:ins w:id="6"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7"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8"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9" w:author="Samsung" w:date="2021-11-03T14:17:00Z"/>
                <w:rFonts w:eastAsiaTheme="minorEastAsia"/>
                <w:lang w:eastAsia="zh-CN"/>
              </w:rPr>
            </w:pPr>
            <w:ins w:id="10"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11" w:author="Samsung" w:date="2021-11-03T14:14:00Z">
              <w:r>
                <w:rPr>
                  <w:rFonts w:eastAsiaTheme="minorEastAsia"/>
                  <w:lang w:eastAsia="zh-CN"/>
                </w:rPr>
                <w:t>ID reporting. In</w:t>
              </w:r>
              <w:r>
                <w:rPr>
                  <w:rFonts w:eastAsiaTheme="minorEastAsia"/>
                  <w:lang w:eastAsia="zh-CN"/>
                </w:rPr>
                <w:t xml:space="preserve"> some cases, the congested routing paths corresponding to different BAP routing IDs may share the same BH RLC CH, which can use BH RLC CH reporti</w:t>
              </w:r>
            </w:ins>
            <w:ins w:id="12" w:author="Samsung" w:date="2021-11-03T14:15:00Z">
              <w:r>
                <w:rPr>
                  <w:rFonts w:eastAsiaTheme="minorEastAsia"/>
                  <w:lang w:eastAsia="zh-CN"/>
                </w:rPr>
                <w:t xml:space="preserve">ng. Thus, allowing both per BAP routing ID and per BH RLC CH is the best way to save the signaling </w:t>
              </w:r>
              <w:r>
                <w:rPr>
                  <w:rFonts w:eastAsiaTheme="minorEastAsia"/>
                  <w:lang w:eastAsia="zh-CN"/>
                </w:rPr>
                <w:t>overhead</w:t>
              </w:r>
            </w:ins>
            <w:ins w:id="13" w:author="Samsung" w:date="2021-11-03T14:16:00Z">
              <w:r>
                <w:rPr>
                  <w:rFonts w:eastAsiaTheme="minorEastAsia"/>
                  <w:lang w:eastAsia="zh-CN"/>
                </w:rPr>
                <w:t xml:space="preserve">, and we cannot say per BAP routing ID reporting causes more overhead. </w:t>
              </w:r>
            </w:ins>
          </w:p>
          <w:p w14:paraId="647212C3" w14:textId="77777777" w:rsidR="00127334" w:rsidRPr="00127334" w:rsidRDefault="00C301EC">
            <w:pPr>
              <w:rPr>
                <w:rFonts w:eastAsiaTheme="minorEastAsia"/>
                <w:lang w:eastAsia="zh-CN"/>
                <w:rPrChange w:id="14" w:author="Samsung" w:date="2021-11-03T14:13:00Z">
                  <w:rPr/>
                </w:rPrChange>
              </w:rPr>
            </w:pPr>
            <w:ins w:id="15"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w:t>
              </w:r>
              <w:r>
                <w:rPr>
                  <w:rFonts w:eastAsiaTheme="minorEastAsia"/>
                  <w:lang w:eastAsia="zh-CN"/>
                </w:rPr>
                <w:t>ion, HbH flow c</w:t>
              </w:r>
            </w:ins>
            <w:ins w:id="16"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7"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8" w:author="Lenovo" w:date="2021-11-03T15:36:00Z">
              <w:r>
                <w:rPr>
                  <w:rFonts w:eastAsiaTheme="minorEastAsia"/>
                  <w:lang w:eastAsia="zh-CN"/>
                </w:rPr>
                <w:t>Option 2</w:t>
              </w:r>
            </w:ins>
          </w:p>
        </w:tc>
        <w:tc>
          <w:tcPr>
            <w:tcW w:w="6230" w:type="dxa"/>
          </w:tcPr>
          <w:p w14:paraId="71A0AAD0" w14:textId="77777777" w:rsidR="00127334" w:rsidRDefault="00C301EC">
            <w:pPr>
              <w:rPr>
                <w:ins w:id="19" w:author="Lenovo" w:date="2021-11-03T15:43:00Z"/>
              </w:rPr>
            </w:pPr>
            <w:ins w:id="20" w:author="Lenovo" w:date="2021-11-03T15:36:00Z">
              <w:r>
                <w:t>Data congestion is expected to occur at a BH link or BH RLC CH granularity, it is sufficient for CU-CP to determine the location of congestion based on the agreed per child li</w:t>
              </w:r>
              <w:r>
                <w:t>nk and per BH RLC CH congestion feedback.</w:t>
              </w:r>
            </w:ins>
            <w:ins w:id="21" w:author="Lenovo" w:date="2021-11-03T15:39:00Z">
              <w:r>
                <w:t xml:space="preserve"> For the case “</w:t>
              </w:r>
              <w:r>
                <w:rPr>
                  <w:rFonts w:eastAsiaTheme="minorEastAsia"/>
                  <w:lang w:eastAsia="zh-CN"/>
                </w:rPr>
                <w:t>different BAP routing IDs may share the same BH RLC CH</w:t>
              </w:r>
              <w:r>
                <w:t xml:space="preserve">” proposed by Samsung, </w:t>
              </w:r>
            </w:ins>
            <w:ins w:id="22" w:author="Lenovo" w:date="2021-11-03T15:41:00Z">
              <w:r>
                <w:t xml:space="preserve">since CU-CP has all the information about routing and bearer mapping, </w:t>
              </w:r>
            </w:ins>
            <w:ins w:id="23" w:author="Lenovo" w:date="2021-11-03T15:42:00Z">
              <w:r>
                <w:t>CU-CP can infer the congestion status of each routing</w:t>
              </w:r>
              <w:r>
                <w:t xml:space="preserve"> path based on the per child link and per BH RLC CH congestion feedback.</w:t>
              </w:r>
            </w:ins>
          </w:p>
          <w:p w14:paraId="3BC5D989" w14:textId="77777777" w:rsidR="00127334" w:rsidRDefault="00C301EC">
            <w:ins w:id="24" w:author="Lenovo" w:date="2021-11-03T15:43:00Z">
              <w:r>
                <w:t>For HbH flow control, since parent IAB node cannot be aware of the DL egress BH RLC CH of the child IAB node, then the HbH flow control is reported via per ingress BH RLC CH, or the p</w:t>
              </w:r>
              <w:r>
                <w:t xml:space="preserve">er BAP routing ID level flow control feedback is introduced to </w:t>
              </w:r>
              <w:r>
                <w:lastRenderedPageBreak/>
                <w:t>distinguish different child IAB nodes which cannot be aware by the parent node.</w:t>
              </w:r>
            </w:ins>
            <w:ins w:id="25" w:author="Lenovo" w:date="2021-11-03T15:46:00Z">
              <w:r>
                <w:t xml:space="preserve"> However, </w:t>
              </w:r>
            </w:ins>
            <w:ins w:id="26"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7"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8" w:author="ZTE" w:date="2021-11-03T16:55:00Z">
              <w:r>
                <w:rPr>
                  <w:rFonts w:eastAsiaTheme="minorEastAsia" w:hint="eastAsia"/>
                  <w:lang w:eastAsia="zh-CN"/>
                </w:rPr>
                <w:t>Option 1</w:t>
              </w:r>
            </w:ins>
          </w:p>
        </w:tc>
        <w:tc>
          <w:tcPr>
            <w:tcW w:w="6230" w:type="dxa"/>
          </w:tcPr>
          <w:p w14:paraId="0FBE724A" w14:textId="77777777" w:rsidR="00127334" w:rsidRDefault="00C301EC">
            <w:ins w:id="29"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30" w:author="ZTE" w:date="2021-11-03T17:09:00Z">
              <w:r>
                <w:rPr>
                  <w:rFonts w:hint="eastAsia"/>
                  <w:szCs w:val="22"/>
                  <w:lang w:eastAsia="zh-CN"/>
                </w:rPr>
                <w:t xml:space="preserve"> Besides, packets </w:t>
              </w:r>
            </w:ins>
            <w:ins w:id="31" w:author="ZTE" w:date="2021-11-03T17:10:00Z">
              <w:r>
                <w:rPr>
                  <w:rFonts w:hint="eastAsia"/>
                  <w:szCs w:val="22"/>
                  <w:lang w:eastAsia="zh-CN"/>
                </w:rPr>
                <w:t xml:space="preserve">configured with the same routing ID may be mapped to different BH RLC channels. In this case, reporting </w:t>
              </w:r>
            </w:ins>
            <w:ins w:id="32" w:author="ZTE" w:date="2021-11-03T17:11:00Z">
              <w:r>
                <w:rPr>
                  <w:rFonts w:hint="eastAsia"/>
                  <w:szCs w:val="22"/>
                  <w:lang w:eastAsia="zh-CN"/>
                </w:rPr>
                <w:t>per routi</w:t>
              </w:r>
              <w:r>
                <w:rPr>
                  <w:rFonts w:hint="eastAsia"/>
                  <w:szCs w:val="22"/>
                  <w:lang w:eastAsia="zh-CN"/>
                </w:rPr>
                <w:t>ng ID congestion indication requires less overhead than reporting per BH RLC channel congestion indication</w:t>
              </w:r>
            </w:ins>
            <w:ins w:id="33"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34"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5" w:author="QCOM" w:date="2021-11-03T10:10:00Z">
              <w:r>
                <w:rPr>
                  <w:rFonts w:eastAsiaTheme="minorEastAsia"/>
                  <w:lang w:eastAsia="zh-CN"/>
                </w:rPr>
                <w:t>Option 2</w:t>
              </w:r>
            </w:ins>
          </w:p>
        </w:tc>
        <w:tc>
          <w:tcPr>
            <w:tcW w:w="6230" w:type="dxa"/>
          </w:tcPr>
          <w:p w14:paraId="6A67A509" w14:textId="2B0DBA66" w:rsidR="005D4179" w:rsidRDefault="005D4179">
            <w:pPr>
              <w:rPr>
                <w:ins w:id="36" w:author="QCOM" w:date="2021-11-03T10:11:00Z"/>
              </w:rPr>
            </w:pPr>
            <w:ins w:id="37" w:author="QCOM" w:date="2021-11-03T10:14:00Z">
              <w:r>
                <w:t>W</w:t>
              </w:r>
            </w:ins>
            <w:ins w:id="38" w:author="QCOM" w:date="2021-11-03T10:13:00Z">
              <w:r>
                <w:t xml:space="preserve">e </w:t>
              </w:r>
            </w:ins>
            <w:ins w:id="39" w:author="QCOM" w:date="2021-11-03T10:14:00Z">
              <w:r>
                <w:t xml:space="preserve">already </w:t>
              </w:r>
            </w:ins>
            <w:ins w:id="40" w:author="QCOM" w:date="2021-11-03T10:15:00Z">
              <w:r>
                <w:t>agreed on</w:t>
              </w:r>
            </w:ins>
            <w:ins w:id="41" w:author="QCOM" w:date="2021-11-03T10:13:00Z">
              <w:r>
                <w:t xml:space="preserve"> the WA th</w:t>
              </w:r>
            </w:ins>
            <w:ins w:id="42" w:author="QCOM" w:date="2021-11-03T10:10:00Z">
              <w:r>
                <w:t>at per-BAP routing ID cong</w:t>
              </w:r>
            </w:ins>
            <w:ins w:id="43" w:author="QCOM" w:date="2021-11-03T10:11:00Z">
              <w:r>
                <w:t xml:space="preserve">estion indication will not be pursued. </w:t>
              </w:r>
            </w:ins>
          </w:p>
          <w:p w14:paraId="045BFC35" w14:textId="2DE39AE5" w:rsidR="005D4179" w:rsidRDefault="005D4179">
            <w:ins w:id="44" w:author="QCOM" w:date="2021-11-03T10:14:00Z">
              <w:r>
                <w:t>The WA can be revoked if there is new ground-breaking evidence</w:t>
              </w:r>
            </w:ins>
            <w:ins w:id="45" w:author="QCOM" w:date="2021-11-03T10:22:00Z">
              <w:r w:rsidR="00F71484">
                <w:t xml:space="preserve"> against it</w:t>
              </w:r>
            </w:ins>
            <w:ins w:id="46" w:author="QCOM" w:date="2021-11-03T10:15:00Z">
              <w:r>
                <w:t xml:space="preserve">. The above contributions do not indicate such evidence. </w:t>
              </w:r>
            </w:ins>
          </w:p>
        </w:tc>
      </w:tr>
      <w:tr w:rsidR="00127334" w14:paraId="4527C14E" w14:textId="77777777">
        <w:tc>
          <w:tcPr>
            <w:tcW w:w="1555" w:type="dxa"/>
          </w:tcPr>
          <w:p w14:paraId="590C2136" w14:textId="77777777" w:rsidR="00127334" w:rsidRDefault="00127334">
            <w:pPr>
              <w:rPr>
                <w:rFonts w:eastAsiaTheme="minorEastAsia"/>
                <w:lang w:eastAsia="zh-CN"/>
              </w:rPr>
            </w:pPr>
          </w:p>
        </w:tc>
        <w:tc>
          <w:tcPr>
            <w:tcW w:w="1420" w:type="dxa"/>
          </w:tcPr>
          <w:p w14:paraId="4162F859" w14:textId="77777777" w:rsidR="00127334" w:rsidRDefault="00127334">
            <w:pPr>
              <w:rPr>
                <w:rFonts w:eastAsiaTheme="minorEastAsia"/>
                <w:lang w:eastAsia="zh-CN"/>
              </w:rPr>
            </w:pPr>
          </w:p>
        </w:tc>
        <w:tc>
          <w:tcPr>
            <w:tcW w:w="6230" w:type="dxa"/>
          </w:tcPr>
          <w:p w14:paraId="0CDE3F1C" w14:textId="77777777" w:rsidR="00127334" w:rsidRDefault="00127334"/>
        </w:tc>
      </w:tr>
      <w:tr w:rsidR="00127334" w14:paraId="05B77610" w14:textId="77777777">
        <w:tc>
          <w:tcPr>
            <w:tcW w:w="1555" w:type="dxa"/>
          </w:tcPr>
          <w:p w14:paraId="212FA6A7" w14:textId="77777777" w:rsidR="00127334" w:rsidRDefault="00127334">
            <w:pPr>
              <w:rPr>
                <w:rFonts w:eastAsiaTheme="minorEastAsia"/>
                <w:lang w:eastAsia="zh-CN"/>
              </w:rPr>
            </w:pPr>
          </w:p>
        </w:tc>
        <w:tc>
          <w:tcPr>
            <w:tcW w:w="1420" w:type="dxa"/>
          </w:tcPr>
          <w:p w14:paraId="3C191BED" w14:textId="77777777" w:rsidR="00127334" w:rsidRDefault="00127334">
            <w:pPr>
              <w:rPr>
                <w:rFonts w:eastAsiaTheme="minorEastAsia"/>
                <w:lang w:eastAsia="zh-CN"/>
              </w:rPr>
            </w:pPr>
          </w:p>
        </w:tc>
        <w:tc>
          <w:tcPr>
            <w:tcW w:w="6230" w:type="dxa"/>
          </w:tcPr>
          <w:p w14:paraId="2A5122F9" w14:textId="77777777" w:rsidR="00127334" w:rsidRDefault="00127334"/>
        </w:tc>
      </w:tr>
      <w:tr w:rsidR="00127334" w14:paraId="05820CA4" w14:textId="77777777">
        <w:tc>
          <w:tcPr>
            <w:tcW w:w="1555" w:type="dxa"/>
          </w:tcPr>
          <w:p w14:paraId="6A3901DA" w14:textId="77777777" w:rsidR="00127334" w:rsidRDefault="00127334">
            <w:pPr>
              <w:rPr>
                <w:rFonts w:eastAsiaTheme="minorEastAsia"/>
                <w:lang w:eastAsia="zh-CN"/>
              </w:rPr>
            </w:pPr>
          </w:p>
        </w:tc>
        <w:tc>
          <w:tcPr>
            <w:tcW w:w="1420" w:type="dxa"/>
          </w:tcPr>
          <w:p w14:paraId="2808F152" w14:textId="77777777" w:rsidR="00127334" w:rsidRDefault="00127334">
            <w:pPr>
              <w:rPr>
                <w:rFonts w:eastAsiaTheme="minorEastAsia"/>
                <w:lang w:eastAsia="zh-CN"/>
              </w:rPr>
            </w:pPr>
          </w:p>
        </w:tc>
        <w:tc>
          <w:tcPr>
            <w:tcW w:w="6230" w:type="dxa"/>
          </w:tcPr>
          <w:p w14:paraId="7A1EAA8E" w14:textId="77777777" w:rsidR="00127334" w:rsidRDefault="00127334"/>
        </w:tc>
      </w:tr>
    </w:tbl>
    <w:p w14:paraId="692B9737" w14:textId="77777777" w:rsidR="00127334" w:rsidRDefault="00127334">
      <w:pPr>
        <w:rPr>
          <w:rFonts w:eastAsia="SimSun"/>
          <w:sz w:val="21"/>
          <w:szCs w:val="21"/>
          <w:lang w:eastAsia="zh-CN"/>
        </w:rPr>
      </w:pPr>
    </w:p>
    <w:p w14:paraId="4854F631" w14:textId="77777777" w:rsidR="00127334" w:rsidRDefault="00C301EC">
      <w:pPr>
        <w:pStyle w:val="Heading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r>
        <w:rPr>
          <w:i/>
          <w:iCs w:val="0"/>
          <w:sz w:val="28"/>
          <w:szCs w:val="24"/>
          <w:lang w:eastAsia="zh-CN"/>
        </w:rPr>
        <w:t>maxnoofIABCongInd</w:t>
      </w:r>
    </w:p>
    <w:p w14:paraId="7E758E23" w14:textId="77777777" w:rsidR="00127334" w:rsidRDefault="00C301EC">
      <w:pPr>
        <w:spacing w:beforeLines="50" w:before="120"/>
        <w:jc w:val="both"/>
        <w:rPr>
          <w:szCs w:val="22"/>
          <w:lang w:eastAsia="zh-CN"/>
        </w:rPr>
      </w:pPr>
      <w:r>
        <w:rPr>
          <w:szCs w:val="22"/>
          <w:lang w:eastAsia="zh-CN"/>
        </w:rPr>
        <w:t xml:space="preserve">In the last RAN3 113 e-meeting, following </w:t>
      </w:r>
      <w:r>
        <w:rPr>
          <w:szCs w:val="22"/>
          <w:lang w:eastAsia="zh-CN"/>
        </w:rPr>
        <w:t>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both per child link and per BH RLC CH congestion feedback. For per BH link level feedback,</w:t>
      </w:r>
      <w:r>
        <w:rPr>
          <w:rFonts w:eastAsiaTheme="minorEastAsia"/>
          <w:i/>
          <w:iCs/>
          <w:szCs w:val="22"/>
          <w:lang w:eastAsia="zh-CN"/>
        </w:rPr>
        <w:t xml:space="preserve"> </w:t>
      </w:r>
      <w:r>
        <w:rPr>
          <w:rFonts w:eastAsiaTheme="minorEastAsia"/>
          <w:i/>
          <w:iCs/>
          <w:szCs w:val="22"/>
          <w:lang w:eastAsia="zh-CN"/>
        </w:rPr>
        <w:t xml:space="preserve">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w:t>
      </w:r>
      <w:r>
        <w:rPr>
          <w:rFonts w:eastAsiaTheme="minorEastAsia"/>
          <w:szCs w:val="22"/>
          <w:lang w:eastAsia="zh-CN"/>
        </w:rPr>
        <w:t>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presence of Child Node Iden</w:t>
      </w:r>
      <w:r>
        <w:rPr>
          <w:b/>
          <w:bCs/>
          <w:i/>
          <w:iCs/>
          <w:szCs w:val="22"/>
        </w:rPr>
        <w:t xml:space="preserve">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SimSun"/>
                <w:lang w:eastAsia="zh-CN"/>
              </w:rPr>
            </w:pPr>
            <w:r>
              <w:rPr>
                <w:rFonts w:eastAsia="SimSun"/>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47" w:author="Ericsson User" w:date="2021-11-02T20:57:00Z">
              <w:r>
                <w:rPr>
                  <w:b/>
                  <w:bCs/>
                </w:rPr>
                <w:t>Ericsson</w:t>
              </w:r>
            </w:ins>
          </w:p>
        </w:tc>
        <w:tc>
          <w:tcPr>
            <w:tcW w:w="1420" w:type="dxa"/>
          </w:tcPr>
          <w:p w14:paraId="08A08BA8" w14:textId="77777777" w:rsidR="00127334" w:rsidRDefault="00C301EC">
            <w:ins w:id="48" w:author="Ericsson User" w:date="2021-11-02T20:57:00Z">
              <w:r>
                <w:t>Option 1</w:t>
              </w:r>
            </w:ins>
          </w:p>
        </w:tc>
        <w:tc>
          <w:tcPr>
            <w:tcW w:w="6230" w:type="dxa"/>
          </w:tcPr>
          <w:p w14:paraId="121A4F8D" w14:textId="77777777" w:rsidR="00127334" w:rsidRDefault="00C301EC">
            <w:ins w:id="49"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50"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51"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127334" w:rsidRDefault="00C301EC">
            <w:pPr>
              <w:rPr>
                <w:rFonts w:eastAsiaTheme="minorEastAsia"/>
                <w:lang w:eastAsia="zh-CN"/>
                <w:rPrChange w:id="52" w:author="Samsung" w:date="2021-11-03T14:19:00Z">
                  <w:rPr/>
                </w:rPrChange>
              </w:rPr>
            </w:pPr>
            <w:ins w:id="53"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54" w:author="Lenovo" w:date="2021-11-03T15:49:00Z">
              <w:r>
                <w:rPr>
                  <w:rFonts w:eastAsiaTheme="minorEastAsia" w:hint="eastAsia"/>
                  <w:lang w:eastAsia="zh-CN"/>
                </w:rPr>
                <w:lastRenderedPageBreak/>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55"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56"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w:t>
              </w:r>
              <w:r>
                <w:rPr>
                  <w:rFonts w:eastAsiaTheme="minorEastAsia"/>
                  <w:lang w:eastAsia="zh-CN"/>
                </w:rPr>
                <w:t>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57"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58" w:author="ZTE" w:date="2021-11-03T16:56:00Z">
              <w:r>
                <w:rPr>
                  <w:rFonts w:eastAsia="SimSun"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59"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60" w:author="QCOM" w:date="2021-11-03T10:16:00Z">
              <w:r>
                <w:rPr>
                  <w:rFonts w:eastAsiaTheme="minorEastAsia"/>
                  <w:lang w:eastAsia="zh-CN"/>
                </w:rPr>
                <w:t>Option 1</w:t>
              </w:r>
            </w:ins>
          </w:p>
        </w:tc>
        <w:tc>
          <w:tcPr>
            <w:tcW w:w="6230" w:type="dxa"/>
          </w:tcPr>
          <w:p w14:paraId="5C5487E3" w14:textId="01C1B5F6" w:rsidR="00127334" w:rsidRDefault="00A77DAF">
            <w:ins w:id="61" w:author="QCOM" w:date="2021-11-03T10:17:00Z">
              <w:r>
                <w:t>The sending of the congestion indication is already optional. In case the IAB-node decides to sen</w:t>
              </w:r>
            </w:ins>
            <w:ins w:id="62" w:author="QCOM" w:date="2021-11-03T10:18:00Z">
              <w:r>
                <w:t xml:space="preserve">d this indication, </w:t>
              </w:r>
            </w:ins>
            <w:ins w:id="63" w:author="QCOM" w:date="2021-11-03T10:23:00Z">
              <w:r w:rsidR="00C301EC">
                <w:t xml:space="preserve">we don’t see </w:t>
              </w:r>
            </w:ins>
            <w:ins w:id="64" w:author="QCOM" w:date="2021-11-03T10:18:00Z">
              <w:r>
                <w:t>w</w:t>
              </w:r>
            </w:ins>
            <w:ins w:id="65" w:author="QCOM" w:date="2021-11-03T10:17:00Z">
              <w:r>
                <w:t xml:space="preserve">hat </w:t>
              </w:r>
            </w:ins>
            <w:ins w:id="66" w:author="QCOM" w:date="2021-11-03T10:18:00Z">
              <w:r>
                <w:t xml:space="preserve">it </w:t>
              </w:r>
            </w:ins>
            <w:ins w:id="67" w:author="QCOM" w:date="2021-11-03T10:23:00Z">
              <w:r w:rsidR="00C301EC">
                <w:t xml:space="preserve"> would </w:t>
              </w:r>
            </w:ins>
            <w:ins w:id="68" w:author="QCOM" w:date="2021-11-03T10:18:00Z">
              <w:r>
                <w:t>gain by NOT including the child node ID</w:t>
              </w:r>
            </w:ins>
            <w:ins w:id="69" w:author="QCOM" w:date="2021-11-03T10:23:00Z">
              <w:r w:rsidR="00C301EC">
                <w:t>.</w:t>
              </w:r>
            </w:ins>
          </w:p>
        </w:tc>
      </w:tr>
      <w:tr w:rsidR="00127334" w14:paraId="20BEBCEF" w14:textId="77777777">
        <w:tc>
          <w:tcPr>
            <w:tcW w:w="1555" w:type="dxa"/>
          </w:tcPr>
          <w:p w14:paraId="12BF7D1C" w14:textId="77777777" w:rsidR="00127334" w:rsidRDefault="00127334">
            <w:pPr>
              <w:rPr>
                <w:rFonts w:eastAsiaTheme="minorEastAsia"/>
                <w:lang w:eastAsia="zh-CN"/>
              </w:rPr>
            </w:pPr>
          </w:p>
        </w:tc>
        <w:tc>
          <w:tcPr>
            <w:tcW w:w="1420" w:type="dxa"/>
          </w:tcPr>
          <w:p w14:paraId="572F55B1" w14:textId="77777777" w:rsidR="00127334" w:rsidRDefault="00127334">
            <w:pPr>
              <w:rPr>
                <w:rFonts w:eastAsiaTheme="minorEastAsia"/>
                <w:lang w:eastAsia="zh-CN"/>
              </w:rPr>
            </w:pPr>
          </w:p>
        </w:tc>
        <w:tc>
          <w:tcPr>
            <w:tcW w:w="6230" w:type="dxa"/>
          </w:tcPr>
          <w:p w14:paraId="4DF73BD2" w14:textId="77777777" w:rsidR="00127334" w:rsidRDefault="00127334"/>
        </w:tc>
      </w:tr>
      <w:tr w:rsidR="00127334" w14:paraId="753524F9" w14:textId="77777777">
        <w:tc>
          <w:tcPr>
            <w:tcW w:w="1555" w:type="dxa"/>
          </w:tcPr>
          <w:p w14:paraId="5062E7E7" w14:textId="77777777" w:rsidR="00127334" w:rsidRDefault="00127334">
            <w:pPr>
              <w:rPr>
                <w:rFonts w:eastAsiaTheme="minorEastAsia"/>
                <w:lang w:eastAsia="zh-CN"/>
              </w:rPr>
            </w:pPr>
          </w:p>
        </w:tc>
        <w:tc>
          <w:tcPr>
            <w:tcW w:w="1420" w:type="dxa"/>
          </w:tcPr>
          <w:p w14:paraId="7D6762E7" w14:textId="77777777" w:rsidR="00127334" w:rsidRDefault="00127334">
            <w:pPr>
              <w:rPr>
                <w:rFonts w:eastAsiaTheme="minorEastAsia"/>
                <w:lang w:eastAsia="zh-CN"/>
              </w:rPr>
            </w:pPr>
          </w:p>
        </w:tc>
        <w:tc>
          <w:tcPr>
            <w:tcW w:w="6230" w:type="dxa"/>
          </w:tcPr>
          <w:p w14:paraId="024A3DE5" w14:textId="77777777" w:rsidR="00127334" w:rsidRDefault="00127334"/>
        </w:tc>
      </w:tr>
      <w:tr w:rsidR="00127334" w14:paraId="74D433D2" w14:textId="77777777">
        <w:tc>
          <w:tcPr>
            <w:tcW w:w="1555" w:type="dxa"/>
          </w:tcPr>
          <w:p w14:paraId="12D859CD" w14:textId="77777777" w:rsidR="00127334" w:rsidRDefault="00127334">
            <w:pPr>
              <w:rPr>
                <w:rFonts w:eastAsiaTheme="minorEastAsia"/>
                <w:lang w:eastAsia="zh-CN"/>
              </w:rPr>
            </w:pPr>
          </w:p>
        </w:tc>
        <w:tc>
          <w:tcPr>
            <w:tcW w:w="1420" w:type="dxa"/>
          </w:tcPr>
          <w:p w14:paraId="10F9C2E6" w14:textId="77777777" w:rsidR="00127334" w:rsidRDefault="00127334">
            <w:pPr>
              <w:rPr>
                <w:rFonts w:eastAsiaTheme="minorEastAsia"/>
                <w:lang w:eastAsia="zh-CN"/>
              </w:rPr>
            </w:pPr>
          </w:p>
        </w:tc>
        <w:tc>
          <w:tcPr>
            <w:tcW w:w="6230" w:type="dxa"/>
          </w:tcPr>
          <w:p w14:paraId="58B6B896" w14:textId="77777777" w:rsidR="00127334" w:rsidRDefault="00127334"/>
        </w:tc>
      </w:tr>
    </w:tbl>
    <w:p w14:paraId="0BD4FD9F" w14:textId="77777777" w:rsidR="00127334" w:rsidRDefault="00127334">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r>
        <w:rPr>
          <w:rFonts w:eastAsiaTheme="minorEastAsia"/>
          <w:i/>
          <w:iCs/>
          <w:szCs w:val="22"/>
          <w:lang w:eastAsia="zh-CN"/>
        </w:rPr>
        <w:t>maxnoofIABCongInd</w:t>
      </w:r>
      <w:r>
        <w:rPr>
          <w:rFonts w:eastAsiaTheme="minorEastAsia"/>
          <w:szCs w:val="22"/>
          <w:lang w:eastAsia="zh-CN"/>
        </w:rPr>
        <w:t xml:space="preserve">, as specified in TS 38.473, the maximum number of </w:t>
      </w:r>
      <w:r>
        <w:rPr>
          <w:rFonts w:eastAsiaTheme="minorEastAsia"/>
          <w:i/>
          <w:iCs/>
          <w:szCs w:val="22"/>
          <w:lang w:eastAsia="zh-CN"/>
        </w:rPr>
        <w:t>maxnoofChildIABNodes</w:t>
      </w:r>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r>
        <w:rPr>
          <w:rFonts w:eastAsiaTheme="minorEastAsia"/>
          <w:i/>
          <w:iCs/>
          <w:szCs w:val="22"/>
          <w:lang w:eastAsia="zh-CN"/>
        </w:rPr>
        <w:t>maxnoofIABCongInd</w:t>
      </w:r>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maxnoofIABCongInd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SimSun"/>
                <w:lang w:eastAsia="zh-CN"/>
              </w:rPr>
            </w:pPr>
            <w:r>
              <w:rPr>
                <w:rFonts w:eastAsia="SimSun"/>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70" w:author="Ericsson User" w:date="2021-11-02T20:58:00Z">
              <w:r>
                <w:rPr>
                  <w:b/>
                  <w:bCs/>
                </w:rPr>
                <w:t>Ericsson</w:t>
              </w:r>
            </w:ins>
          </w:p>
        </w:tc>
        <w:tc>
          <w:tcPr>
            <w:tcW w:w="1281" w:type="dxa"/>
          </w:tcPr>
          <w:p w14:paraId="39A86BC7" w14:textId="77777777" w:rsidR="00127334" w:rsidRDefault="00C301EC">
            <w:ins w:id="71"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72"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73"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74"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75"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76"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77"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78"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79"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77777777" w:rsidR="00127334" w:rsidRDefault="00127334">
            <w:pPr>
              <w:rPr>
                <w:rFonts w:eastAsiaTheme="minorEastAsia"/>
                <w:lang w:eastAsia="zh-CN"/>
              </w:rPr>
            </w:pPr>
          </w:p>
        </w:tc>
        <w:tc>
          <w:tcPr>
            <w:tcW w:w="1281" w:type="dxa"/>
          </w:tcPr>
          <w:p w14:paraId="328B5752" w14:textId="77777777" w:rsidR="00127334" w:rsidRDefault="00127334">
            <w:pPr>
              <w:rPr>
                <w:rFonts w:eastAsiaTheme="minorEastAsia"/>
                <w:lang w:eastAsia="zh-CN"/>
              </w:rPr>
            </w:pPr>
          </w:p>
        </w:tc>
        <w:tc>
          <w:tcPr>
            <w:tcW w:w="6228" w:type="dxa"/>
          </w:tcPr>
          <w:p w14:paraId="26A1ABAC" w14:textId="77777777" w:rsidR="00127334" w:rsidRDefault="00127334"/>
        </w:tc>
      </w:tr>
      <w:tr w:rsidR="00127334" w14:paraId="4E786C99" w14:textId="77777777">
        <w:tc>
          <w:tcPr>
            <w:tcW w:w="1696" w:type="dxa"/>
          </w:tcPr>
          <w:p w14:paraId="78186FF1" w14:textId="77777777" w:rsidR="00127334" w:rsidRDefault="00127334">
            <w:pPr>
              <w:rPr>
                <w:rFonts w:eastAsiaTheme="minorEastAsia"/>
                <w:lang w:eastAsia="zh-CN"/>
              </w:rPr>
            </w:pPr>
          </w:p>
        </w:tc>
        <w:tc>
          <w:tcPr>
            <w:tcW w:w="1281" w:type="dxa"/>
          </w:tcPr>
          <w:p w14:paraId="5C8B7971" w14:textId="77777777" w:rsidR="00127334" w:rsidRDefault="00127334">
            <w:pPr>
              <w:rPr>
                <w:rFonts w:eastAsiaTheme="minorEastAsia"/>
                <w:lang w:eastAsia="zh-CN"/>
              </w:rPr>
            </w:pPr>
          </w:p>
        </w:tc>
        <w:tc>
          <w:tcPr>
            <w:tcW w:w="6228" w:type="dxa"/>
          </w:tcPr>
          <w:p w14:paraId="6DBEDEDB" w14:textId="77777777" w:rsidR="00127334" w:rsidRDefault="00127334"/>
        </w:tc>
      </w:tr>
      <w:tr w:rsidR="00127334" w14:paraId="75BE9010" w14:textId="77777777">
        <w:tc>
          <w:tcPr>
            <w:tcW w:w="1696" w:type="dxa"/>
          </w:tcPr>
          <w:p w14:paraId="7CEAF8ED" w14:textId="77777777" w:rsidR="00127334" w:rsidRDefault="00127334">
            <w:pPr>
              <w:rPr>
                <w:rFonts w:eastAsiaTheme="minorEastAsia"/>
                <w:lang w:eastAsia="zh-CN"/>
              </w:rPr>
            </w:pPr>
          </w:p>
        </w:tc>
        <w:tc>
          <w:tcPr>
            <w:tcW w:w="1281" w:type="dxa"/>
          </w:tcPr>
          <w:p w14:paraId="5D5CAA03" w14:textId="77777777" w:rsidR="00127334" w:rsidRDefault="00127334">
            <w:pPr>
              <w:rPr>
                <w:rFonts w:eastAsiaTheme="minorEastAsia"/>
                <w:lang w:eastAsia="zh-CN"/>
              </w:rPr>
            </w:pPr>
          </w:p>
        </w:tc>
        <w:tc>
          <w:tcPr>
            <w:tcW w:w="6228" w:type="dxa"/>
          </w:tcPr>
          <w:p w14:paraId="46F31021" w14:textId="77777777" w:rsidR="00127334" w:rsidRDefault="00127334"/>
        </w:tc>
      </w:tr>
    </w:tbl>
    <w:p w14:paraId="2AA999FE" w14:textId="77777777" w:rsidR="00127334" w:rsidRDefault="00127334">
      <w:pPr>
        <w:spacing w:beforeLines="50" w:before="120"/>
        <w:jc w:val="both"/>
        <w:rPr>
          <w:rFonts w:eastAsiaTheme="minorEastAsia"/>
          <w:szCs w:val="22"/>
          <w:lang w:eastAsia="zh-CN"/>
        </w:rPr>
      </w:pPr>
    </w:p>
    <w:p w14:paraId="47857991" w14:textId="77777777" w:rsidR="00127334" w:rsidRDefault="00C301EC">
      <w:pPr>
        <w:pStyle w:val="Heading2"/>
        <w:rPr>
          <w:sz w:val="28"/>
          <w:szCs w:val="24"/>
          <w:lang w:eastAsia="zh-CN"/>
        </w:rPr>
      </w:pPr>
      <w:r>
        <w:rPr>
          <w:sz w:val="28"/>
          <w:szCs w:val="24"/>
          <w:lang w:eastAsia="zh-CN"/>
        </w:rPr>
        <w:t>Issue 3: IAB Congestion Mitigation MPS exemption</w:t>
      </w:r>
    </w:p>
    <w:p w14:paraId="669596C6"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 xml:space="preserve">ased on the </w:t>
      </w:r>
      <w:r>
        <w:rPr>
          <w:rFonts w:eastAsiaTheme="minorEastAsia"/>
          <w:szCs w:val="22"/>
          <w:lang w:eastAsia="zh-CN"/>
        </w:rPr>
        <w:t>following specification on Section 12.3.9.3.1 of TS 29.274.</w:t>
      </w:r>
    </w:p>
    <w:p w14:paraId="13C627BD" w14:textId="77777777" w:rsidR="00127334" w:rsidRDefault="00C301EC">
      <w:pPr>
        <w:pStyle w:val="ListParagraph"/>
        <w:numPr>
          <w:ilvl w:val="0"/>
          <w:numId w:val="9"/>
        </w:numPr>
        <w:spacing w:beforeLines="50" w:before="120"/>
        <w:rPr>
          <w:rFonts w:eastAsiaTheme="minorEastAsia"/>
        </w:rPr>
      </w:pPr>
      <w:r>
        <w:rPr>
          <w:rFonts w:ascii="Arial" w:hAnsi="Arial"/>
          <w:i/>
          <w:iCs/>
          <w:color w:val="000000"/>
        </w:rPr>
        <w:t xml:space="preserve">GTP requests related to priority traffic (i.e. eMPS as described in 3GPP TS 22.153 [62]) and emergency have the highest priority.  Depending on regional/national requirements and network operator </w:t>
      </w:r>
      <w:r>
        <w:rPr>
          <w:rFonts w:ascii="Arial" w:hAnsi="Arial"/>
          <w:i/>
          <w:iCs/>
          <w:color w:val="000000"/>
        </w:rPr>
        <w:t>policy, these GTP requests shall be the last to be throttled, when applying traffic reduction, and the priority traffic shall be exempted from throttling due to GTP overload control up to the point where the requested traffic reduction cannot be achieved w</w:t>
      </w:r>
      <w:r>
        <w:rPr>
          <w:rFonts w:ascii="Arial" w:hAnsi="Arial"/>
          <w:i/>
          <w:iCs/>
          <w:color w:val="000000"/>
        </w:rPr>
        <w:t>ithout 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w:t>
      </w:r>
      <w:r>
        <w:rPr>
          <w:rFonts w:eastAsiaTheme="minorEastAsia"/>
          <w:szCs w:val="22"/>
          <w:lang w:eastAsia="zh-CN"/>
        </w:rPr>
        <w:t xml:space="preserve">deo, and Data communication. And then priority traffic (e.g. MPS) at the IAB-DU and at </w:t>
      </w:r>
      <w:r>
        <w:rPr>
          <w:rFonts w:eastAsiaTheme="minorEastAsia"/>
          <w:szCs w:val="22"/>
          <w:lang w:eastAsia="zh-CN"/>
        </w:rPr>
        <w:lastRenderedPageBreak/>
        <w:t>intermediate IAB-nodes shall be exempted from overload reduction policy throttling/re-routing at the gNB-CU up to the point where the backhaul congestion mitigation cann</w:t>
      </w:r>
      <w:r>
        <w:rPr>
          <w:rFonts w:eastAsiaTheme="minorEastAsia"/>
          <w:szCs w:val="22"/>
          <w:lang w:eastAsia="zh-CN"/>
        </w:rPr>
        <w:t>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SimSun"/>
                <w:lang w:eastAsia="zh-CN"/>
              </w:rPr>
            </w:pPr>
            <w:r>
              <w:rPr>
                <w:rFonts w:eastAsia="SimSun"/>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r>
              <w:t>Yes with comments</w:t>
            </w:r>
          </w:p>
        </w:tc>
        <w:tc>
          <w:tcPr>
            <w:tcW w:w="6228" w:type="dxa"/>
          </w:tcPr>
          <w:p w14:paraId="618F3336" w14:textId="77777777" w:rsidR="00127334" w:rsidRDefault="00C301EC">
            <w:r>
              <w:t xml:space="preserve">Agree the MPS traffic shall be exempted. Suggest small re-wording, e.g. to align with other spec on the MPS traffic. </w:t>
            </w:r>
          </w:p>
          <w:p w14:paraId="4DAC9BE6" w14:textId="77777777" w:rsidR="00127334" w:rsidRDefault="00C301EC">
            <w:ins w:id="80" w:author="Achilles Kogiantis" w:date="2021-05-04T14:58:00Z">
              <w:del w:id="81" w:author="Xu, Steven 1. (NSB - CN/Beijing)" w:date="2021-11-02T17:51:00Z">
                <w:r>
                  <w:rPr>
                    <w:lang w:eastAsia="zh-CN"/>
                  </w:rPr>
                  <w:delText>Depending on</w:delText>
                </w:r>
              </w:del>
            </w:ins>
            <w:ins w:id="82" w:author="Xu, Steven 1. (NSB - CN/Beijing)" w:date="2021-11-02T17:51:00Z">
              <w:r>
                <w:rPr>
                  <w:lang w:eastAsia="zh-CN"/>
                </w:rPr>
                <w:t>If required by the</w:t>
              </w:r>
            </w:ins>
            <w:ins w:id="83" w:author="Achilles Kogiantis" w:date="2021-05-04T14:58:00Z">
              <w:r>
                <w:rPr>
                  <w:lang w:eastAsia="zh-CN"/>
                </w:rPr>
                <w:t xml:space="preserve"> regional/national requirements and network operator policy, priority traffic (e.g. MPS) </w:t>
              </w:r>
            </w:ins>
            <w:ins w:id="84" w:author="Xu, Steven 1. (NSB - CN/Beijing)" w:date="2021-11-02T17:53:00Z">
              <w:r>
                <w:rPr>
                  <w:lang w:eastAsia="zh-CN"/>
                </w:rPr>
                <w:t>transferred via the</w:t>
              </w:r>
              <w:r>
                <w:rPr>
                  <w:lang w:eastAsia="zh-CN"/>
                </w:rPr>
                <w:t xml:space="preserve"> congested child node or the congested BH RLC CH</w:t>
              </w:r>
            </w:ins>
            <w:ins w:id="85" w:author="Achilles Kogiantis" w:date="2021-05-04T14:58:00Z">
              <w:del w:id="86" w:author="Xu, Steven 1. (NSB - CN/Beijing)" w:date="2021-11-02T17:53:00Z">
                <w:r>
                  <w:delText>at the IAB-DU and at intermediate IAB-nodes</w:delText>
                </w:r>
              </w:del>
              <w:r>
                <w:rPr>
                  <w:lang w:eastAsia="zh-CN"/>
                </w:rPr>
                <w:t xml:space="preserve"> shall be exempted</w:t>
              </w:r>
            </w:ins>
            <w:ins w:id="87"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88"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89" w:author="Ericsson User" w:date="2021-11-02T20:59:00Z">
              <w:r>
                <w:rPr>
                  <w:rFonts w:eastAsiaTheme="minorEastAsia"/>
                  <w:lang w:eastAsia="zh-CN"/>
                </w:rPr>
                <w:t>See comment</w:t>
              </w:r>
            </w:ins>
          </w:p>
        </w:tc>
        <w:tc>
          <w:tcPr>
            <w:tcW w:w="6228" w:type="dxa"/>
          </w:tcPr>
          <w:p w14:paraId="6EED667E" w14:textId="77777777" w:rsidR="00127334" w:rsidRDefault="00C301EC">
            <w:ins w:id="90" w:author="Ericsson User" w:date="2021-11-02T20:58:00Z">
              <w:r>
                <w:t xml:space="preserve">As much as we understand the motivation, we need to point out that RAN3 will not specify </w:t>
              </w:r>
            </w:ins>
            <w:ins w:id="91" w:author="Ericsson User" w:date="2021-11-02T21:11:00Z">
              <w:r>
                <w:t>action</w:t>
              </w:r>
            </w:ins>
            <w:ins w:id="92" w:author="Ericsson User" w:date="2021-11-02T21:12:00Z">
              <w:r>
                <w:t xml:space="preserve">s or </w:t>
              </w:r>
            </w:ins>
            <w:ins w:id="93" w:author="Ericsson User" w:date="2021-11-02T20:59:00Z">
              <w:r>
                <w:t>polic</w:t>
              </w:r>
            </w:ins>
            <w:ins w:id="94" w:author="Ericsson User" w:date="2021-11-02T21:12:00Z">
              <w:r>
                <w:t>ies</w:t>
              </w:r>
            </w:ins>
            <w:ins w:id="95" w:author="Ericsson User" w:date="2021-11-02T20:59:00Z">
              <w:r>
                <w:t xml:space="preserve"> for mitigating the </w:t>
              </w:r>
            </w:ins>
            <w:ins w:id="96" w:author="Ericsson User" w:date="2021-11-02T21:11:00Z">
              <w:r>
                <w:t xml:space="preserve">backhaul </w:t>
              </w:r>
            </w:ins>
            <w:ins w:id="97" w:author="Ericsson User" w:date="2021-11-02T20:59:00Z">
              <w:r>
                <w:t>congestion.</w:t>
              </w:r>
            </w:ins>
            <w:ins w:id="98" w:author="Ericsson User" w:date="2021-11-02T21:00:00Z">
              <w:r>
                <w:t xml:space="preserve"> The configuration of the network can enforce the policy and the operator must anyway obey the national/regi</w:t>
              </w:r>
              <w:r>
                <w:t>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99" w:author="Samsung" w:date="2021-11-03T14:22:00Z">
              <w:r>
                <w:rPr>
                  <w:rFonts w:eastAsiaTheme="minorEastAsia" w:hint="eastAsia"/>
                  <w:lang w:eastAsia="zh-CN"/>
                </w:rPr>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00"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01"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02"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03"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04" w:author="Lenovo" w:date="2021-11-03T15:49:00Z">
              <w:r>
                <w:rPr>
                  <w:rFonts w:eastAsiaTheme="minorEastAsia" w:hint="eastAsia"/>
                  <w:lang w:eastAsia="zh-CN"/>
                </w:rPr>
                <w:t>N</w:t>
              </w:r>
            </w:ins>
            <w:ins w:id="105"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06" w:author="Lenovo" w:date="2021-11-03T15:51:00Z">
              <w:r>
                <w:rPr>
                  <w:rFonts w:eastAsiaTheme="minorEastAsia" w:hint="eastAsia"/>
                  <w:lang w:eastAsia="zh-CN"/>
                </w:rPr>
                <w:t>A</w:t>
              </w:r>
              <w:r>
                <w:rPr>
                  <w:rFonts w:eastAsiaTheme="minorEastAsia"/>
                  <w:lang w:eastAsia="zh-CN"/>
                </w:rPr>
                <w:t>gree with Samsung</w:t>
              </w:r>
            </w:ins>
            <w:ins w:id="107" w:author="Lenovo" w:date="2021-11-03T15:54:00Z">
              <w:r>
                <w:rPr>
                  <w:rFonts w:eastAsiaTheme="minorEastAsia"/>
                  <w:lang w:eastAsia="zh-CN"/>
                </w:rPr>
                <w:t xml:space="preserve"> that MPS is not a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08"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09" w:author="ZTE" w:date="2021-11-03T16:56:00Z">
              <w:r>
                <w:rPr>
                  <w:rFonts w:eastAsiaTheme="minorEastAsia" w:hint="eastAsia"/>
                  <w:lang w:eastAsia="zh-CN"/>
                </w:rPr>
                <w:t xml:space="preserve">No </w:t>
              </w:r>
            </w:ins>
          </w:p>
        </w:tc>
        <w:tc>
          <w:tcPr>
            <w:tcW w:w="6228" w:type="dxa"/>
          </w:tcPr>
          <w:p w14:paraId="562423F6" w14:textId="77777777" w:rsidR="00127334" w:rsidRDefault="00C301EC">
            <w:ins w:id="110" w:author="ZTE" w:date="2021-11-03T16:56:00Z">
              <w:r>
                <w:rPr>
                  <w:rFonts w:eastAsiaTheme="minorEastAsia"/>
                  <w:lang w:eastAsia="zh-CN"/>
                </w:rPr>
                <w:t>The MPS traffic handling in case of congestion mitigation is not IAB specific and could be up to impleme</w:t>
              </w:r>
              <w:r>
                <w:rPr>
                  <w:rFonts w:eastAsiaTheme="minorEastAsia"/>
                  <w:lang w:eastAsia="zh-CN"/>
                </w:rPr>
                <w:t>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11"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12" w:author="QCOM" w:date="2021-11-03T10:20:00Z">
              <w:r>
                <w:rPr>
                  <w:rFonts w:eastAsiaTheme="minorEastAsia"/>
                  <w:lang w:eastAsia="zh-CN"/>
                </w:rPr>
                <w:t>No</w:t>
              </w:r>
            </w:ins>
          </w:p>
        </w:tc>
        <w:tc>
          <w:tcPr>
            <w:tcW w:w="6228" w:type="dxa"/>
          </w:tcPr>
          <w:p w14:paraId="6EFC61E3" w14:textId="4364D52A" w:rsidR="00127334" w:rsidRDefault="002F4A9C">
            <w:ins w:id="113" w:author="QCOM" w:date="2021-11-03T10:20:00Z">
              <w:r>
                <w:t>Agree with Ericsson, Samsung and ZTE.</w:t>
              </w:r>
            </w:ins>
          </w:p>
        </w:tc>
      </w:tr>
      <w:tr w:rsidR="00127334" w14:paraId="01BDB6C1" w14:textId="77777777">
        <w:tc>
          <w:tcPr>
            <w:tcW w:w="1696" w:type="dxa"/>
          </w:tcPr>
          <w:p w14:paraId="4B339EE7" w14:textId="77777777" w:rsidR="00127334" w:rsidRDefault="00127334">
            <w:pPr>
              <w:rPr>
                <w:rFonts w:eastAsiaTheme="minorEastAsia"/>
                <w:lang w:eastAsia="zh-CN"/>
              </w:rPr>
            </w:pPr>
          </w:p>
        </w:tc>
        <w:tc>
          <w:tcPr>
            <w:tcW w:w="1281" w:type="dxa"/>
          </w:tcPr>
          <w:p w14:paraId="1663F091" w14:textId="77777777" w:rsidR="00127334" w:rsidRDefault="00127334">
            <w:pPr>
              <w:rPr>
                <w:rFonts w:eastAsiaTheme="minorEastAsia"/>
                <w:lang w:eastAsia="zh-CN"/>
              </w:rPr>
            </w:pPr>
          </w:p>
        </w:tc>
        <w:tc>
          <w:tcPr>
            <w:tcW w:w="6228" w:type="dxa"/>
          </w:tcPr>
          <w:p w14:paraId="1310ACB1" w14:textId="77777777" w:rsidR="00127334" w:rsidRDefault="00127334"/>
        </w:tc>
      </w:tr>
      <w:tr w:rsidR="00127334" w14:paraId="7E562F41" w14:textId="77777777">
        <w:tc>
          <w:tcPr>
            <w:tcW w:w="1696" w:type="dxa"/>
          </w:tcPr>
          <w:p w14:paraId="6618C348" w14:textId="77777777" w:rsidR="00127334" w:rsidRDefault="00127334">
            <w:pPr>
              <w:rPr>
                <w:rFonts w:eastAsiaTheme="minorEastAsia"/>
                <w:lang w:eastAsia="zh-CN"/>
              </w:rPr>
            </w:pPr>
          </w:p>
        </w:tc>
        <w:tc>
          <w:tcPr>
            <w:tcW w:w="1281" w:type="dxa"/>
          </w:tcPr>
          <w:p w14:paraId="5F0891B3" w14:textId="77777777" w:rsidR="00127334" w:rsidRDefault="00127334">
            <w:pPr>
              <w:rPr>
                <w:rFonts w:eastAsiaTheme="minorEastAsia"/>
                <w:lang w:eastAsia="zh-CN"/>
              </w:rPr>
            </w:pPr>
          </w:p>
        </w:tc>
        <w:tc>
          <w:tcPr>
            <w:tcW w:w="6228" w:type="dxa"/>
          </w:tcPr>
          <w:p w14:paraId="66CA6A20" w14:textId="77777777" w:rsidR="00127334" w:rsidRDefault="00127334"/>
        </w:tc>
      </w:tr>
    </w:tbl>
    <w:p w14:paraId="4B5FC474" w14:textId="77777777" w:rsidR="00127334" w:rsidRDefault="00127334">
      <w:pPr>
        <w:spacing w:beforeLines="50" w:before="120"/>
        <w:jc w:val="both"/>
        <w:rPr>
          <w:rFonts w:eastAsiaTheme="minorEastAsia"/>
          <w:szCs w:val="22"/>
          <w:lang w:eastAsia="zh-CN"/>
        </w:rPr>
      </w:pPr>
    </w:p>
    <w:p w14:paraId="34006916" w14:textId="77777777" w:rsidR="00127334" w:rsidRDefault="00C301EC">
      <w:pPr>
        <w:pStyle w:val="Heading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Heading4"/>
              <w:rPr>
                <w:szCs w:val="20"/>
                <w:lang w:eastAsia="en-US"/>
              </w:rPr>
            </w:pPr>
            <w:bookmarkStart w:id="114" w:name="_Toc66289170"/>
            <w:bookmarkStart w:id="115" w:name="_Toc64448511"/>
            <w:bookmarkStart w:id="116" w:name="_Toc74154283"/>
            <w:r>
              <w:lastRenderedPageBreak/>
              <w:t>8.2.7.2</w:t>
            </w:r>
            <w:r>
              <w:tab/>
              <w:t>Successful Operation</w:t>
            </w:r>
            <w:bookmarkEnd w:id="114"/>
            <w:bookmarkEnd w:id="115"/>
            <w:bookmarkEnd w:id="116"/>
          </w:p>
          <w:p w14:paraId="121FB0DA" w14:textId="77777777" w:rsidR="00127334" w:rsidRDefault="00C301EC">
            <w:pPr>
              <w:pStyle w:val="TH"/>
              <w:rPr>
                <w:rFonts w:eastAsia="SimSun"/>
              </w:rPr>
            </w:pPr>
            <w: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5pt;height:128.4pt" o:ole="">
                  <v:imagedata r:id="rId13" o:title=""/>
                </v:shape>
                <o:OLEObject Type="Embed" ProgID="Word.Picture.8" ShapeID="_x0000_i1025" DrawAspect="Content" ObjectID="_1697440228" r:id="rId14"/>
              </w:object>
            </w:r>
          </w:p>
          <w:p w14:paraId="64D051AB" w14:textId="77777777" w:rsidR="00127334" w:rsidRDefault="00C301EC">
            <w:pPr>
              <w:pStyle w:val="TF"/>
            </w:pPr>
            <w:r>
              <w:t xml:space="preserve">Figure </w:t>
            </w:r>
            <w:r>
              <w:t>8.2.7.2-1: gNB-DU Status Indication procedure</w:t>
            </w:r>
          </w:p>
          <w:p w14:paraId="26D9E8FC" w14:textId="77777777" w:rsidR="00127334" w:rsidRDefault="00C301EC">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10CBD98D" w14:textId="77777777" w:rsidR="00127334" w:rsidRDefault="00C301EC">
            <w:r>
              <w:t>The detailed overloa</w:t>
            </w:r>
            <w:r>
              <w:t>d reduction policy is up to gNB-CU implementation.</w:t>
            </w:r>
          </w:p>
          <w:p w14:paraId="7765AD11" w14:textId="77777777" w:rsidR="00127334" w:rsidRDefault="00C301EC">
            <w:pPr>
              <w:rPr>
                <w:del w:id="117" w:author="Huawei" w:date="2021-10-21T11:24:00Z"/>
              </w:rPr>
            </w:pPr>
            <w:del w:id="118"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w:t>
            </w:r>
            <w:r>
              <w:rPr>
                <w:i/>
                <w:iCs/>
              </w:rPr>
              <w:t>ication</w:t>
            </w:r>
            <w:r>
              <w:t xml:space="preserve"> IE </w:t>
            </w:r>
            <w:ins w:id="119" w:author="Huawei" w:date="2021-10-21T11:24:00Z">
              <w:r>
                <w:t xml:space="preserve">is present </w:t>
              </w:r>
            </w:ins>
            <w:r>
              <w:t xml:space="preserve">in the GNB-DU STATUS INDICATION message </w:t>
            </w:r>
            <w:ins w:id="120" w:author="Huawei" w:date="2021-10-21T11:24:00Z">
              <w:r>
                <w:t xml:space="preserve">and </w:t>
              </w:r>
            </w:ins>
            <w:r>
              <w:t xml:space="preserve">only includes the </w:t>
            </w:r>
            <w:r>
              <w:rPr>
                <w:i/>
                <w:iCs/>
              </w:rPr>
              <w:t xml:space="preserve">Child Node Identifier </w:t>
            </w:r>
            <w:r>
              <w:t xml:space="preserve">IE, the gNB-CU shall, if supported, consider that the </w:t>
            </w:r>
            <w:ins w:id="121" w:author="Huawei" w:date="2021-10-19T19:17:00Z">
              <w:r>
                <w:t xml:space="preserve">backhaul </w:t>
              </w:r>
            </w:ins>
            <w:r>
              <w:t xml:space="preserve">link to the child node is congested. If the </w:t>
            </w:r>
            <w:r>
              <w:rPr>
                <w:i/>
                <w:iCs/>
              </w:rPr>
              <w:t>IAB Congestion Indication</w:t>
            </w:r>
            <w:r>
              <w:t xml:space="preserve"> IE </w:t>
            </w:r>
            <w:ins w:id="122" w:author="Huawei" w:date="2021-10-21T11:24:00Z">
              <w:r>
                <w:t xml:space="preserve">is present </w:t>
              </w:r>
            </w:ins>
            <w:r>
              <w:t xml:space="preserve">in </w:t>
            </w:r>
            <w:r>
              <w:t xml:space="preserve">the GNB-DU STATUS INDICATION message </w:t>
            </w:r>
            <w:ins w:id="123" w:author="Huawei" w:date="2021-10-21T11:25:00Z">
              <w:r>
                <w:t xml:space="preserve">and </w:t>
              </w:r>
            </w:ins>
            <w:r>
              <w:t xml:space="preserve">includes </w:t>
            </w:r>
            <w:ins w:id="124"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125" w:author="Huawei" w:date="2021-10-21T11:25:00Z">
              <w:r>
                <w:delText xml:space="preserve">NOTE: The handling with respect to simultaneous presence of </w:delText>
              </w:r>
              <w:r>
                <w:rPr>
                  <w:i/>
                  <w:iCs/>
                </w:rPr>
                <w:delText>IAB Congestio</w:delText>
              </w:r>
              <w:r>
                <w:rPr>
                  <w:i/>
                  <w:iCs/>
                </w:rPr>
                <w:delText>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SimSun"/>
                <w:lang w:eastAsia="zh-CN"/>
              </w:rPr>
            </w:pPr>
            <w:r>
              <w:rPr>
                <w:rFonts w:eastAsia="SimSun"/>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126"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127" w:author="Ericsson User" w:date="2021-11-02T21:06:00Z">
              <w:r>
                <w:rPr>
                  <w:rFonts w:eastAsiaTheme="minorEastAsia"/>
                  <w:lang w:eastAsia="zh-CN"/>
                </w:rPr>
                <w:t>Yes, and</w:t>
              </w:r>
            </w:ins>
          </w:p>
        </w:tc>
        <w:tc>
          <w:tcPr>
            <w:tcW w:w="6228" w:type="dxa"/>
          </w:tcPr>
          <w:p w14:paraId="68DAAF7A" w14:textId="77777777" w:rsidR="00127334" w:rsidRDefault="00C301EC">
            <w:ins w:id="128" w:author="Ericsson User" w:date="2021-11-02T21:06:00Z">
              <w:r>
                <w:t xml:space="preserve">Perhaps “occurs to” should be changed to “occurs </w:t>
              </w:r>
            </w:ins>
            <w:ins w:id="129" w:author="Ericsson User" w:date="2021-11-02T21:11:00Z">
              <w:r>
                <w:t>on</w:t>
              </w:r>
            </w:ins>
            <w:ins w:id="130"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131"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132"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133"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134"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135"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136"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137"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138" w:author="QCOM" w:date="2021-11-03T10:21:00Z">
              <w:r>
                <w:rPr>
                  <w:rFonts w:eastAsiaTheme="minorEastAsia"/>
                  <w:lang w:eastAsia="zh-CN"/>
                </w:rPr>
                <w:t>Yes</w:t>
              </w:r>
            </w:ins>
          </w:p>
        </w:tc>
        <w:tc>
          <w:tcPr>
            <w:tcW w:w="6228" w:type="dxa"/>
          </w:tcPr>
          <w:p w14:paraId="2BA87922" w14:textId="77777777" w:rsidR="00127334" w:rsidRDefault="00127334"/>
        </w:tc>
      </w:tr>
      <w:tr w:rsidR="00127334" w14:paraId="02E6FD73" w14:textId="77777777">
        <w:tc>
          <w:tcPr>
            <w:tcW w:w="1696" w:type="dxa"/>
          </w:tcPr>
          <w:p w14:paraId="0855292B" w14:textId="77777777" w:rsidR="00127334" w:rsidRDefault="00127334">
            <w:pPr>
              <w:rPr>
                <w:rFonts w:eastAsiaTheme="minorEastAsia"/>
                <w:lang w:eastAsia="zh-CN"/>
              </w:rPr>
            </w:pPr>
          </w:p>
        </w:tc>
        <w:tc>
          <w:tcPr>
            <w:tcW w:w="1281" w:type="dxa"/>
          </w:tcPr>
          <w:p w14:paraId="461910FD" w14:textId="77777777" w:rsidR="00127334" w:rsidRDefault="00127334">
            <w:pPr>
              <w:rPr>
                <w:rFonts w:eastAsiaTheme="minorEastAsia"/>
                <w:lang w:eastAsia="zh-CN"/>
              </w:rPr>
            </w:pPr>
          </w:p>
        </w:tc>
        <w:tc>
          <w:tcPr>
            <w:tcW w:w="6228" w:type="dxa"/>
          </w:tcPr>
          <w:p w14:paraId="4AADA6DB" w14:textId="77777777" w:rsidR="00127334" w:rsidRDefault="00127334"/>
        </w:tc>
      </w:tr>
      <w:tr w:rsidR="00127334" w14:paraId="465DDB45" w14:textId="77777777">
        <w:tc>
          <w:tcPr>
            <w:tcW w:w="1696" w:type="dxa"/>
          </w:tcPr>
          <w:p w14:paraId="7295C8BD" w14:textId="77777777" w:rsidR="00127334" w:rsidRDefault="00127334">
            <w:pPr>
              <w:rPr>
                <w:rFonts w:eastAsiaTheme="minorEastAsia"/>
                <w:lang w:eastAsia="zh-CN"/>
              </w:rPr>
            </w:pPr>
          </w:p>
        </w:tc>
        <w:tc>
          <w:tcPr>
            <w:tcW w:w="1281" w:type="dxa"/>
          </w:tcPr>
          <w:p w14:paraId="7743020E" w14:textId="77777777" w:rsidR="00127334" w:rsidRDefault="00127334">
            <w:pPr>
              <w:rPr>
                <w:rFonts w:eastAsiaTheme="minorEastAsia"/>
                <w:lang w:eastAsia="zh-CN"/>
              </w:rPr>
            </w:pPr>
          </w:p>
        </w:tc>
        <w:tc>
          <w:tcPr>
            <w:tcW w:w="6228" w:type="dxa"/>
          </w:tcPr>
          <w:p w14:paraId="60B2CC8B" w14:textId="77777777" w:rsidR="00127334" w:rsidRDefault="00127334"/>
        </w:tc>
      </w:tr>
    </w:tbl>
    <w:p w14:paraId="19B1B9B0" w14:textId="77777777" w:rsidR="00127334" w:rsidRDefault="00127334">
      <w:pPr>
        <w:spacing w:beforeLines="50" w:before="120"/>
        <w:jc w:val="both"/>
        <w:rPr>
          <w:rFonts w:eastAsiaTheme="minorEastAsia"/>
          <w:szCs w:val="22"/>
          <w:lang w:eastAsia="zh-CN"/>
        </w:rPr>
      </w:pPr>
    </w:p>
    <w:p w14:paraId="522D63B0" w14:textId="77777777" w:rsidR="00127334" w:rsidRDefault="00C301EC">
      <w:pPr>
        <w:pStyle w:val="Heading2"/>
        <w:rPr>
          <w:sz w:val="28"/>
          <w:szCs w:val="24"/>
          <w:lang w:eastAsia="zh-CN"/>
        </w:rPr>
      </w:pPr>
      <w:r>
        <w:rPr>
          <w:sz w:val="28"/>
          <w:szCs w:val="24"/>
          <w:lang w:eastAsia="zh-CN"/>
        </w:rPr>
        <w:lastRenderedPageBreak/>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139" w:author="Ericsson User" w:date="2021-11-02T21:07:00Z">
              <w:r>
                <w:rPr>
                  <w:b/>
                  <w:bCs/>
                </w:rPr>
                <w:t>Ericsson</w:t>
              </w:r>
            </w:ins>
          </w:p>
        </w:tc>
        <w:tc>
          <w:tcPr>
            <w:tcW w:w="7513" w:type="dxa"/>
          </w:tcPr>
          <w:p w14:paraId="15A872D3" w14:textId="77777777" w:rsidR="00127334" w:rsidRDefault="00C301EC">
            <w:ins w:id="140"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141" w:author="Lenovo" w:date="2021-11-03T15:52:00Z">
              <w:r>
                <w:rPr>
                  <w:rFonts w:eastAsiaTheme="minorEastAsia" w:hint="eastAsia"/>
                  <w:lang w:eastAsia="zh-CN"/>
                </w:rPr>
                <w:t>Lenovo</w:t>
              </w:r>
            </w:ins>
          </w:p>
        </w:tc>
        <w:tc>
          <w:tcPr>
            <w:tcW w:w="7513" w:type="dxa"/>
          </w:tcPr>
          <w:p w14:paraId="33CE5D8F" w14:textId="77777777" w:rsidR="00127334" w:rsidRDefault="00C301EC">
            <w:ins w:id="142"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143"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144" w:author="QCOM" w:date="2021-11-03T10:22:00Z">
              <w:r>
                <w:rPr>
                  <w:rFonts w:eastAsiaTheme="minorEastAsia"/>
                  <w:lang w:eastAsia="zh-CN"/>
                </w:rPr>
                <w:t>Agree, the AI can be closed.</w:t>
              </w:r>
            </w:ins>
          </w:p>
        </w:tc>
      </w:tr>
      <w:tr w:rsidR="00127334" w14:paraId="7F900F46" w14:textId="77777777">
        <w:tc>
          <w:tcPr>
            <w:tcW w:w="1696" w:type="dxa"/>
          </w:tcPr>
          <w:p w14:paraId="6C077E7C" w14:textId="77777777" w:rsidR="00127334" w:rsidRDefault="00127334">
            <w:pPr>
              <w:rPr>
                <w:rFonts w:eastAsiaTheme="minorEastAsia"/>
                <w:lang w:eastAsia="zh-CN"/>
              </w:rPr>
            </w:pPr>
          </w:p>
        </w:tc>
        <w:tc>
          <w:tcPr>
            <w:tcW w:w="7513" w:type="dxa"/>
          </w:tcPr>
          <w:p w14:paraId="768C4DC2" w14:textId="77777777" w:rsidR="00127334" w:rsidRDefault="00127334"/>
        </w:tc>
      </w:tr>
      <w:tr w:rsidR="00127334" w14:paraId="321FB97E" w14:textId="77777777">
        <w:tc>
          <w:tcPr>
            <w:tcW w:w="1696" w:type="dxa"/>
          </w:tcPr>
          <w:p w14:paraId="54A6DDC0" w14:textId="77777777" w:rsidR="00127334" w:rsidRDefault="00127334">
            <w:pPr>
              <w:rPr>
                <w:rFonts w:eastAsiaTheme="minorEastAsia"/>
                <w:lang w:eastAsia="zh-CN"/>
              </w:rPr>
            </w:pPr>
          </w:p>
        </w:tc>
        <w:tc>
          <w:tcPr>
            <w:tcW w:w="7513" w:type="dxa"/>
          </w:tcPr>
          <w:p w14:paraId="2095E931" w14:textId="77777777" w:rsidR="00127334" w:rsidRDefault="00127334"/>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6202A18F" w14:textId="77777777" w:rsidR="00127334" w:rsidRDefault="00127334">
      <w:pPr>
        <w:spacing w:beforeLines="50" w:before="120"/>
        <w:jc w:val="both"/>
        <w:rPr>
          <w:rFonts w:eastAsiaTheme="minorEastAsia"/>
          <w:szCs w:val="22"/>
          <w:lang w:eastAsia="zh-CN"/>
        </w:rPr>
      </w:pPr>
    </w:p>
    <w:p w14:paraId="19FCCDC8" w14:textId="77777777" w:rsidR="00127334" w:rsidRDefault="00C301EC">
      <w:pPr>
        <w:pStyle w:val="Heading1"/>
      </w:pPr>
      <w:r>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Heading1"/>
      </w:pPr>
      <w:r>
        <w:t>References</w:t>
      </w:r>
    </w:p>
    <w:p w14:paraId="081E7BE2" w14:textId="77777777" w:rsidR="00127334" w:rsidRDefault="00C301EC">
      <w:pPr>
        <w:pStyle w:val="Reference"/>
        <w:rPr>
          <w:lang w:val="it-IT"/>
        </w:rPr>
      </w:pPr>
      <w:r>
        <w:rPr>
          <w:lang w:val="it-IT"/>
        </w:rPr>
        <w:t xml:space="preserve">R3-214825 (TP for IAB BL CR for TS 38.473) Congestion Mitigation in IAB </w:t>
      </w:r>
      <w:r>
        <w:rPr>
          <w:lang w:val="it-IT"/>
        </w:rPr>
        <w:t>Networks Ericsson</w:t>
      </w:r>
    </w:p>
    <w:p w14:paraId="148331E5" w14:textId="77777777" w:rsidR="00127334" w:rsidRDefault="00C301EC">
      <w:pPr>
        <w:pStyle w:val="Reference"/>
        <w:rPr>
          <w:lang w:val="it-IT"/>
        </w:rPr>
      </w:pPr>
      <w:r>
        <w:rPr>
          <w:lang w:val="it-IT"/>
        </w:rPr>
        <w:t>R3-214929 (TP for NR_IAB_enh BL CR for TS 38.473): Congestion indication in CP-based congestion mitigation ZTE</w:t>
      </w:r>
    </w:p>
    <w:p w14:paraId="081DD8CA" w14:textId="77777777" w:rsidR="00127334" w:rsidRDefault="00C301EC">
      <w:pPr>
        <w:pStyle w:val="Reference"/>
        <w:rPr>
          <w:lang w:val="it-IT"/>
        </w:rPr>
      </w:pPr>
      <w:r>
        <w:rPr>
          <w:lang w:val="it-IT"/>
        </w:rPr>
        <w:t>R3-215008 (TP for IAB BLCR 38.473) IAB Congestion Mitigation MPS exemption Peraton Labs, CISA ECD, AT&amp;T, Verizon</w:t>
      </w:r>
    </w:p>
    <w:p w14:paraId="7C127281" w14:textId="77777777" w:rsidR="00127334" w:rsidRDefault="00C301EC">
      <w:pPr>
        <w:pStyle w:val="Reference"/>
        <w:rPr>
          <w:lang w:val="it-IT"/>
        </w:rPr>
      </w:pPr>
      <w:r>
        <w:rPr>
          <w:lang w:val="it-IT"/>
        </w:rPr>
        <w:t xml:space="preserve">R3-215305 (TP </w:t>
      </w:r>
      <w:r>
        <w:rPr>
          <w:lang w:val="it-IT"/>
        </w:rPr>
        <w:t>for IAB BL CR for TS 38.473) Remaining issues on congestion mitigation for IAB Lenovo, Motorola Mobility</w:t>
      </w:r>
    </w:p>
    <w:p w14:paraId="6ABFB6BF" w14:textId="77777777" w:rsidR="00127334" w:rsidRDefault="00C301EC">
      <w:pPr>
        <w:pStyle w:val="Reference"/>
        <w:rPr>
          <w:lang w:val="it-IT"/>
        </w:rPr>
      </w:pPr>
      <w:r>
        <w:rPr>
          <w:lang w:val="it-IT"/>
        </w:rPr>
        <w:t>R3-215609 Discussion on IAB congestion mitigation Huawei</w:t>
      </w:r>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0BD1"/>
    <w:rsid w:val="001749E8"/>
    <w:rsid w:val="0017514A"/>
    <w:rsid w:val="00175A05"/>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1C09F"/>
  <w15:docId w15:val="{B0D7982F-4CC1-4190-B0D5-6F51418B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ListParagraphChar">
    <w:name w:val="List Paragraph Char"/>
    <w:link w:val="ListParagraph"/>
    <w:uiPriority w:val="34"/>
    <w:qFormat/>
    <w:locked/>
    <w:rPr>
      <w:rFonts w:ascii="Calibri" w:eastAsia="DengXian" w:hAnsi="Calibri" w:cs="Arial"/>
      <w:kern w:val="2"/>
      <w:sz w:val="21"/>
      <w:szCs w:val="22"/>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Proposal">
    <w:name w:val="Proposal"/>
    <w:basedOn w:val="Normal"/>
    <w:qFormat/>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Normal"/>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Normal"/>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Normal"/>
    <w:qFormat/>
    <w:pPr>
      <w:spacing w:after="180" w:line="240" w:lineRule="auto"/>
      <w:ind w:left="1135" w:hanging="284"/>
    </w:pPr>
    <w:rPr>
      <w:rFonts w:eastAsia="Times New Roman"/>
      <w:sz w:val="20"/>
      <w:szCs w:val="20"/>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Normal"/>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D:/Standards/IAB/Meeting%20List/RAN3/RAN3%20114-e/Inbox/Drafts/Chairs_Notes/Inbox/R3-21590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2.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3.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73120E-FE40-4ABB-8749-8485EFBCB687}">
  <ds:schemaRefs>
    <ds:schemaRef ds:uri="http://schemas.openxmlformats.org/officeDocument/2006/bibliography"/>
  </ds:schemaRefs>
</ds:datastoreItem>
</file>

<file path=customXml/itemProps7.xml><?xml version="1.0" encoding="utf-8"?>
<ds:datastoreItem xmlns:ds="http://schemas.openxmlformats.org/officeDocument/2006/customXml" ds:itemID="{FFA4EEC1-7304-418E-AD3E-C4A0C51BE9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QCOM</cp:lastModifiedBy>
  <cp:revision>8</cp:revision>
  <dcterms:created xsi:type="dcterms:W3CDTF">2021-11-03T13:46:00Z</dcterms:created>
  <dcterms:modified xsi:type="dcterms:W3CDTF">2021-11-03T14:23:00Z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