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91F62" w14:textId="45F47E54" w:rsidR="001C0C0A" w:rsidRPr="003555EC" w:rsidRDefault="001C0C0A" w:rsidP="001C0C0A">
      <w:pPr>
        <w:pStyle w:val="3GPPHeader"/>
        <w:spacing w:after="60"/>
        <w:rPr>
          <w:sz w:val="32"/>
          <w:szCs w:val="32"/>
          <w:lang w:val="en-US"/>
        </w:rPr>
      </w:pPr>
      <w:r w:rsidRPr="00DA4F8C">
        <w:rPr>
          <w:lang w:val="en-US"/>
        </w:rPr>
        <w:t>3GPP TSG-RAN WG</w:t>
      </w:r>
      <w:r>
        <w:rPr>
          <w:lang w:val="en-US"/>
        </w:rPr>
        <w:t>3</w:t>
      </w:r>
      <w:r w:rsidRPr="00DA4F8C">
        <w:rPr>
          <w:lang w:val="en-US"/>
        </w:rPr>
        <w:t xml:space="preserve"> #10</w:t>
      </w:r>
      <w:r>
        <w:rPr>
          <w:lang w:val="en-US"/>
        </w:rPr>
        <w:t>4</w:t>
      </w:r>
      <w:r w:rsidRPr="00365827">
        <w:rPr>
          <w:lang w:val="en-US"/>
        </w:rPr>
        <w:tab/>
      </w:r>
      <w:r w:rsidRPr="00291773">
        <w:rPr>
          <w:lang w:val="en-US"/>
        </w:rPr>
        <w:t>R3-</w:t>
      </w:r>
      <w:r w:rsidRPr="003555EC">
        <w:rPr>
          <w:lang w:val="en-US"/>
        </w:rPr>
        <w:t>19</w:t>
      </w:r>
      <w:r w:rsidR="003555EC" w:rsidRPr="003555EC">
        <w:rPr>
          <w:lang w:val="en-US"/>
        </w:rPr>
        <w:t>3070</w:t>
      </w:r>
    </w:p>
    <w:p w14:paraId="6B669E58" w14:textId="5465C193" w:rsidR="003E19D7" w:rsidRPr="00CE6FEE" w:rsidRDefault="001C0C0A" w:rsidP="001C0C0A">
      <w:pPr>
        <w:pStyle w:val="3GPPHeader"/>
        <w:jc w:val="right"/>
        <w:rPr>
          <w:rFonts w:cs="Arial"/>
        </w:rPr>
      </w:pPr>
      <w:r>
        <w:t>Reno</w:t>
      </w:r>
      <w:r w:rsidRPr="00DA4F8C">
        <w:t xml:space="preserve">, </w:t>
      </w:r>
      <w:r>
        <w:t>Nevada, US</w:t>
      </w:r>
      <w:r w:rsidRPr="00DA4F8C">
        <w:t xml:space="preserve">, </w:t>
      </w:r>
      <w:r>
        <w:t>13</w:t>
      </w:r>
      <w:r w:rsidRPr="001C3571">
        <w:rPr>
          <w:vertAlign w:val="superscript"/>
        </w:rPr>
        <w:t>th</w:t>
      </w:r>
      <w:r>
        <w:t xml:space="preserve"> May</w:t>
      </w:r>
      <w:r w:rsidRPr="00DA4F8C">
        <w:t xml:space="preserve"> – 1</w:t>
      </w:r>
      <w:r>
        <w:t>7</w:t>
      </w:r>
      <w:r w:rsidRPr="001C3571">
        <w:rPr>
          <w:vertAlign w:val="superscript"/>
        </w:rPr>
        <w:t>th</w:t>
      </w:r>
      <w:r w:rsidRPr="00DA4F8C">
        <w:t xml:space="preserve"> </w:t>
      </w:r>
      <w:r>
        <w:t>May</w:t>
      </w:r>
      <w:r w:rsidRPr="00DA4F8C">
        <w:t xml:space="preserve"> 2019</w:t>
      </w:r>
      <w:r w:rsidRPr="00143F94">
        <w:rPr>
          <w:noProof/>
        </w:rPr>
        <w:t xml:space="preserve">    </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13C213B7"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r w:rsidR="003E3A25">
        <w:rPr>
          <w:rFonts w:cs="Arial"/>
          <w:sz w:val="22"/>
        </w:rPr>
        <w:t>.7</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33812E3F"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627298">
        <w:rPr>
          <w:rFonts w:cs="Arial"/>
          <w:sz w:val="22"/>
        </w:rPr>
        <w:t xml:space="preserve">Discussion on Energy Saving for </w:t>
      </w:r>
      <w:r w:rsidR="00623C79" w:rsidRPr="00623C79">
        <w:rPr>
          <w:rFonts w:cs="Arial"/>
          <w:sz w:val="22"/>
        </w:rPr>
        <w:t>RAN-centric DCU</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61F456C9" w14:textId="49E32963" w:rsidR="003A1AF8" w:rsidRDefault="001C0C0A" w:rsidP="00BA00E8">
      <w:pPr>
        <w:rPr>
          <w:lang w:eastAsia="en-GB"/>
        </w:rPr>
      </w:pPr>
      <w:r>
        <w:rPr>
          <w:lang w:eastAsia="en-GB"/>
        </w:rPr>
        <w:t>At the last RAN3 meeting two use cases were agreed in TR37.816, as reported below:</w:t>
      </w:r>
    </w:p>
    <w:p w14:paraId="22BD8259" w14:textId="77777777" w:rsidR="001C0C0A" w:rsidRDefault="001C0C0A" w:rsidP="001C0C0A">
      <w:pPr>
        <w:jc w:val="both"/>
        <w:rPr>
          <w:rFonts w:ascii="Times New Roman" w:eastAsia="SimSun" w:hAnsi="Times New Roman" w:cs="Times New Roman"/>
          <w:sz w:val="21"/>
          <w:lang w:val="en-US" w:eastAsia="zh-CN"/>
        </w:rPr>
      </w:pPr>
      <w:r>
        <w:rPr>
          <w:sz w:val="21"/>
          <w:lang w:val="en-US" w:eastAsia="zh-CN"/>
        </w:rPr>
        <w:t>The following use cases for R16 energy saving should be studied:</w:t>
      </w:r>
    </w:p>
    <w:p w14:paraId="5B3E58B6" w14:textId="77777777" w:rsidR="001C0C0A" w:rsidRDefault="001C0C0A" w:rsidP="001C0C0A">
      <w:pPr>
        <w:numPr>
          <w:ilvl w:val="0"/>
          <w:numId w:val="32"/>
        </w:numPr>
        <w:spacing w:after="180" w:line="240" w:lineRule="auto"/>
        <w:jc w:val="both"/>
        <w:rPr>
          <w:sz w:val="21"/>
          <w:lang w:val="en-US" w:eastAsia="zh-CN"/>
        </w:rPr>
      </w:pPr>
      <w:r>
        <w:rPr>
          <w:sz w:val="21"/>
          <w:lang w:val="en-US" w:eastAsia="zh-CN"/>
        </w:rPr>
        <w:t>Inter-system inter-RAT energy saving</w:t>
      </w:r>
    </w:p>
    <w:p w14:paraId="01DE29CB" w14:textId="77777777" w:rsidR="001C0C0A" w:rsidRDefault="001C0C0A" w:rsidP="001C0C0A">
      <w:pPr>
        <w:jc w:val="both"/>
        <w:rPr>
          <w:sz w:val="21"/>
          <w:lang w:val="en-US" w:eastAsia="zh-CN"/>
        </w:rPr>
      </w:pPr>
      <w:r>
        <w:rPr>
          <w:sz w:val="21"/>
          <w:lang w:val="en-US" w:eastAsia="zh-CN"/>
        </w:rPr>
        <w:t xml:space="preserve">Scenario a) The </w:t>
      </w:r>
      <w:proofErr w:type="spellStart"/>
      <w:r>
        <w:rPr>
          <w:sz w:val="21"/>
          <w:lang w:val="en-US" w:eastAsia="zh-CN"/>
        </w:rPr>
        <w:t>gNB</w:t>
      </w:r>
      <w:proofErr w:type="spellEnd"/>
      <w:r>
        <w:rPr>
          <w:sz w:val="21"/>
          <w:lang w:val="en-US" w:eastAsia="zh-CN"/>
        </w:rPr>
        <w:t xml:space="preserve"> connects with 5GC to provide boost capacity, the LTE </w:t>
      </w:r>
      <w:proofErr w:type="spellStart"/>
      <w:r>
        <w:rPr>
          <w:sz w:val="21"/>
          <w:lang w:val="en-US" w:eastAsia="zh-CN"/>
        </w:rPr>
        <w:t>eNB</w:t>
      </w:r>
      <w:proofErr w:type="spellEnd"/>
      <w:r>
        <w:rPr>
          <w:sz w:val="21"/>
          <w:lang w:val="en-US" w:eastAsia="zh-CN"/>
        </w:rPr>
        <w:t xml:space="preserve"> connects with EPC to provide basic coverage. </w:t>
      </w:r>
      <w:r>
        <w:rPr>
          <w:lang w:val="en-US" w:eastAsia="zh-CN"/>
        </w:rPr>
        <w:t>The NR capacity booster cells may be switched off</w:t>
      </w:r>
      <w:r>
        <w:rPr>
          <w:sz w:val="21"/>
          <w:lang w:val="en-US" w:eastAsia="zh-CN"/>
        </w:rPr>
        <w:t xml:space="preserve">. The LTE </w:t>
      </w:r>
      <w:proofErr w:type="spellStart"/>
      <w:r>
        <w:rPr>
          <w:sz w:val="21"/>
          <w:lang w:val="en-US" w:eastAsia="zh-CN"/>
        </w:rPr>
        <w:t>eNB</w:t>
      </w:r>
      <w:proofErr w:type="spellEnd"/>
      <w:r>
        <w:rPr>
          <w:sz w:val="21"/>
          <w:lang w:val="en-US" w:eastAsia="zh-CN"/>
        </w:rPr>
        <w:t xml:space="preserve"> </w:t>
      </w:r>
      <w:proofErr w:type="gramStart"/>
      <w:r>
        <w:rPr>
          <w:sz w:val="21"/>
          <w:lang w:val="en-US" w:eastAsia="zh-CN"/>
        </w:rPr>
        <w:t>is allowed to</w:t>
      </w:r>
      <w:proofErr w:type="gramEnd"/>
      <w:r>
        <w:rPr>
          <w:sz w:val="21"/>
          <w:lang w:val="en-US" w:eastAsia="zh-CN"/>
        </w:rPr>
        <w:t xml:space="preserve"> activate the dormant capacity booster NR cell.</w:t>
      </w:r>
    </w:p>
    <w:p w14:paraId="42F604E5" w14:textId="77777777" w:rsidR="001C0C0A" w:rsidRDefault="001C0C0A" w:rsidP="001C0C0A">
      <w:pPr>
        <w:numPr>
          <w:ilvl w:val="0"/>
          <w:numId w:val="32"/>
        </w:numPr>
        <w:spacing w:after="180" w:line="240" w:lineRule="auto"/>
        <w:jc w:val="both"/>
        <w:rPr>
          <w:sz w:val="21"/>
          <w:lang w:val="en-US" w:eastAsia="zh-CN"/>
        </w:rPr>
      </w:pPr>
      <w:r>
        <w:rPr>
          <w:sz w:val="21"/>
          <w:lang w:val="en-US" w:eastAsia="zh-CN"/>
        </w:rPr>
        <w:t xml:space="preserve">Energy Efficiency </w:t>
      </w:r>
      <w:r>
        <w:rPr>
          <w:sz w:val="21"/>
          <w:lang w:eastAsia="zh-CN"/>
        </w:rPr>
        <w:t>of base stations</w:t>
      </w:r>
    </w:p>
    <w:p w14:paraId="7326AF37" w14:textId="77777777" w:rsidR="001C0C0A" w:rsidRDefault="001C0C0A" w:rsidP="001C0C0A">
      <w:pPr>
        <w:rPr>
          <w:sz w:val="21"/>
          <w:lang w:eastAsia="zh-CN"/>
        </w:rPr>
      </w:pPr>
      <w:r>
        <w:rPr>
          <w:sz w:val="21"/>
          <w:lang w:eastAsia="zh-CN"/>
        </w:rPr>
        <w:t>To calculate the energy efficiency of base stations, ES 203 228 (“Environmental Engineering (EE); Assessment of mobile network energy efficiency”) defines the following high-level EE KPI:</w:t>
      </w:r>
    </w:p>
    <w:p w14:paraId="2E1CC2A6" w14:textId="445F50CE" w:rsidR="001C0C0A" w:rsidRDefault="001C0C0A" w:rsidP="001C0C0A">
      <w:pPr>
        <w:jc w:val="center"/>
        <w:rPr>
          <w:sz w:val="21"/>
          <w:lang w:eastAsia="zh-CN"/>
        </w:rPr>
      </w:pPr>
      <w:r>
        <w:rPr>
          <w:noProof/>
          <w:sz w:val="21"/>
          <w:lang w:val="en-US" w:eastAsia="zh-CN"/>
        </w:rPr>
        <w:drawing>
          <wp:inline distT="0" distB="0" distL="0" distR="0" wp14:anchorId="1669E688" wp14:editId="190733EA">
            <wp:extent cx="1231900" cy="444500"/>
            <wp:effectExtent l="0" t="0" r="6350" b="0"/>
            <wp:docPr id="2"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MG_25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31900" cy="444500"/>
                    </a:xfrm>
                    <a:prstGeom prst="rect">
                      <a:avLst/>
                    </a:prstGeom>
                    <a:noFill/>
                    <a:ln>
                      <a:noFill/>
                    </a:ln>
                  </pic:spPr>
                </pic:pic>
              </a:graphicData>
            </a:graphic>
          </wp:inline>
        </w:drawing>
      </w:r>
    </w:p>
    <w:p w14:paraId="206422EA" w14:textId="77777777" w:rsidR="001C0C0A" w:rsidRDefault="001C0C0A" w:rsidP="001C0C0A">
      <w:pPr>
        <w:jc w:val="both"/>
        <w:rPr>
          <w:sz w:val="21"/>
          <w:lang w:val="en-US" w:eastAsia="zh-CN"/>
        </w:rPr>
      </w:pPr>
      <w:r>
        <w:rPr>
          <w:sz w:val="21"/>
          <w:lang w:val="en-US" w:eastAsia="zh-CN"/>
        </w:rPr>
        <w:t> In which Mobile Network data Energy Efficiency (</w:t>
      </w:r>
      <w:proofErr w:type="gramStart"/>
      <w:r>
        <w:rPr>
          <w:sz w:val="21"/>
          <w:lang w:val="en-US" w:eastAsia="zh-CN"/>
        </w:rPr>
        <w:t>EEMN,DV</w:t>
      </w:r>
      <w:proofErr w:type="gramEnd"/>
      <w:r>
        <w:rPr>
          <w:sz w:val="21"/>
          <w:lang w:val="en-US" w:eastAsia="zh-CN"/>
        </w:rPr>
        <w:t xml:space="preserve">) is the ratio between the performance indicator (i.e. Data Volume DVMN) and the energy consumption (ECMN). </w:t>
      </w:r>
    </w:p>
    <w:p w14:paraId="3C9C1EDC" w14:textId="77777777" w:rsidR="001C0C0A" w:rsidRDefault="001C0C0A" w:rsidP="001C0C0A">
      <w:pPr>
        <w:rPr>
          <w:sz w:val="20"/>
          <w:szCs w:val="20"/>
          <w:lang w:eastAsia="zh-CN"/>
        </w:rPr>
      </w:pPr>
      <w:r>
        <w:rPr>
          <w:sz w:val="21"/>
          <w:lang w:eastAsia="zh-CN"/>
        </w:rPr>
        <w:t>3GPP SA5 with ETSI TC EE have identified the list of existing 3GPP performance measurements to be used, per pre-5G radio access technology (GERAN, UTRAN, E-UTRAN), for the calculation of the EE KPI. It should be studied how to achieve the same measures for NG-RAN.</w:t>
      </w:r>
      <w:r>
        <w:rPr>
          <w:sz w:val="21"/>
          <w:lang w:val="en-US" w:eastAsia="zh-CN"/>
        </w:rPr>
        <w:t> </w:t>
      </w:r>
      <w:r>
        <w:rPr>
          <w:lang w:eastAsia="zh-CN"/>
        </w:rPr>
        <w:t>.</w:t>
      </w:r>
    </w:p>
    <w:p w14:paraId="0A84B094" w14:textId="7E097D7C" w:rsidR="001C0C0A" w:rsidRDefault="00B02A18" w:rsidP="00BA00E8">
      <w:pPr>
        <w:rPr>
          <w:lang w:eastAsia="en-GB"/>
        </w:rPr>
      </w:pPr>
      <w:r>
        <w:rPr>
          <w:lang w:eastAsia="en-GB"/>
        </w:rPr>
        <w:t>In this paper we analysed the two scenarios above.</w:t>
      </w:r>
    </w:p>
    <w:p w14:paraId="2BA77C49" w14:textId="1B0703B3" w:rsidR="004000E8" w:rsidRDefault="004000E8" w:rsidP="00CE0424">
      <w:pPr>
        <w:pStyle w:val="Heading1"/>
      </w:pPr>
      <w:bookmarkStart w:id="0" w:name="_Ref178064866"/>
      <w:r w:rsidRPr="00CE0424">
        <w:t>Discussion</w:t>
      </w:r>
      <w:bookmarkEnd w:id="0"/>
    </w:p>
    <w:p w14:paraId="77259CC0" w14:textId="6F638251" w:rsidR="00415A1A" w:rsidRDefault="00B02A18" w:rsidP="00415A1A">
      <w:pPr>
        <w:pStyle w:val="Heading2"/>
      </w:pPr>
      <w:r>
        <w:t>Inter System ES</w:t>
      </w:r>
    </w:p>
    <w:p w14:paraId="578B541D" w14:textId="678525E8" w:rsidR="00B02A18" w:rsidRDefault="00B02A18" w:rsidP="00B02A18">
      <w:pPr>
        <w:rPr>
          <w:lang w:eastAsia="zh-CN"/>
        </w:rPr>
      </w:pPr>
      <w:r>
        <w:rPr>
          <w:lang w:eastAsia="zh-CN"/>
        </w:rPr>
        <w:t>The scenario description says that “</w:t>
      </w:r>
      <w:r>
        <w:rPr>
          <w:sz w:val="21"/>
          <w:lang w:val="en-US" w:eastAsia="zh-CN"/>
        </w:rPr>
        <w:t xml:space="preserve">The </w:t>
      </w:r>
      <w:proofErr w:type="spellStart"/>
      <w:r>
        <w:rPr>
          <w:sz w:val="21"/>
          <w:lang w:val="en-US" w:eastAsia="zh-CN"/>
        </w:rPr>
        <w:t>gNB</w:t>
      </w:r>
      <w:proofErr w:type="spellEnd"/>
      <w:r>
        <w:rPr>
          <w:sz w:val="21"/>
          <w:lang w:val="en-US" w:eastAsia="zh-CN"/>
        </w:rPr>
        <w:t xml:space="preserve"> connects with 5GC to provide boost capacity</w:t>
      </w:r>
      <w:r>
        <w:rPr>
          <w:lang w:eastAsia="zh-CN"/>
        </w:rPr>
        <w:t xml:space="preserve">”. </w:t>
      </w:r>
    </w:p>
    <w:p w14:paraId="7A0C33D5" w14:textId="6A8E7C0D" w:rsidR="00B02A18" w:rsidRDefault="00B02A18" w:rsidP="00B02A18">
      <w:pPr>
        <w:rPr>
          <w:lang w:eastAsia="zh-CN"/>
        </w:rPr>
      </w:pPr>
      <w:r>
        <w:rPr>
          <w:lang w:eastAsia="zh-CN"/>
        </w:rPr>
        <w:t xml:space="preserve">It might be considered that NR cells are deployed to boost capacity of an existing system, but this is not the meaning 3GPP has given to a capacity booster cell. A capacity booster cell in 3GPP is a cell that provides extra capacity with respect to an existing coverage layer of the same system. </w:t>
      </w:r>
    </w:p>
    <w:p w14:paraId="7739F64E" w14:textId="747EF2F6" w:rsidR="00B02A18" w:rsidRDefault="00B02A18" w:rsidP="00B02A18">
      <w:pPr>
        <w:rPr>
          <w:lang w:eastAsia="zh-CN"/>
        </w:rPr>
      </w:pPr>
      <w:r>
        <w:rPr>
          <w:lang w:eastAsia="zh-CN"/>
        </w:rPr>
        <w:lastRenderedPageBreak/>
        <w:t>For that reason, if we take an existing LTE deployment and we imagine that a single NR cell is activated within that deployment, we cannot call that cell a capacity booster cell. Instead, that cell represents the first and only coverage layer for the NG-RAN system.</w:t>
      </w:r>
    </w:p>
    <w:p w14:paraId="6E9C1384" w14:textId="11F004C9" w:rsidR="00C56967" w:rsidRDefault="00B02A18" w:rsidP="0071404E">
      <w:pPr>
        <w:rPr>
          <w:lang w:eastAsia="zh-CN"/>
        </w:rPr>
      </w:pPr>
      <w:r>
        <w:rPr>
          <w:lang w:eastAsia="zh-CN"/>
        </w:rPr>
        <w:t>With that in mind</w:t>
      </w:r>
      <w:r w:rsidR="00C56967">
        <w:rPr>
          <w:lang w:eastAsia="zh-CN"/>
        </w:rPr>
        <w:t xml:space="preserve"> it should be noted that </w:t>
      </w:r>
      <w:r w:rsidR="009C1877">
        <w:rPr>
          <w:lang w:eastAsia="zh-CN"/>
        </w:rPr>
        <w:t xml:space="preserve">a </w:t>
      </w:r>
      <w:r w:rsidR="000047C7">
        <w:rPr>
          <w:lang w:eastAsia="zh-CN"/>
        </w:rPr>
        <w:t xml:space="preserve">UE can connect to a “system” only if </w:t>
      </w:r>
      <w:r w:rsidR="009C1877">
        <w:rPr>
          <w:lang w:eastAsia="zh-CN"/>
        </w:rPr>
        <w:t>it has</w:t>
      </w:r>
      <w:r w:rsidR="000047C7">
        <w:rPr>
          <w:lang w:eastAsia="zh-CN"/>
        </w:rPr>
        <w:t xml:space="preserve"> the right capabilities</w:t>
      </w:r>
      <w:r w:rsidR="009C1877">
        <w:rPr>
          <w:lang w:eastAsia="zh-CN"/>
        </w:rPr>
        <w:t xml:space="preserve"> to communicate in that system</w:t>
      </w:r>
      <w:r w:rsidR="009669B2">
        <w:rPr>
          <w:lang w:eastAsia="zh-CN"/>
        </w:rPr>
        <w:t xml:space="preserve">. In other words, one </w:t>
      </w:r>
      <w:r w:rsidR="00B53F8F">
        <w:rPr>
          <w:lang w:eastAsia="zh-CN"/>
        </w:rPr>
        <w:t>should</w:t>
      </w:r>
      <w:r w:rsidR="009669B2">
        <w:rPr>
          <w:lang w:eastAsia="zh-CN"/>
        </w:rPr>
        <w:t xml:space="preserve"> not assume that</w:t>
      </w:r>
      <w:r w:rsidR="00B53F8F">
        <w:rPr>
          <w:lang w:eastAsia="zh-CN"/>
        </w:rPr>
        <w:t>, in presence of both EUTRAN and NG-RAN coverage layers,</w:t>
      </w:r>
      <w:r w:rsidR="009669B2">
        <w:rPr>
          <w:lang w:eastAsia="zh-CN"/>
        </w:rPr>
        <w:t xml:space="preserve"> </w:t>
      </w:r>
      <w:r w:rsidR="001F5CB5">
        <w:rPr>
          <w:lang w:eastAsia="zh-CN"/>
        </w:rPr>
        <w:t xml:space="preserve">one of the layers can be switched off </w:t>
      </w:r>
      <w:r w:rsidR="00B848C0">
        <w:rPr>
          <w:lang w:eastAsia="zh-CN"/>
        </w:rPr>
        <w:t>so that the UEs previously connected to that system can be</w:t>
      </w:r>
      <w:r w:rsidR="00E27628">
        <w:rPr>
          <w:lang w:eastAsia="zh-CN"/>
        </w:rPr>
        <w:t xml:space="preserve"> “absorbed” by the other </w:t>
      </w:r>
      <w:r w:rsidR="005028CE">
        <w:rPr>
          <w:lang w:eastAsia="zh-CN"/>
        </w:rPr>
        <w:t>system.</w:t>
      </w:r>
    </w:p>
    <w:p w14:paraId="694FB92C" w14:textId="1C509492" w:rsidR="005028CE" w:rsidRPr="00F33E90" w:rsidRDefault="005028CE" w:rsidP="0071404E">
      <w:pPr>
        <w:rPr>
          <w:b/>
          <w:lang w:eastAsia="zh-CN"/>
        </w:rPr>
      </w:pPr>
      <w:r w:rsidRPr="00F33E90">
        <w:rPr>
          <w:b/>
          <w:lang w:eastAsia="zh-CN"/>
        </w:rPr>
        <w:t xml:space="preserve">Conclusion </w:t>
      </w:r>
      <w:r w:rsidR="00B02A18">
        <w:rPr>
          <w:b/>
          <w:lang w:eastAsia="zh-CN"/>
        </w:rPr>
        <w:t>1</w:t>
      </w:r>
      <w:r w:rsidRPr="00F33E90">
        <w:rPr>
          <w:b/>
          <w:lang w:eastAsia="zh-CN"/>
        </w:rPr>
        <w:t xml:space="preserve">: It should not be assumed that </w:t>
      </w:r>
      <w:r w:rsidR="000006F8" w:rsidRPr="00F33E90">
        <w:rPr>
          <w:b/>
          <w:lang w:eastAsia="zh-CN"/>
        </w:rPr>
        <w:t>a</w:t>
      </w:r>
      <w:r w:rsidR="004854EF">
        <w:rPr>
          <w:b/>
          <w:lang w:eastAsia="zh-CN"/>
        </w:rPr>
        <w:t>t</w:t>
      </w:r>
      <w:r w:rsidR="000006F8" w:rsidRPr="00F33E90">
        <w:rPr>
          <w:b/>
          <w:lang w:eastAsia="zh-CN"/>
        </w:rPr>
        <w:t xml:space="preserve"> switch off of a cell in one of </w:t>
      </w:r>
      <w:r w:rsidR="00F33E90" w:rsidRPr="00F33E90">
        <w:rPr>
          <w:b/>
          <w:lang w:eastAsia="zh-CN"/>
        </w:rPr>
        <w:t xml:space="preserve">the </w:t>
      </w:r>
      <w:r w:rsidR="000006F8" w:rsidRPr="00F33E90">
        <w:rPr>
          <w:b/>
          <w:lang w:eastAsia="zh-CN"/>
        </w:rPr>
        <w:t xml:space="preserve">E-UTRAN </w:t>
      </w:r>
      <w:r w:rsidR="00F33E90" w:rsidRPr="00F33E90">
        <w:rPr>
          <w:b/>
          <w:lang w:eastAsia="zh-CN"/>
        </w:rPr>
        <w:t>or</w:t>
      </w:r>
      <w:r w:rsidR="000006F8" w:rsidRPr="00F33E90">
        <w:rPr>
          <w:b/>
          <w:lang w:eastAsia="zh-CN"/>
        </w:rPr>
        <w:t xml:space="preserve"> NG-RAN </w:t>
      </w:r>
      <w:r w:rsidR="00B848C0">
        <w:rPr>
          <w:b/>
          <w:lang w:eastAsia="zh-CN"/>
        </w:rPr>
        <w:t>layer</w:t>
      </w:r>
      <w:r w:rsidR="004854EF">
        <w:rPr>
          <w:b/>
          <w:lang w:eastAsia="zh-CN"/>
        </w:rPr>
        <w:t>,</w:t>
      </w:r>
      <w:r w:rsidR="000006F8" w:rsidRPr="00F33E90">
        <w:rPr>
          <w:b/>
          <w:lang w:eastAsia="zh-CN"/>
        </w:rPr>
        <w:t xml:space="preserve"> UEs served by that cell can be served by the other </w:t>
      </w:r>
      <w:r w:rsidR="00F33E90" w:rsidRPr="00F33E90">
        <w:rPr>
          <w:b/>
          <w:lang w:eastAsia="zh-CN"/>
        </w:rPr>
        <w:t xml:space="preserve">available </w:t>
      </w:r>
      <w:r w:rsidR="00317394">
        <w:rPr>
          <w:b/>
          <w:lang w:eastAsia="zh-CN"/>
        </w:rPr>
        <w:t>layer</w:t>
      </w:r>
    </w:p>
    <w:p w14:paraId="568525BA" w14:textId="243DC75C" w:rsidR="00C64EE2" w:rsidRDefault="00317394" w:rsidP="00EC4168">
      <w:pPr>
        <w:rPr>
          <w:lang w:eastAsia="zh-CN"/>
        </w:rPr>
      </w:pPr>
      <w:r>
        <w:rPr>
          <w:lang w:eastAsia="zh-CN"/>
        </w:rPr>
        <w:t>It is in fact rather evident that UEs that are able to connect to the EPC only</w:t>
      </w:r>
      <w:r w:rsidR="00900539">
        <w:rPr>
          <w:lang w:eastAsia="zh-CN"/>
        </w:rPr>
        <w:t>,</w:t>
      </w:r>
      <w:r>
        <w:rPr>
          <w:lang w:eastAsia="zh-CN"/>
        </w:rPr>
        <w:t xml:space="preserve"> will not be able to be served by the NG-RAN layer, while </w:t>
      </w:r>
      <w:r w:rsidR="00C64EE2">
        <w:rPr>
          <w:lang w:eastAsia="zh-CN"/>
        </w:rPr>
        <w:t>UEs that are able to connect to the 5GC only will not be served by the EUTRAN layer.</w:t>
      </w:r>
    </w:p>
    <w:p w14:paraId="4D3809DE" w14:textId="392C4211" w:rsidR="000F44D2" w:rsidRDefault="00ED38EA" w:rsidP="00EC4168">
      <w:pPr>
        <w:rPr>
          <w:lang w:eastAsia="zh-CN"/>
        </w:rPr>
      </w:pPr>
      <w:r>
        <w:rPr>
          <w:lang w:eastAsia="zh-CN"/>
        </w:rPr>
        <w:t>Similarly, it should be considered that</w:t>
      </w:r>
      <w:r w:rsidR="004A6CF0">
        <w:rPr>
          <w:lang w:eastAsia="zh-CN"/>
        </w:rPr>
        <w:t xml:space="preserve"> it is rather probable that</w:t>
      </w:r>
      <w:r>
        <w:rPr>
          <w:lang w:eastAsia="zh-CN"/>
        </w:rPr>
        <w:t xml:space="preserve"> the EUTRAN and NG-RAN deployments </w:t>
      </w:r>
      <w:r w:rsidR="004A6CF0">
        <w:rPr>
          <w:lang w:eastAsia="zh-CN"/>
        </w:rPr>
        <w:t xml:space="preserve">will </w:t>
      </w:r>
      <w:r>
        <w:rPr>
          <w:lang w:eastAsia="zh-CN"/>
        </w:rPr>
        <w:t>use</w:t>
      </w:r>
      <w:r w:rsidR="004A6CF0">
        <w:rPr>
          <w:lang w:eastAsia="zh-CN"/>
        </w:rPr>
        <w:t xml:space="preserve"> different frequencies</w:t>
      </w:r>
      <w:r w:rsidR="000F0D70">
        <w:rPr>
          <w:lang w:eastAsia="zh-CN"/>
        </w:rPr>
        <w:t xml:space="preserve">/bands. Not all UEs in the network will support the same frequencies and bands. </w:t>
      </w:r>
      <w:r w:rsidR="00221AD4">
        <w:rPr>
          <w:lang w:eastAsia="zh-CN"/>
        </w:rPr>
        <w:t xml:space="preserve">Roaming UEs for example </w:t>
      </w:r>
      <w:r w:rsidR="009222B1">
        <w:rPr>
          <w:lang w:eastAsia="zh-CN"/>
        </w:rPr>
        <w:t xml:space="preserve">may </w:t>
      </w:r>
      <w:r w:rsidR="007F606E">
        <w:rPr>
          <w:lang w:eastAsia="zh-CN"/>
        </w:rPr>
        <w:t xml:space="preserve">support only specific bands, making even more difficult to switch off “system layers”. </w:t>
      </w:r>
    </w:p>
    <w:p w14:paraId="76190B94" w14:textId="77777777" w:rsidR="00C12F04" w:rsidRDefault="00B02A18" w:rsidP="00EC4168">
      <w:pPr>
        <w:rPr>
          <w:lang w:eastAsia="zh-CN"/>
        </w:rPr>
      </w:pPr>
      <w:r>
        <w:rPr>
          <w:lang w:eastAsia="zh-CN"/>
        </w:rPr>
        <w:t>One more consideration is that NR cells will be deployed in areas of high traffic load. It is therefore unlikely that cells will be switched off in such areas. Moreover, it is expected that the roll out of NR will happen rather rapidly, in a way comparable to the roll out of LTE. That</w:t>
      </w:r>
      <w:r w:rsidR="00C12F04">
        <w:rPr>
          <w:lang w:eastAsia="zh-CN"/>
        </w:rPr>
        <w:t>, combined with the fact that an operator will want to keep its “5G” layer on, for the sake of creating momentum in the upcoming technology, leads us to believe that an inter system ES solution aimed at allowing the switch off of NR cells will be of little utility and if used will be soon obsolete (due to multiple NR layers deployed).</w:t>
      </w:r>
    </w:p>
    <w:p w14:paraId="3E6FA345" w14:textId="66EEA8FC" w:rsidR="00B02A18" w:rsidRPr="00C12F04" w:rsidRDefault="00C12F04" w:rsidP="00EC4168">
      <w:pPr>
        <w:rPr>
          <w:b/>
          <w:lang w:eastAsia="zh-CN"/>
        </w:rPr>
      </w:pPr>
      <w:r w:rsidRPr="00C12F04">
        <w:rPr>
          <w:b/>
          <w:lang w:eastAsia="zh-CN"/>
        </w:rPr>
        <w:t>Conclusion 2: It is assumed that inter system ES is a feature with limited applicability and potentially harming the capability of UEs to connect to their host system</w:t>
      </w:r>
      <w:r w:rsidR="00B02A18" w:rsidRPr="00C12F04">
        <w:rPr>
          <w:b/>
          <w:lang w:eastAsia="zh-CN"/>
        </w:rPr>
        <w:t xml:space="preserve"> </w:t>
      </w:r>
      <w:r w:rsidRPr="00C12F04">
        <w:rPr>
          <w:b/>
          <w:lang w:eastAsia="zh-CN"/>
        </w:rPr>
        <w:t>and for that it is proposed not to pursue it in Rel16</w:t>
      </w:r>
    </w:p>
    <w:p w14:paraId="4CA4B1F1" w14:textId="0F61BAB1" w:rsidR="00C12F04" w:rsidRDefault="00C12F04" w:rsidP="00C12F04">
      <w:pPr>
        <w:pStyle w:val="Heading2"/>
      </w:pPr>
      <w:r w:rsidRPr="00C12F04">
        <w:t>Energy Efficiency of base stations</w:t>
      </w:r>
    </w:p>
    <w:p w14:paraId="7218DCAF" w14:textId="46EFC6D3" w:rsidR="00B02A18" w:rsidRDefault="00C12F04" w:rsidP="00EC4168">
      <w:pPr>
        <w:rPr>
          <w:lang w:eastAsia="zh-CN"/>
        </w:rPr>
      </w:pPr>
      <w:r>
        <w:rPr>
          <w:lang w:eastAsia="zh-CN"/>
        </w:rPr>
        <w:t>In the formula detailed in the second ES use case the missing element is the data volume per site, used to calculate the data volume over site energy ratio and determine what is the cost per bit per site.</w:t>
      </w:r>
    </w:p>
    <w:p w14:paraId="5637F9F9" w14:textId="77777777" w:rsidR="003B77C5" w:rsidRDefault="00C12F04" w:rsidP="00EC4168">
      <w:r>
        <w:rPr>
          <w:lang w:eastAsia="zh-CN"/>
        </w:rPr>
        <w:t xml:space="preserve">With this respect it should be highlighted that the data volume per site could be calculated by using the </w:t>
      </w:r>
      <w:r w:rsidR="003B77C5" w:rsidRPr="00A54714">
        <w:rPr>
          <w:rFonts w:hint="eastAsia"/>
          <w:lang w:val="en-US" w:eastAsia="zh-CN"/>
        </w:rPr>
        <w:t xml:space="preserve">PDCP PDU </w:t>
      </w:r>
      <w:r w:rsidR="003B77C5" w:rsidRPr="00A54714">
        <w:rPr>
          <w:lang w:val="en-US"/>
        </w:rPr>
        <w:t>data volume</w:t>
      </w:r>
      <w:r w:rsidR="003B77C5" w:rsidRPr="00A54714">
        <w:t xml:space="preserve"> Measurement</w:t>
      </w:r>
      <w:r w:rsidR="003B77C5">
        <w:t xml:space="preserve"> defined in TS 28.552, section </w:t>
      </w:r>
      <w:r w:rsidR="003B77C5" w:rsidRPr="00A54714">
        <w:t>5.1.3.</w:t>
      </w:r>
      <w:r w:rsidR="003B77C5">
        <w:t>6</w:t>
      </w:r>
      <w:r w:rsidR="003B77C5" w:rsidRPr="00A54714">
        <w:t>.1</w:t>
      </w:r>
      <w:r w:rsidR="003B77C5">
        <w:t xml:space="preserve">. These measurements calculate the UL and DL PDCP data volume for a gNB-CU-UP. </w:t>
      </w:r>
    </w:p>
    <w:p w14:paraId="44E57B98" w14:textId="77777777" w:rsidR="003B77C5" w:rsidRDefault="003B77C5" w:rsidP="00EC4168">
      <w:r>
        <w:t xml:space="preserve">If it can be assumed that a site is served by one CU-UP, then these measurements could already provide the desired statistics to calculate the energy per bit per site. </w:t>
      </w:r>
    </w:p>
    <w:p w14:paraId="0C4D2552" w14:textId="0F779B3C" w:rsidR="003B77C5" w:rsidRPr="003B77C5" w:rsidRDefault="003B77C5" w:rsidP="00EC4168">
      <w:pPr>
        <w:rPr>
          <w:b/>
        </w:rPr>
      </w:pPr>
      <w:r w:rsidRPr="003B77C5">
        <w:rPr>
          <w:b/>
        </w:rPr>
        <w:t xml:space="preserve">Conclusion 3: </w:t>
      </w:r>
      <w:r w:rsidRPr="003B77C5">
        <w:rPr>
          <w:rFonts w:hint="eastAsia"/>
          <w:b/>
          <w:lang w:val="en-US" w:eastAsia="zh-CN"/>
        </w:rPr>
        <w:t xml:space="preserve">PDCP PDU </w:t>
      </w:r>
      <w:r w:rsidRPr="003B77C5">
        <w:rPr>
          <w:b/>
          <w:lang w:val="en-US"/>
        </w:rPr>
        <w:t>data volume</w:t>
      </w:r>
      <w:r w:rsidRPr="003B77C5">
        <w:rPr>
          <w:b/>
        </w:rPr>
        <w:t xml:space="preserve"> Measurement defined in TS 28.552, section 5.1.3.6.1, could provide per CU-UP data volumes used to calculate energy per bit per site, under the assumption that a site is served by one or more CU-Ups.</w:t>
      </w:r>
    </w:p>
    <w:p w14:paraId="4076DC09" w14:textId="77777777" w:rsidR="003B77C5" w:rsidRDefault="003B77C5" w:rsidP="00EC4168"/>
    <w:p w14:paraId="0B035870" w14:textId="391AAB5D" w:rsidR="003B77C5" w:rsidRDefault="003B77C5" w:rsidP="00EC4168">
      <w:r>
        <w:t>When looking at future cases it could be plausible to assume that one CU-UP may serve gNB-DUs at different sites. In this case the measurements in 28.552 are not sufficient anymore, but they could be taken as reference to define new measurements, taken at gNB-DU, and measuring the PDCP data throughput incoming to and outgoing from a gNB-DU</w:t>
      </w:r>
    </w:p>
    <w:p w14:paraId="4F2CD0A6" w14:textId="6895220E" w:rsidR="003B77C5" w:rsidRPr="003B77C5" w:rsidRDefault="003B77C5" w:rsidP="00EC4168">
      <w:pPr>
        <w:rPr>
          <w:b/>
        </w:rPr>
      </w:pPr>
      <w:r w:rsidRPr="003B77C5">
        <w:rPr>
          <w:b/>
        </w:rPr>
        <w:lastRenderedPageBreak/>
        <w:t>Conclusion 4: a possible enhancement to measurements existing in 28.552 is that of defining PDCP data volume measurements at the gNB-DU, allowing to calculate data volume per gNB-DU site</w:t>
      </w:r>
    </w:p>
    <w:p w14:paraId="2FD8B335" w14:textId="122CB96E" w:rsidR="00C01F33" w:rsidRDefault="00C01F33" w:rsidP="00CE0424">
      <w:pPr>
        <w:pStyle w:val="Heading1"/>
      </w:pPr>
      <w:r w:rsidRPr="00CE0424">
        <w:t>Conclusion</w:t>
      </w:r>
    </w:p>
    <w:p w14:paraId="5CB15547" w14:textId="6D069F3A" w:rsidR="00C8777C" w:rsidRPr="00376485" w:rsidRDefault="007B2DFE" w:rsidP="003B77C5">
      <w:pPr>
        <w:rPr>
          <w:rFonts w:ascii="Calibri" w:eastAsia="Times New Roman" w:hAnsi="Calibri" w:cs="Calibri"/>
        </w:rPr>
      </w:pPr>
      <w:r w:rsidRPr="00376485">
        <w:rPr>
          <w:rFonts w:ascii="Calibri" w:eastAsia="Times New Roman" w:hAnsi="Calibri" w:cs="Calibri"/>
        </w:rPr>
        <w:t xml:space="preserve"> </w:t>
      </w:r>
      <w:r w:rsidR="003B77C5">
        <w:rPr>
          <w:rFonts w:ascii="Calibri" w:eastAsia="Times New Roman" w:hAnsi="Calibri" w:cs="Calibri"/>
        </w:rPr>
        <w:t>In this paper the energy saving use cases prioritised at the last RAN3 meeting have been analysed. The following conclusions have been derived:</w:t>
      </w:r>
    </w:p>
    <w:p w14:paraId="03FCD93A" w14:textId="77777777" w:rsidR="003B77C5" w:rsidRPr="00F33E90" w:rsidRDefault="003B77C5" w:rsidP="003B77C5">
      <w:pPr>
        <w:rPr>
          <w:b/>
          <w:lang w:eastAsia="zh-CN"/>
        </w:rPr>
      </w:pPr>
      <w:r w:rsidRPr="00F33E90">
        <w:rPr>
          <w:b/>
          <w:lang w:eastAsia="zh-CN"/>
        </w:rPr>
        <w:t xml:space="preserve">Conclusion </w:t>
      </w:r>
      <w:r>
        <w:rPr>
          <w:b/>
          <w:lang w:eastAsia="zh-CN"/>
        </w:rPr>
        <w:t>1</w:t>
      </w:r>
      <w:r w:rsidRPr="00F33E90">
        <w:rPr>
          <w:b/>
          <w:lang w:eastAsia="zh-CN"/>
        </w:rPr>
        <w:t>: It should not be assumed that a</w:t>
      </w:r>
      <w:r>
        <w:rPr>
          <w:b/>
          <w:lang w:eastAsia="zh-CN"/>
        </w:rPr>
        <w:t>t</w:t>
      </w:r>
      <w:r w:rsidRPr="00F33E90">
        <w:rPr>
          <w:b/>
          <w:lang w:eastAsia="zh-CN"/>
        </w:rPr>
        <w:t xml:space="preserve"> switch off of a cell in one of the E-UTRAN or NG-RAN </w:t>
      </w:r>
      <w:r>
        <w:rPr>
          <w:b/>
          <w:lang w:eastAsia="zh-CN"/>
        </w:rPr>
        <w:t>layer,</w:t>
      </w:r>
      <w:r w:rsidRPr="00F33E90">
        <w:rPr>
          <w:b/>
          <w:lang w:eastAsia="zh-CN"/>
        </w:rPr>
        <w:t xml:space="preserve"> UEs served by that cell can be served by the other available </w:t>
      </w:r>
      <w:r>
        <w:rPr>
          <w:b/>
          <w:lang w:eastAsia="zh-CN"/>
        </w:rPr>
        <w:t>layer</w:t>
      </w:r>
    </w:p>
    <w:p w14:paraId="162642FD" w14:textId="77777777" w:rsidR="003B77C5" w:rsidRPr="00C12F04" w:rsidRDefault="003B77C5" w:rsidP="003B77C5">
      <w:pPr>
        <w:rPr>
          <w:b/>
          <w:lang w:eastAsia="zh-CN"/>
        </w:rPr>
      </w:pPr>
      <w:r w:rsidRPr="00C12F04">
        <w:rPr>
          <w:b/>
          <w:lang w:eastAsia="zh-CN"/>
        </w:rPr>
        <w:t>Conclusion 2: It is assumed that inter system ES is a feature with limited applicability and potentially harming the capability of UEs to connect to their host system and for that it is proposed not to pursue it in Rel16</w:t>
      </w:r>
    </w:p>
    <w:p w14:paraId="54E4B13C" w14:textId="77777777" w:rsidR="003B77C5" w:rsidRPr="003B77C5" w:rsidRDefault="003B77C5" w:rsidP="003B77C5">
      <w:pPr>
        <w:rPr>
          <w:b/>
        </w:rPr>
      </w:pPr>
      <w:r w:rsidRPr="003B77C5">
        <w:rPr>
          <w:b/>
        </w:rPr>
        <w:t xml:space="preserve">Conclusion 3: </w:t>
      </w:r>
      <w:r w:rsidRPr="003B77C5">
        <w:rPr>
          <w:rFonts w:hint="eastAsia"/>
          <w:b/>
          <w:lang w:val="en-US" w:eastAsia="zh-CN"/>
        </w:rPr>
        <w:t xml:space="preserve">PDCP PDU </w:t>
      </w:r>
      <w:r w:rsidRPr="003B77C5">
        <w:rPr>
          <w:b/>
          <w:lang w:val="en-US"/>
        </w:rPr>
        <w:t>data volume</w:t>
      </w:r>
      <w:r w:rsidRPr="003B77C5">
        <w:rPr>
          <w:b/>
        </w:rPr>
        <w:t xml:space="preserve"> Measurement defined in TS 28.552, section 5.1.3.6.1, could provide per CU-UP data volumes used to calculate energy per bit per site, under the assumption that a site is served by one or more CU-Ups.</w:t>
      </w:r>
    </w:p>
    <w:p w14:paraId="64703604" w14:textId="77777777" w:rsidR="003B77C5" w:rsidRPr="003B77C5" w:rsidRDefault="003B77C5" w:rsidP="003B77C5">
      <w:pPr>
        <w:rPr>
          <w:b/>
        </w:rPr>
      </w:pPr>
      <w:r w:rsidRPr="003B77C5">
        <w:rPr>
          <w:b/>
        </w:rPr>
        <w:t>Conclusion 4: a possible enhancement to measurements existing in 28.552 is that of defining PDCP data volume measurements at the gNB-DU, allowing to calculate data volume per gNB-DU site</w:t>
      </w:r>
    </w:p>
    <w:p w14:paraId="4ED7E46C" w14:textId="57102A99" w:rsidR="00D628C7" w:rsidRPr="00D628C7" w:rsidRDefault="003B77C5" w:rsidP="00160030">
      <w:pPr>
        <w:spacing w:after="0" w:line="240" w:lineRule="auto"/>
        <w:rPr>
          <w:lang w:eastAsia="zh-CN"/>
        </w:rPr>
      </w:pPr>
      <w:r>
        <w:rPr>
          <w:lang w:eastAsia="zh-CN"/>
        </w:rPr>
        <w:t xml:space="preserve">A TP </w:t>
      </w:r>
      <w:r w:rsidR="007642B6">
        <w:rPr>
          <w:lang w:eastAsia="zh-CN"/>
        </w:rPr>
        <w:t xml:space="preserve">reflecting these solutions has been provided </w:t>
      </w:r>
      <w:r w:rsidR="007642B6" w:rsidRPr="003555EC">
        <w:rPr>
          <w:lang w:eastAsia="zh-CN"/>
        </w:rPr>
        <w:t>in R3-19</w:t>
      </w:r>
      <w:r w:rsidR="003555EC" w:rsidRPr="003555EC">
        <w:rPr>
          <w:lang w:eastAsia="zh-CN"/>
        </w:rPr>
        <w:t>3071</w:t>
      </w:r>
      <w:bookmarkStart w:id="1" w:name="_GoBack"/>
      <w:bookmarkEnd w:id="1"/>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808C4" w14:textId="77777777" w:rsidR="00D3198B" w:rsidRDefault="00D3198B">
      <w:r>
        <w:separator/>
      </w:r>
    </w:p>
  </w:endnote>
  <w:endnote w:type="continuationSeparator" w:id="0">
    <w:p w14:paraId="42A9CDD0" w14:textId="77777777" w:rsidR="00D3198B" w:rsidRDefault="00D3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188FF" w14:textId="77777777" w:rsidR="00D3198B" w:rsidRDefault="00D3198B">
      <w:r>
        <w:separator/>
      </w:r>
    </w:p>
  </w:footnote>
  <w:footnote w:type="continuationSeparator" w:id="0">
    <w:p w14:paraId="2296AED5" w14:textId="77777777" w:rsidR="00D3198B" w:rsidRDefault="00D31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84B37F9"/>
    <w:multiLevelType w:val="singleLevel"/>
    <w:tmpl w:val="084B37F9"/>
    <w:lvl w:ilvl="0">
      <w:start w:val="1"/>
      <w:numFmt w:val="decimal"/>
      <w:suff w:val="space"/>
      <w:lvlText w:val="%1)"/>
      <w:lvlJc w:val="left"/>
      <w:pPr>
        <w:ind w:left="0" w:firstLine="0"/>
      </w:pPr>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E810BBA"/>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A55CEE"/>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A83"/>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4"/>
  </w:num>
  <w:num w:numId="6">
    <w:abstractNumId w:val="20"/>
  </w:num>
  <w:num w:numId="7">
    <w:abstractNumId w:val="25"/>
  </w:num>
  <w:num w:numId="8">
    <w:abstractNumId w:val="15"/>
  </w:num>
  <w:num w:numId="9">
    <w:abstractNumId w:val="13"/>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3"/>
    <w:lvlOverride w:ilvl="0">
      <w:startOverride w:val="1"/>
    </w:lvlOverride>
  </w:num>
  <w:num w:numId="19">
    <w:abstractNumId w:val="12"/>
  </w:num>
  <w:num w:numId="20">
    <w:abstractNumId w:val="16"/>
  </w:num>
  <w:num w:numId="21">
    <w:abstractNumId w:val="26"/>
  </w:num>
  <w:num w:numId="22">
    <w:abstractNumId w:val="1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4"/>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2"/>
  </w:num>
  <w:num w:numId="29">
    <w:abstractNumId w:val="19"/>
  </w:num>
  <w:num w:numId="30">
    <w:abstractNumId w:val="11"/>
  </w:num>
  <w:num w:numId="31">
    <w:abstractNumId w:val="9"/>
  </w:num>
  <w:num w:numId="32">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6F8"/>
    <w:rsid w:val="00001471"/>
    <w:rsid w:val="00001A17"/>
    <w:rsid w:val="00001AB9"/>
    <w:rsid w:val="00002A37"/>
    <w:rsid w:val="00003814"/>
    <w:rsid w:val="000039F4"/>
    <w:rsid w:val="00003F02"/>
    <w:rsid w:val="000047C7"/>
    <w:rsid w:val="00006446"/>
    <w:rsid w:val="00006896"/>
    <w:rsid w:val="00007CDC"/>
    <w:rsid w:val="00011B28"/>
    <w:rsid w:val="00011E39"/>
    <w:rsid w:val="00012BFD"/>
    <w:rsid w:val="00013BAA"/>
    <w:rsid w:val="00015D15"/>
    <w:rsid w:val="00023580"/>
    <w:rsid w:val="000245B9"/>
    <w:rsid w:val="0002564D"/>
    <w:rsid w:val="00025AA6"/>
    <w:rsid w:val="00025ECA"/>
    <w:rsid w:val="0003084B"/>
    <w:rsid w:val="00031A59"/>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87E"/>
    <w:rsid w:val="00065E1A"/>
    <w:rsid w:val="00066A92"/>
    <w:rsid w:val="000673D3"/>
    <w:rsid w:val="00072F8F"/>
    <w:rsid w:val="0007671B"/>
    <w:rsid w:val="00077E5F"/>
    <w:rsid w:val="0008036A"/>
    <w:rsid w:val="00081AE6"/>
    <w:rsid w:val="000828F5"/>
    <w:rsid w:val="00083CBF"/>
    <w:rsid w:val="000855EB"/>
    <w:rsid w:val="00085B52"/>
    <w:rsid w:val="000866F2"/>
    <w:rsid w:val="00086C19"/>
    <w:rsid w:val="0009009F"/>
    <w:rsid w:val="00091557"/>
    <w:rsid w:val="0009243A"/>
    <w:rsid w:val="000924C1"/>
    <w:rsid w:val="000924F0"/>
    <w:rsid w:val="00093474"/>
    <w:rsid w:val="0009384E"/>
    <w:rsid w:val="0009510F"/>
    <w:rsid w:val="00096370"/>
    <w:rsid w:val="0009663D"/>
    <w:rsid w:val="00096ABD"/>
    <w:rsid w:val="000A1B7B"/>
    <w:rsid w:val="000A21EA"/>
    <w:rsid w:val="000A56F2"/>
    <w:rsid w:val="000B2719"/>
    <w:rsid w:val="000B3A8F"/>
    <w:rsid w:val="000B4AB9"/>
    <w:rsid w:val="000B58C3"/>
    <w:rsid w:val="000B61E9"/>
    <w:rsid w:val="000B6AE9"/>
    <w:rsid w:val="000C165A"/>
    <w:rsid w:val="000C1686"/>
    <w:rsid w:val="000C2E19"/>
    <w:rsid w:val="000C366C"/>
    <w:rsid w:val="000D0D07"/>
    <w:rsid w:val="000D4797"/>
    <w:rsid w:val="000D796E"/>
    <w:rsid w:val="000E04C6"/>
    <w:rsid w:val="000E0527"/>
    <w:rsid w:val="000E0FEC"/>
    <w:rsid w:val="000E1E92"/>
    <w:rsid w:val="000E3F43"/>
    <w:rsid w:val="000F06D6"/>
    <w:rsid w:val="000F0D70"/>
    <w:rsid w:val="000F0EB1"/>
    <w:rsid w:val="000F1106"/>
    <w:rsid w:val="000F3BE9"/>
    <w:rsid w:val="000F3F6C"/>
    <w:rsid w:val="000F44D2"/>
    <w:rsid w:val="000F6848"/>
    <w:rsid w:val="000F68C4"/>
    <w:rsid w:val="000F6DF3"/>
    <w:rsid w:val="001005FF"/>
    <w:rsid w:val="0010234E"/>
    <w:rsid w:val="001040EF"/>
    <w:rsid w:val="0010446F"/>
    <w:rsid w:val="00104755"/>
    <w:rsid w:val="001062FB"/>
    <w:rsid w:val="001063E6"/>
    <w:rsid w:val="00107D67"/>
    <w:rsid w:val="00111CD8"/>
    <w:rsid w:val="00113CF4"/>
    <w:rsid w:val="001153EA"/>
    <w:rsid w:val="00115643"/>
    <w:rsid w:val="00116765"/>
    <w:rsid w:val="00116BD9"/>
    <w:rsid w:val="00121088"/>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59BC"/>
    <w:rsid w:val="00187207"/>
    <w:rsid w:val="00190AC1"/>
    <w:rsid w:val="00191120"/>
    <w:rsid w:val="0019341A"/>
    <w:rsid w:val="001946C1"/>
    <w:rsid w:val="00195055"/>
    <w:rsid w:val="00196F38"/>
    <w:rsid w:val="00197010"/>
    <w:rsid w:val="00197DF9"/>
    <w:rsid w:val="001A0EF1"/>
    <w:rsid w:val="001A1987"/>
    <w:rsid w:val="001A2564"/>
    <w:rsid w:val="001A5F9A"/>
    <w:rsid w:val="001A6173"/>
    <w:rsid w:val="001A6CBA"/>
    <w:rsid w:val="001A76D7"/>
    <w:rsid w:val="001B0D97"/>
    <w:rsid w:val="001B5A5D"/>
    <w:rsid w:val="001C0C0A"/>
    <w:rsid w:val="001C1CE5"/>
    <w:rsid w:val="001C3289"/>
    <w:rsid w:val="001C36C6"/>
    <w:rsid w:val="001C3D2A"/>
    <w:rsid w:val="001C43A4"/>
    <w:rsid w:val="001C65C5"/>
    <w:rsid w:val="001C7608"/>
    <w:rsid w:val="001D0991"/>
    <w:rsid w:val="001D1AB6"/>
    <w:rsid w:val="001D51BA"/>
    <w:rsid w:val="001D590E"/>
    <w:rsid w:val="001D6328"/>
    <w:rsid w:val="001D6342"/>
    <w:rsid w:val="001D6D53"/>
    <w:rsid w:val="001D7D97"/>
    <w:rsid w:val="001E0264"/>
    <w:rsid w:val="001E2B38"/>
    <w:rsid w:val="001E34A4"/>
    <w:rsid w:val="001E58E2"/>
    <w:rsid w:val="001E7957"/>
    <w:rsid w:val="001E7AED"/>
    <w:rsid w:val="001F0A4D"/>
    <w:rsid w:val="001F10F6"/>
    <w:rsid w:val="001F3916"/>
    <w:rsid w:val="001F4215"/>
    <w:rsid w:val="001F54C5"/>
    <w:rsid w:val="001F5CB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AD4"/>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0FD8"/>
    <w:rsid w:val="00241559"/>
    <w:rsid w:val="00241E9A"/>
    <w:rsid w:val="002435B3"/>
    <w:rsid w:val="002458EB"/>
    <w:rsid w:val="002500C8"/>
    <w:rsid w:val="002500D6"/>
    <w:rsid w:val="00250A10"/>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77951"/>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5DFD"/>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4CF"/>
    <w:rsid w:val="002C41E6"/>
    <w:rsid w:val="002C47DF"/>
    <w:rsid w:val="002C6C17"/>
    <w:rsid w:val="002D071A"/>
    <w:rsid w:val="002D081E"/>
    <w:rsid w:val="002D18D4"/>
    <w:rsid w:val="002D34B2"/>
    <w:rsid w:val="002D511A"/>
    <w:rsid w:val="002D594C"/>
    <w:rsid w:val="002D6E6F"/>
    <w:rsid w:val="002D7212"/>
    <w:rsid w:val="002D7637"/>
    <w:rsid w:val="002E0F1E"/>
    <w:rsid w:val="002E17F2"/>
    <w:rsid w:val="002E2029"/>
    <w:rsid w:val="002E5687"/>
    <w:rsid w:val="002E7CAE"/>
    <w:rsid w:val="002F1C6A"/>
    <w:rsid w:val="002F1ED0"/>
    <w:rsid w:val="002F2771"/>
    <w:rsid w:val="002F37A9"/>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17394"/>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58A0"/>
    <w:rsid w:val="00336BDA"/>
    <w:rsid w:val="0034084C"/>
    <w:rsid w:val="00340A76"/>
    <w:rsid w:val="00342BD7"/>
    <w:rsid w:val="00343A07"/>
    <w:rsid w:val="00346DB5"/>
    <w:rsid w:val="003477B1"/>
    <w:rsid w:val="00350505"/>
    <w:rsid w:val="003527EF"/>
    <w:rsid w:val="003527F3"/>
    <w:rsid w:val="0035491B"/>
    <w:rsid w:val="003555EC"/>
    <w:rsid w:val="00357380"/>
    <w:rsid w:val="003602D9"/>
    <w:rsid w:val="003604CE"/>
    <w:rsid w:val="003679D9"/>
    <w:rsid w:val="00370B4E"/>
    <w:rsid w:val="00370E47"/>
    <w:rsid w:val="00371400"/>
    <w:rsid w:val="00371D3B"/>
    <w:rsid w:val="00372BF3"/>
    <w:rsid w:val="003742AC"/>
    <w:rsid w:val="00374AF3"/>
    <w:rsid w:val="00376485"/>
    <w:rsid w:val="00377CE1"/>
    <w:rsid w:val="0038482E"/>
    <w:rsid w:val="003849B2"/>
    <w:rsid w:val="00385BF0"/>
    <w:rsid w:val="0038681C"/>
    <w:rsid w:val="003939FF"/>
    <w:rsid w:val="00396481"/>
    <w:rsid w:val="00397073"/>
    <w:rsid w:val="003A1AF8"/>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7C5"/>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D50"/>
    <w:rsid w:val="003E3A25"/>
    <w:rsid w:val="003E3C13"/>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15A1A"/>
    <w:rsid w:val="00421105"/>
    <w:rsid w:val="004242F4"/>
    <w:rsid w:val="00425684"/>
    <w:rsid w:val="00425DC3"/>
    <w:rsid w:val="004268ED"/>
    <w:rsid w:val="00426A0C"/>
    <w:rsid w:val="00427248"/>
    <w:rsid w:val="00431A70"/>
    <w:rsid w:val="00433819"/>
    <w:rsid w:val="004341C4"/>
    <w:rsid w:val="00436AE5"/>
    <w:rsid w:val="00437447"/>
    <w:rsid w:val="00441A92"/>
    <w:rsid w:val="0044332B"/>
    <w:rsid w:val="00444F56"/>
    <w:rsid w:val="0044529E"/>
    <w:rsid w:val="00446488"/>
    <w:rsid w:val="00446851"/>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3E5E"/>
    <w:rsid w:val="004854EF"/>
    <w:rsid w:val="004868EE"/>
    <w:rsid w:val="004926BE"/>
    <w:rsid w:val="00492BC5"/>
    <w:rsid w:val="00493886"/>
    <w:rsid w:val="0049533A"/>
    <w:rsid w:val="004964F1"/>
    <w:rsid w:val="004A16BC"/>
    <w:rsid w:val="004A2B94"/>
    <w:rsid w:val="004A5412"/>
    <w:rsid w:val="004A5B50"/>
    <w:rsid w:val="004A6517"/>
    <w:rsid w:val="004A6CB7"/>
    <w:rsid w:val="004A6CF0"/>
    <w:rsid w:val="004B131D"/>
    <w:rsid w:val="004B53A4"/>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4F6C14"/>
    <w:rsid w:val="005022A7"/>
    <w:rsid w:val="00502501"/>
    <w:rsid w:val="005028CE"/>
    <w:rsid w:val="00505639"/>
    <w:rsid w:val="00506557"/>
    <w:rsid w:val="00506671"/>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B67"/>
    <w:rsid w:val="00554E19"/>
    <w:rsid w:val="0056121F"/>
    <w:rsid w:val="00565D17"/>
    <w:rsid w:val="00571795"/>
    <w:rsid w:val="00572505"/>
    <w:rsid w:val="005801D7"/>
    <w:rsid w:val="00581724"/>
    <w:rsid w:val="00582809"/>
    <w:rsid w:val="00585E50"/>
    <w:rsid w:val="00586F92"/>
    <w:rsid w:val="0058798C"/>
    <w:rsid w:val="005900FA"/>
    <w:rsid w:val="00590F44"/>
    <w:rsid w:val="00591EC2"/>
    <w:rsid w:val="00592CD4"/>
    <w:rsid w:val="005935A4"/>
    <w:rsid w:val="005948C2"/>
    <w:rsid w:val="00595DCA"/>
    <w:rsid w:val="00596E8D"/>
    <w:rsid w:val="0059779B"/>
    <w:rsid w:val="00597F97"/>
    <w:rsid w:val="005A0181"/>
    <w:rsid w:val="005A0EA8"/>
    <w:rsid w:val="005A209A"/>
    <w:rsid w:val="005A21E7"/>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3955"/>
    <w:rsid w:val="005F5DE7"/>
    <w:rsid w:val="005F618C"/>
    <w:rsid w:val="005F70BD"/>
    <w:rsid w:val="006012A2"/>
    <w:rsid w:val="0060283C"/>
    <w:rsid w:val="00604F14"/>
    <w:rsid w:val="00607F52"/>
    <w:rsid w:val="006113F1"/>
    <w:rsid w:val="00611B83"/>
    <w:rsid w:val="00611ED3"/>
    <w:rsid w:val="0061240A"/>
    <w:rsid w:val="00613257"/>
    <w:rsid w:val="00614038"/>
    <w:rsid w:val="00620A71"/>
    <w:rsid w:val="00620D80"/>
    <w:rsid w:val="006234A6"/>
    <w:rsid w:val="00623C79"/>
    <w:rsid w:val="00624A10"/>
    <w:rsid w:val="00627298"/>
    <w:rsid w:val="00630001"/>
    <w:rsid w:val="00631093"/>
    <w:rsid w:val="006311B3"/>
    <w:rsid w:val="00631CA0"/>
    <w:rsid w:val="0063284C"/>
    <w:rsid w:val="00634274"/>
    <w:rsid w:val="006345C3"/>
    <w:rsid w:val="00634BF8"/>
    <w:rsid w:val="00635613"/>
    <w:rsid w:val="00636398"/>
    <w:rsid w:val="0063647E"/>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11A0"/>
    <w:rsid w:val="0067218F"/>
    <w:rsid w:val="006741F2"/>
    <w:rsid w:val="00674CC3"/>
    <w:rsid w:val="00675393"/>
    <w:rsid w:val="00675A79"/>
    <w:rsid w:val="00675C72"/>
    <w:rsid w:val="00676130"/>
    <w:rsid w:val="006771F9"/>
    <w:rsid w:val="006776D7"/>
    <w:rsid w:val="00681003"/>
    <w:rsid w:val="006817C9"/>
    <w:rsid w:val="00683ECE"/>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0D4"/>
    <w:rsid w:val="006E3310"/>
    <w:rsid w:val="006E4E39"/>
    <w:rsid w:val="006E565E"/>
    <w:rsid w:val="006E673D"/>
    <w:rsid w:val="006E7D3B"/>
    <w:rsid w:val="006F0065"/>
    <w:rsid w:val="006F1B70"/>
    <w:rsid w:val="006F1B80"/>
    <w:rsid w:val="006F341D"/>
    <w:rsid w:val="006F3CDE"/>
    <w:rsid w:val="006F58D4"/>
    <w:rsid w:val="007004C3"/>
    <w:rsid w:val="00700E0E"/>
    <w:rsid w:val="00701B48"/>
    <w:rsid w:val="0070303B"/>
    <w:rsid w:val="0070346E"/>
    <w:rsid w:val="007037D0"/>
    <w:rsid w:val="00704595"/>
    <w:rsid w:val="00704EDB"/>
    <w:rsid w:val="007053CE"/>
    <w:rsid w:val="00706101"/>
    <w:rsid w:val="00707072"/>
    <w:rsid w:val="00707C1A"/>
    <w:rsid w:val="00707D61"/>
    <w:rsid w:val="00712287"/>
    <w:rsid w:val="00712772"/>
    <w:rsid w:val="0071404E"/>
    <w:rsid w:val="007148D3"/>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42B6"/>
    <w:rsid w:val="00765281"/>
    <w:rsid w:val="0076693F"/>
    <w:rsid w:val="00766BAD"/>
    <w:rsid w:val="007730BD"/>
    <w:rsid w:val="007744D9"/>
    <w:rsid w:val="007755F2"/>
    <w:rsid w:val="00775EF1"/>
    <w:rsid w:val="00776971"/>
    <w:rsid w:val="0078177E"/>
    <w:rsid w:val="0078304C"/>
    <w:rsid w:val="00783673"/>
    <w:rsid w:val="00785490"/>
    <w:rsid w:val="00785A40"/>
    <w:rsid w:val="00787AFF"/>
    <w:rsid w:val="00790245"/>
    <w:rsid w:val="007925EA"/>
    <w:rsid w:val="00793672"/>
    <w:rsid w:val="00793CD8"/>
    <w:rsid w:val="00794736"/>
    <w:rsid w:val="00795252"/>
    <w:rsid w:val="00795C92"/>
    <w:rsid w:val="00796231"/>
    <w:rsid w:val="007970F2"/>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7091"/>
    <w:rsid w:val="007F12CC"/>
    <w:rsid w:val="007F3D16"/>
    <w:rsid w:val="007F606E"/>
    <w:rsid w:val="007F63FD"/>
    <w:rsid w:val="00801082"/>
    <w:rsid w:val="008012BA"/>
    <w:rsid w:val="008013BC"/>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5FCA"/>
    <w:rsid w:val="008376AC"/>
    <w:rsid w:val="008444E8"/>
    <w:rsid w:val="008447EB"/>
    <w:rsid w:val="00844E80"/>
    <w:rsid w:val="00846FE7"/>
    <w:rsid w:val="00847879"/>
    <w:rsid w:val="00847D20"/>
    <w:rsid w:val="008506F9"/>
    <w:rsid w:val="00851429"/>
    <w:rsid w:val="00854709"/>
    <w:rsid w:val="00854D1E"/>
    <w:rsid w:val="00854F97"/>
    <w:rsid w:val="008556AA"/>
    <w:rsid w:val="00856429"/>
    <w:rsid w:val="00856911"/>
    <w:rsid w:val="0085730B"/>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6BA1"/>
    <w:rsid w:val="00891CC9"/>
    <w:rsid w:val="00892519"/>
    <w:rsid w:val="008926FE"/>
    <w:rsid w:val="0089486E"/>
    <w:rsid w:val="00894A88"/>
    <w:rsid w:val="00895386"/>
    <w:rsid w:val="00896561"/>
    <w:rsid w:val="008A0223"/>
    <w:rsid w:val="008A10EE"/>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5C2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0539"/>
    <w:rsid w:val="00902350"/>
    <w:rsid w:val="0090336B"/>
    <w:rsid w:val="00903E78"/>
    <w:rsid w:val="00904C1F"/>
    <w:rsid w:val="009053AA"/>
    <w:rsid w:val="00906939"/>
    <w:rsid w:val="00910591"/>
    <w:rsid w:val="0091087C"/>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22B1"/>
    <w:rsid w:val="009247CB"/>
    <w:rsid w:val="0092584B"/>
    <w:rsid w:val="00927AD2"/>
    <w:rsid w:val="00927FA4"/>
    <w:rsid w:val="0093145C"/>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669B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867EC"/>
    <w:rsid w:val="00990274"/>
    <w:rsid w:val="00990630"/>
    <w:rsid w:val="00990B02"/>
    <w:rsid w:val="00991761"/>
    <w:rsid w:val="00992FDC"/>
    <w:rsid w:val="00994DCA"/>
    <w:rsid w:val="009960EC"/>
    <w:rsid w:val="00996CF1"/>
    <w:rsid w:val="009970DD"/>
    <w:rsid w:val="009A0FBA"/>
    <w:rsid w:val="009A1601"/>
    <w:rsid w:val="009A36B5"/>
    <w:rsid w:val="009A426F"/>
    <w:rsid w:val="009A462D"/>
    <w:rsid w:val="009A4A49"/>
    <w:rsid w:val="009A5CBA"/>
    <w:rsid w:val="009A731C"/>
    <w:rsid w:val="009B1F30"/>
    <w:rsid w:val="009B3AC2"/>
    <w:rsid w:val="009B4DF4"/>
    <w:rsid w:val="009B564E"/>
    <w:rsid w:val="009B6183"/>
    <w:rsid w:val="009B7E3E"/>
    <w:rsid w:val="009B7E87"/>
    <w:rsid w:val="009C1877"/>
    <w:rsid w:val="009C403E"/>
    <w:rsid w:val="009C482B"/>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9F563E"/>
    <w:rsid w:val="00A03648"/>
    <w:rsid w:val="00A048A8"/>
    <w:rsid w:val="00A04F49"/>
    <w:rsid w:val="00A0655A"/>
    <w:rsid w:val="00A11F97"/>
    <w:rsid w:val="00A13E54"/>
    <w:rsid w:val="00A17F63"/>
    <w:rsid w:val="00A2052C"/>
    <w:rsid w:val="00A2193B"/>
    <w:rsid w:val="00A2351A"/>
    <w:rsid w:val="00A253CA"/>
    <w:rsid w:val="00A264A9"/>
    <w:rsid w:val="00A26527"/>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1E75"/>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AB8"/>
    <w:rsid w:val="00AB5729"/>
    <w:rsid w:val="00AB655E"/>
    <w:rsid w:val="00AC007F"/>
    <w:rsid w:val="00AC29D9"/>
    <w:rsid w:val="00AC2ECD"/>
    <w:rsid w:val="00AC3119"/>
    <w:rsid w:val="00AC49FB"/>
    <w:rsid w:val="00AC4DBA"/>
    <w:rsid w:val="00AC5A10"/>
    <w:rsid w:val="00AC6932"/>
    <w:rsid w:val="00AD0AA3"/>
    <w:rsid w:val="00AD1EAA"/>
    <w:rsid w:val="00AD3F94"/>
    <w:rsid w:val="00AD4A5A"/>
    <w:rsid w:val="00AD56F5"/>
    <w:rsid w:val="00AE0099"/>
    <w:rsid w:val="00AE27AC"/>
    <w:rsid w:val="00AE3743"/>
    <w:rsid w:val="00AE39D5"/>
    <w:rsid w:val="00AE40E0"/>
    <w:rsid w:val="00AE4DBA"/>
    <w:rsid w:val="00AE4F07"/>
    <w:rsid w:val="00AF1C5D"/>
    <w:rsid w:val="00AF42D7"/>
    <w:rsid w:val="00AF4423"/>
    <w:rsid w:val="00AF4B3D"/>
    <w:rsid w:val="00AF5939"/>
    <w:rsid w:val="00AF6FF2"/>
    <w:rsid w:val="00AF72E2"/>
    <w:rsid w:val="00B006FE"/>
    <w:rsid w:val="00B007CB"/>
    <w:rsid w:val="00B01F37"/>
    <w:rsid w:val="00B02480"/>
    <w:rsid w:val="00B02A18"/>
    <w:rsid w:val="00B02AA9"/>
    <w:rsid w:val="00B02FA3"/>
    <w:rsid w:val="00B05084"/>
    <w:rsid w:val="00B07D7D"/>
    <w:rsid w:val="00B137C6"/>
    <w:rsid w:val="00B157F9"/>
    <w:rsid w:val="00B15FA4"/>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3F8F"/>
    <w:rsid w:val="00B54F8A"/>
    <w:rsid w:val="00B5790D"/>
    <w:rsid w:val="00B6188F"/>
    <w:rsid w:val="00B664C7"/>
    <w:rsid w:val="00B739F6"/>
    <w:rsid w:val="00B75A20"/>
    <w:rsid w:val="00B763B8"/>
    <w:rsid w:val="00B81A6C"/>
    <w:rsid w:val="00B837DF"/>
    <w:rsid w:val="00B848C0"/>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27AD"/>
    <w:rsid w:val="00C12F04"/>
    <w:rsid w:val="00C14D4B"/>
    <w:rsid w:val="00C154BB"/>
    <w:rsid w:val="00C209F7"/>
    <w:rsid w:val="00C22AD5"/>
    <w:rsid w:val="00C24139"/>
    <w:rsid w:val="00C24345"/>
    <w:rsid w:val="00C279B5"/>
    <w:rsid w:val="00C27C45"/>
    <w:rsid w:val="00C34A6D"/>
    <w:rsid w:val="00C361FE"/>
    <w:rsid w:val="00C3719D"/>
    <w:rsid w:val="00C3727E"/>
    <w:rsid w:val="00C378FE"/>
    <w:rsid w:val="00C46909"/>
    <w:rsid w:val="00C51654"/>
    <w:rsid w:val="00C53631"/>
    <w:rsid w:val="00C541E9"/>
    <w:rsid w:val="00C54995"/>
    <w:rsid w:val="00C54D41"/>
    <w:rsid w:val="00C56967"/>
    <w:rsid w:val="00C60783"/>
    <w:rsid w:val="00C6085A"/>
    <w:rsid w:val="00C625B5"/>
    <w:rsid w:val="00C64672"/>
    <w:rsid w:val="00C64EE2"/>
    <w:rsid w:val="00C6530A"/>
    <w:rsid w:val="00C67DB3"/>
    <w:rsid w:val="00C701AD"/>
    <w:rsid w:val="00C70697"/>
    <w:rsid w:val="00C7123A"/>
    <w:rsid w:val="00C72EF4"/>
    <w:rsid w:val="00C75D2F"/>
    <w:rsid w:val="00C767BE"/>
    <w:rsid w:val="00C76E3C"/>
    <w:rsid w:val="00C81568"/>
    <w:rsid w:val="00C82D23"/>
    <w:rsid w:val="00C83EC5"/>
    <w:rsid w:val="00C860F5"/>
    <w:rsid w:val="00C8777C"/>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4388"/>
    <w:rsid w:val="00CC7B45"/>
    <w:rsid w:val="00CD0223"/>
    <w:rsid w:val="00CD1188"/>
    <w:rsid w:val="00CD2ED1"/>
    <w:rsid w:val="00CD337B"/>
    <w:rsid w:val="00CD35BF"/>
    <w:rsid w:val="00CD5230"/>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2B25"/>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198B"/>
    <w:rsid w:val="00D354F2"/>
    <w:rsid w:val="00D36E71"/>
    <w:rsid w:val="00D371FE"/>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C50"/>
    <w:rsid w:val="00DF3E3D"/>
    <w:rsid w:val="00DF794E"/>
    <w:rsid w:val="00DF7D5A"/>
    <w:rsid w:val="00DF7DAF"/>
    <w:rsid w:val="00E004F7"/>
    <w:rsid w:val="00E06BB5"/>
    <w:rsid w:val="00E10E87"/>
    <w:rsid w:val="00E10EFA"/>
    <w:rsid w:val="00E110E7"/>
    <w:rsid w:val="00E11B20"/>
    <w:rsid w:val="00E129EC"/>
    <w:rsid w:val="00E16891"/>
    <w:rsid w:val="00E17FA2"/>
    <w:rsid w:val="00E22330"/>
    <w:rsid w:val="00E27628"/>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57B11"/>
    <w:rsid w:val="00E63019"/>
    <w:rsid w:val="00E63838"/>
    <w:rsid w:val="00E64434"/>
    <w:rsid w:val="00E64955"/>
    <w:rsid w:val="00E67C51"/>
    <w:rsid w:val="00E72146"/>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C7600"/>
    <w:rsid w:val="00ED0D51"/>
    <w:rsid w:val="00ED1006"/>
    <w:rsid w:val="00ED38EA"/>
    <w:rsid w:val="00ED4DD3"/>
    <w:rsid w:val="00ED595F"/>
    <w:rsid w:val="00EE0142"/>
    <w:rsid w:val="00EE0A75"/>
    <w:rsid w:val="00EE5C47"/>
    <w:rsid w:val="00EE5D43"/>
    <w:rsid w:val="00EF141E"/>
    <w:rsid w:val="00EF18FE"/>
    <w:rsid w:val="00EF5390"/>
    <w:rsid w:val="00EF5787"/>
    <w:rsid w:val="00EF5E99"/>
    <w:rsid w:val="00EF60D0"/>
    <w:rsid w:val="00EF63ED"/>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0A6F"/>
    <w:rsid w:val="00F227C9"/>
    <w:rsid w:val="00F2376F"/>
    <w:rsid w:val="00F243D8"/>
    <w:rsid w:val="00F30828"/>
    <w:rsid w:val="00F3139A"/>
    <w:rsid w:val="00F313D6"/>
    <w:rsid w:val="00F33E90"/>
    <w:rsid w:val="00F35EF0"/>
    <w:rsid w:val="00F37032"/>
    <w:rsid w:val="00F37D14"/>
    <w:rsid w:val="00F40F0C"/>
    <w:rsid w:val="00F43251"/>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44E"/>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110B"/>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55EC"/>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3555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5E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link w:val="NOZchn"/>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1E2B38"/>
    <w:rPr>
      <w:rFonts w:asciiTheme="minorHAnsi" w:eastAsiaTheme="minorHAnsi" w:hAnsiTheme="minorHAnsi" w:cstheme="minorBidi"/>
      <w:sz w:val="22"/>
      <w:szCs w:val="22"/>
      <w:lang w:val="en-GB"/>
    </w:rPr>
  </w:style>
  <w:style w:type="character" w:customStyle="1" w:styleId="TFChar">
    <w:name w:val="TF Char"/>
    <w:link w:val="TF"/>
    <w:rsid w:val="001E2B38"/>
    <w:rPr>
      <w:rFonts w:asciiTheme="minorHAnsi" w:eastAsiaTheme="minorHAnsi" w:hAnsiTheme="minorHAnsi" w:cstheme="minorBidi"/>
      <w:b/>
      <w:sz w:val="22"/>
      <w:szCs w:val="22"/>
      <w:lang w:val="en-GB"/>
    </w:rPr>
  </w:style>
  <w:style w:type="character" w:customStyle="1" w:styleId="THChar">
    <w:name w:val="TH Char"/>
    <w:link w:val="TH"/>
    <w:rsid w:val="001E2B38"/>
    <w:rPr>
      <w:rFonts w:asciiTheme="minorHAnsi" w:eastAsiaTheme="minorHAnsi" w:hAnsiTheme="minorHAnsi" w:cstheme="minorBidi"/>
      <w:b/>
      <w:sz w:val="22"/>
      <w:szCs w:val="22"/>
      <w:lang w:val="en-GB"/>
    </w:rPr>
  </w:style>
  <w:style w:type="character" w:customStyle="1" w:styleId="NOZchn">
    <w:name w:val="NO Zchn"/>
    <w:link w:val="NO"/>
    <w:locked/>
    <w:rsid w:val="001E2B38"/>
    <w:rPr>
      <w:rFonts w:ascii="Times New Roman" w:hAnsi="Times New Roman"/>
      <w:lang w:val="en-GB" w:eastAsia="en-GB"/>
    </w:rPr>
  </w:style>
  <w:style w:type="character" w:customStyle="1" w:styleId="msoins0">
    <w:name w:val="msoins"/>
    <w:rsid w:val="001E2B38"/>
  </w:style>
  <w:style w:type="character" w:customStyle="1" w:styleId="apple-converted-space">
    <w:name w:val="apple-converted-space"/>
    <w:basedOn w:val="DefaultParagraphFont"/>
    <w:rsid w:val="001C0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87910916">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http://210.51.195.39/Mapi/inlinepic/services.jssm?CT=0&amp;PT=0&amp;ID=00ca00001000f2911eff1d2d00001&amp;N=Picture%20(Device%20Independent%20Bitmap)%201.jpg&amp;U=null&amp;S=2075&amp;I=1&amp;T=2&amp;D=8FE2C29AE1A0F4458C079DD1FF6A8780@adroot.infra.ftgroup&amp;UNO=00033693&amp;Token=00012afa000010005cae85b9la96%23pA6h9sgpgYrOk1Avwa1W&amp;X-ZMAIL-RESID=1&amp;X-ZMAIL-ISTEST=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9D0E-23B8-4B1F-9D07-BF17C3CFED85}">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5EAC696B-BDD3-48FB-97FB-7BEC1FF31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1119</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2019-05-03T21:29:00Z</dcterms:created>
  <dcterms:modified xsi:type="dcterms:W3CDTF">2019-05-04T06:26:00Z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